
<file path=[Content_Types].xml><?xml version="1.0" encoding="utf-8"?>
<Types xmlns="http://schemas.openxmlformats.org/package/2006/content-types">
  <Default ContentType="image/png" Extension="png"/>
  <Default ContentType="application/vnd.openxmlformats-package.relationships+xml" Extension="rels"/>
  <Default ContentType="application/vnd.openxmlformats-officedocument.spreadsheetml.sheet" Extension="xlsx"/>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v="urn:schemas-microsoft-com:vml" xmlns:o="urn:schemas-microsoft-com:office:office" xmlns:r="http://schemas.openxmlformats.org/officeDocument/2006/relationships">
  <w:body>
    <w:p>
      <w:pPr>
        <w:spacing w:before="480" w:after="480" w:line="288" w:lineRule="auto"/>
        <w:ind w:left="0"/>
      </w:pPr>
      <w:r>
        <w:rPr>
          <w:rFonts w:eastAsia="等线" w:ascii="Arial" w:cs="Arial" w:hAnsi="Arial"/>
          <w:b w:val="true"/>
          <w:sz w:val="52"/>
        </w:rPr>
        <w:t>13May26 - SCC discussion</w:t>
      </w:r>
    </w:p>
    <w:p>
      <w:pPr>
        <w:spacing w:before="120" w:after="120" w:line="288" w:lineRule="auto"/>
        <w:ind w:left="0"/>
        <w:jc w:val="left"/>
      </w:pPr>
      <w:r>
        <w:rPr>
          <w:rFonts w:eastAsia="等线" w:ascii="Arial" w:cs="Arial" w:hAnsi="Arial"/>
          <w:b w:val="true"/>
          <w:color w:val="646a73"/>
          <w:sz w:val="22"/>
        </w:rPr>
        <w:t>[Mindhive x SCC 13 May26 Transcript.docx]</w:t>
      </w:r>
    </w:p>
    <w:p>
      <w:pPr>
        <w:pStyle w:val="2"/>
        <w:spacing w:before="320" w:after="120" w:line="288" w:lineRule="auto"/>
        <w:ind w:left="0"/>
        <w:jc w:val="left"/>
        <w:outlineLvl w:val="1"/>
      </w:pPr>
      <w:bookmarkStart w:name="heading_0" w:id="0"/>
      <w:r>
        <w:rPr>
          <w:rFonts w:eastAsia="等线" w:ascii="Arial" w:cs="Arial" w:hAnsi="Arial"/>
          <w:b w:val="true"/>
          <w:sz w:val="32"/>
        </w:rPr>
        <w:t>Mindhive x SCC Meeting</w:t>
      </w:r>
      <w:bookmarkEnd w:id="0"/>
    </w:p>
    <w:p>
      <w:pPr>
        <w:spacing w:before="120" w:after="120" w:line="288" w:lineRule="auto"/>
        <w:ind w:left="0"/>
        <w:jc w:val="left"/>
      </w:pPr>
      <w:r>
        <w:rPr>
          <w:rFonts w:eastAsia="等线" w:ascii="Arial" w:cs="Arial" w:hAnsi="Arial"/>
          <w:b w:val="true"/>
          <w:sz w:val="22"/>
        </w:rPr>
        <w:t>Context:</w:t>
      </w:r>
      <w:r>
        <w:rPr>
          <w:rFonts w:eastAsia="等线" w:ascii="Arial" w:cs="Arial" w:hAnsi="Arial"/>
          <w:sz w:val="22"/>
        </w:rPr>
        <w:t xml:space="preserve"> Mindhive is the vendor proposing/implementing MAIA for SCC. SCC is the client, and SCC’s current ERP system is SAP. The meeting focused on SAP data migration, scanned document migration, stock reservation, credit note requisition workflow, and SAP connectivity. </w:t>
      </w:r>
    </w:p>
    <w:p>
      <w:pPr>
        <w:pStyle w:val="3"/>
        <w:spacing w:before="300" w:after="120" w:line="288" w:lineRule="auto"/>
        <w:ind w:left="0"/>
        <w:jc w:val="left"/>
        <w:outlineLvl w:val="2"/>
      </w:pPr>
      <w:bookmarkStart w:name="heading_1" w:id="1"/>
      <w:r>
        <w:rPr>
          <w:rFonts w:eastAsia="等线" w:ascii="Arial" w:cs="Arial" w:hAnsi="Arial"/>
          <w:b w:val="true"/>
          <w:sz w:val="30"/>
        </w:rPr>
        <w:t>Key Points</w:t>
      </w:r>
      <w:bookmarkEnd w:id="1"/>
    </w:p>
    <w:p>
      <w:pPr>
        <w:numPr>
          <w:numId w:val="1"/>
        </w:numPr>
        <w:spacing w:before="120" w:after="120" w:line="288" w:lineRule="auto"/>
        <w:ind w:left="0"/>
        <w:jc w:val="left"/>
      </w:pPr>
      <w:r>
        <w:rPr>
          <w:rFonts w:eastAsia="等线" w:ascii="Arial" w:cs="Arial" w:hAnsi="Arial"/>
          <w:b w:val="true"/>
          <w:sz w:val="22"/>
        </w:rPr>
        <w:t>SAP Data Migration</w:t>
      </w:r>
    </w:p>
    <w:p>
      <w:pPr>
        <w:numPr>
          <w:numId w:val="2"/>
        </w:numPr>
        <w:spacing w:before="120" w:after="120" w:line="288" w:lineRule="auto"/>
        <w:ind w:left="453"/>
        <w:jc w:val="left"/>
      </w:pPr>
      <w:r>
        <w:rPr>
          <w:rFonts w:eastAsia="等线" w:ascii="Arial" w:cs="Arial" w:hAnsi="Arial"/>
          <w:sz w:val="22"/>
        </w:rPr>
        <w:t xml:space="preserve"> SCC’s IT vendor is preparing a custom SAP export query. </w:t>
      </w:r>
    </w:p>
    <w:p>
      <w:pPr>
        <w:numPr>
          <w:numId w:val="3"/>
        </w:numPr>
        <w:spacing w:before="120" w:after="120" w:line="288" w:lineRule="auto"/>
        <w:ind w:left="453"/>
        <w:jc w:val="left"/>
      </w:pPr>
      <w:r>
        <w:rPr>
          <w:rFonts w:eastAsia="等线" w:ascii="Arial" w:cs="Arial" w:hAnsi="Arial"/>
          <w:sz w:val="22"/>
        </w:rPr>
        <w:t xml:space="preserve"> Mindhive needs the final data shape, especially order details, batch numbers, and serial number information, to assess migration completeness. </w:t>
      </w:r>
    </w:p>
    <w:p>
      <w:pPr>
        <w:numPr>
          <w:numId w:val="4"/>
        </w:numPr>
        <w:spacing w:before="120" w:after="120" w:line="288" w:lineRule="auto"/>
        <w:ind w:left="453"/>
        <w:jc w:val="left"/>
      </w:pPr>
      <w:r>
        <w:rPr>
          <w:rFonts w:eastAsia="等线" w:ascii="Arial" w:cs="Arial" w:hAnsi="Arial"/>
          <w:sz w:val="22"/>
        </w:rPr>
        <w:t xml:space="preserve"> SCC will check with their IT vendor and revert within the next few days. </w:t>
      </w:r>
    </w:p>
    <w:p>
      <w:pPr>
        <w:numPr>
          <w:numId w:val="5"/>
        </w:numPr>
        <w:spacing w:before="120" w:after="120" w:line="288" w:lineRule="auto"/>
        <w:ind w:left="0"/>
        <w:jc w:val="left"/>
      </w:pPr>
      <w:r>
        <w:rPr>
          <w:rFonts w:eastAsia="等线" w:ascii="Arial" w:cs="Arial" w:hAnsi="Arial"/>
          <w:b w:val="true"/>
          <w:sz w:val="22"/>
        </w:rPr>
        <w:t>Scanned / SharePoint Documents</w:t>
      </w:r>
    </w:p>
    <w:p>
      <w:pPr>
        <w:numPr>
          <w:numId w:val="6"/>
        </w:numPr>
        <w:spacing w:before="120" w:after="120" w:line="288" w:lineRule="auto"/>
        <w:ind w:left="453"/>
        <w:jc w:val="left"/>
      </w:pPr>
      <w:r>
        <w:rPr>
          <w:rFonts w:eastAsia="等线" w:ascii="Arial" w:cs="Arial" w:hAnsi="Arial"/>
          <w:sz w:val="22"/>
        </w:rPr>
        <w:t xml:space="preserve"> SCC has scanned documents outside SAP. </w:t>
      </w:r>
    </w:p>
    <w:p>
      <w:pPr>
        <w:numPr>
          <w:numId w:val="7"/>
        </w:numPr>
        <w:spacing w:before="120" w:after="120" w:line="288" w:lineRule="auto"/>
        <w:ind w:left="453"/>
        <w:jc w:val="left"/>
      </w:pPr>
      <w:r>
        <w:rPr>
          <w:rFonts w:eastAsia="等线" w:ascii="Arial" w:cs="Arial" w:hAnsi="Arial"/>
          <w:sz w:val="22"/>
        </w:rPr>
        <w:t xml:space="preserve"> Mindhive needs sample files and a rough document catalogue to assess migration complexity. </w:t>
      </w:r>
    </w:p>
    <w:p>
      <w:pPr>
        <w:numPr>
          <w:numId w:val="8"/>
        </w:numPr>
        <w:spacing w:before="120" w:after="120" w:line="288" w:lineRule="auto"/>
        <w:ind w:left="453"/>
        <w:jc w:val="left"/>
      </w:pPr>
      <w:r>
        <w:rPr>
          <w:rFonts w:eastAsia="等线" w:ascii="Arial" w:cs="Arial" w:hAnsi="Arial"/>
          <w:sz w:val="22"/>
        </w:rPr>
        <w:t xml:space="preserve"> These documents may require AI extraction and transformation before they can be imported into MAIA, so this should be scoped separately from SAP data migration. </w:t>
      </w:r>
    </w:p>
    <w:p>
      <w:pPr>
        <w:numPr>
          <w:numId w:val="9"/>
        </w:numPr>
        <w:spacing w:before="120" w:after="120" w:line="288" w:lineRule="auto"/>
        <w:ind w:left="0"/>
        <w:jc w:val="left"/>
      </w:pPr>
      <w:r>
        <w:rPr>
          <w:rFonts w:eastAsia="等线" w:ascii="Arial" w:cs="Arial" w:hAnsi="Arial"/>
          <w:b w:val="true"/>
          <w:sz w:val="22"/>
        </w:rPr>
        <w:t>Stock Reservation</w:t>
      </w:r>
    </w:p>
    <w:p>
      <w:pPr>
        <w:numPr>
          <w:numId w:val="10"/>
        </w:numPr>
        <w:spacing w:before="120" w:after="120" w:line="288" w:lineRule="auto"/>
        <w:ind w:left="453"/>
        <w:jc w:val="left"/>
      </w:pPr>
      <w:r>
        <w:rPr>
          <w:rFonts w:eastAsia="等线" w:ascii="Arial" w:cs="Arial" w:hAnsi="Arial"/>
          <w:sz w:val="22"/>
        </w:rPr>
        <w:t xml:space="preserve"> MAIA already supports reservation for confirmed orders. </w:t>
      </w:r>
    </w:p>
    <w:p>
      <w:pPr>
        <w:numPr>
          <w:numId w:val="11"/>
        </w:numPr>
        <w:spacing w:before="120" w:after="120" w:line="288" w:lineRule="auto"/>
        <w:ind w:left="453"/>
        <w:jc w:val="left"/>
      </w:pPr>
      <w:r>
        <w:rPr>
          <w:rFonts w:eastAsia="等线" w:ascii="Arial" w:cs="Arial" w:hAnsi="Arial"/>
          <w:sz w:val="22"/>
        </w:rPr>
        <w:t xml:space="preserve"> SCC’s informal/pre-PO stock booking process is currently outside the standard scope. </w:t>
      </w:r>
    </w:p>
    <w:p>
      <w:pPr>
        <w:numPr>
          <w:numId w:val="12"/>
        </w:numPr>
        <w:spacing w:before="120" w:after="120" w:line="288" w:lineRule="auto"/>
        <w:ind w:left="453"/>
        <w:jc w:val="left"/>
      </w:pPr>
      <w:r>
        <w:rPr>
          <w:rFonts w:eastAsia="等线" w:ascii="Arial" w:cs="Arial" w:hAnsi="Arial"/>
          <w:sz w:val="22"/>
        </w:rPr>
        <w:t xml:space="preserve"> Since the informal booking data does not exist in MAIA yet, even notification-based alerts would still require a new data capture/customisation module. </w:t>
      </w:r>
    </w:p>
    <w:p>
      <w:pPr>
        <w:numPr>
          <w:numId w:val="13"/>
        </w:numPr>
        <w:spacing w:before="120" w:after="120" w:line="288" w:lineRule="auto"/>
        <w:ind w:left="453"/>
        <w:jc w:val="left"/>
      </w:pPr>
      <w:r>
        <w:rPr>
          <w:rFonts w:eastAsia="等线" w:ascii="Arial" w:cs="Arial" w:hAnsi="Arial"/>
          <w:sz w:val="22"/>
        </w:rPr>
        <w:t xml:space="preserve"> SCC decided to proceed with the standard/core scope first and revisit informal stock booking after go-live if needed. </w:t>
      </w:r>
    </w:p>
    <w:p>
      <w:pPr>
        <w:numPr>
          <w:numId w:val="14"/>
        </w:numPr>
        <w:spacing w:before="120" w:after="120" w:line="288" w:lineRule="auto"/>
        <w:ind w:left="0"/>
        <w:jc w:val="left"/>
      </w:pPr>
      <w:r>
        <w:rPr>
          <w:rFonts w:eastAsia="等线" w:ascii="Arial" w:cs="Arial" w:hAnsi="Arial"/>
          <w:b w:val="true"/>
          <w:sz w:val="22"/>
        </w:rPr>
        <w:t>Credit Note Requisition / Approval Workflow</w:t>
      </w:r>
    </w:p>
    <w:p>
      <w:pPr>
        <w:numPr>
          <w:numId w:val="15"/>
        </w:numPr>
        <w:spacing w:before="120" w:after="120" w:line="288" w:lineRule="auto"/>
        <w:ind w:left="453"/>
        <w:jc w:val="left"/>
      </w:pPr>
      <w:r>
        <w:rPr>
          <w:rFonts w:eastAsia="等线" w:ascii="Arial" w:cs="Arial" w:hAnsi="Arial"/>
          <w:sz w:val="22"/>
        </w:rPr>
        <w:t xml:space="preserve"> SCC currently manages credit note requests manually using paper forms and approval signatures before Accounts issues the credit note in SAP. </w:t>
      </w:r>
    </w:p>
    <w:p>
      <w:pPr>
        <w:numPr>
          <w:numId w:val="16"/>
        </w:numPr>
        <w:spacing w:before="120" w:after="120" w:line="288" w:lineRule="auto"/>
        <w:ind w:left="453"/>
        <w:jc w:val="left"/>
      </w:pPr>
      <w:r>
        <w:rPr>
          <w:rFonts w:eastAsia="等线" w:ascii="Arial" w:cs="Arial" w:hAnsi="Arial"/>
          <w:sz w:val="22"/>
        </w:rPr>
        <w:t xml:space="preserve"> Mindhive proposed that MAIA could digitise this as a credit note requisition workflow, where sales/support users raise requests and approvers review them before triggering credit note creation into SAP. </w:t>
      </w:r>
    </w:p>
    <w:p>
      <w:pPr>
        <w:numPr>
          <w:numId w:val="17"/>
        </w:numPr>
        <w:spacing w:before="120" w:after="120" w:line="288" w:lineRule="auto"/>
        <w:ind w:left="453"/>
        <w:jc w:val="left"/>
      </w:pPr>
      <w:r>
        <w:rPr>
          <w:rFonts w:eastAsia="等线" w:ascii="Arial" w:cs="Arial" w:hAnsi="Arial"/>
          <w:sz w:val="22"/>
        </w:rPr>
        <w:t xml:space="preserve"> SCC will first confirm with their SAP vendor whether SAP already has a native requisition function. </w:t>
      </w:r>
    </w:p>
    <w:p>
      <w:pPr>
        <w:numPr>
          <w:numId w:val="18"/>
        </w:numPr>
        <w:spacing w:before="120" w:after="120" w:line="288" w:lineRule="auto"/>
        <w:ind w:left="453"/>
        <w:jc w:val="left"/>
      </w:pPr>
      <w:r>
        <w:rPr>
          <w:rFonts w:eastAsia="等线" w:ascii="Arial" w:cs="Arial" w:hAnsi="Arial"/>
          <w:sz w:val="22"/>
        </w:rPr>
        <w:t xml:space="preserve"> If SAP does not support it natively, SCC may compare whether to customise in SAP or build the workflow in MAIA. </w:t>
      </w:r>
    </w:p>
    <w:p>
      <w:pPr>
        <w:numPr>
          <w:numId w:val="19"/>
        </w:numPr>
        <w:spacing w:before="120" w:after="120" w:line="288" w:lineRule="auto"/>
        <w:ind w:left="0"/>
        <w:jc w:val="left"/>
      </w:pPr>
      <w:r>
        <w:rPr>
          <w:rFonts w:eastAsia="等线" w:ascii="Arial" w:cs="Arial" w:hAnsi="Arial"/>
          <w:b w:val="true"/>
          <w:sz w:val="22"/>
        </w:rPr>
        <w:t>SAP Connectivity</w:t>
      </w:r>
    </w:p>
    <w:p>
      <w:pPr>
        <w:numPr>
          <w:numId w:val="20"/>
        </w:numPr>
        <w:spacing w:before="120" w:after="120" w:line="288" w:lineRule="auto"/>
        <w:ind w:left="453"/>
        <w:jc w:val="left"/>
      </w:pPr>
      <w:r>
        <w:rPr>
          <w:rFonts w:eastAsia="等线" w:ascii="Arial" w:cs="Arial" w:hAnsi="Arial"/>
          <w:sz w:val="22"/>
        </w:rPr>
        <w:t xml:space="preserve"> Current blocker: connection to SCC’s SAP server due to firewall/server setup. </w:t>
      </w:r>
    </w:p>
    <w:p>
      <w:pPr>
        <w:numPr>
          <w:numId w:val="21"/>
        </w:numPr>
        <w:spacing w:before="120" w:after="120" w:line="288" w:lineRule="auto"/>
        <w:ind w:left="453"/>
        <w:jc w:val="left"/>
      </w:pPr>
      <w:r>
        <w:rPr>
          <w:rFonts w:eastAsia="等线" w:ascii="Arial" w:cs="Arial" w:hAnsi="Arial"/>
          <w:sz w:val="22"/>
        </w:rPr>
        <w:t xml:space="preserve"> Mindhive is coordinating with SCC’s IT vendor to install/configure the listener required for SAP integration. </w:t>
      </w:r>
    </w:p>
    <w:p>
      <w:pPr>
        <w:numPr>
          <w:numId w:val="22"/>
        </w:numPr>
        <w:spacing w:before="120" w:after="120" w:line="288" w:lineRule="auto"/>
        <w:ind w:left="453"/>
        <w:jc w:val="left"/>
      </w:pPr>
      <w:r>
        <w:rPr>
          <w:rFonts w:eastAsia="等线" w:ascii="Arial" w:cs="Arial" w:hAnsi="Arial"/>
          <w:sz w:val="22"/>
        </w:rPr>
        <w:t xml:space="preserve"> Once resolved, Mindhive will spin up SCC’s MAIA instance, perform internal testing, then pass it to SCC for testing. </w:t>
      </w:r>
    </w:p>
    <w:p>
      <w:pPr>
        <w:pStyle w:val="3"/>
        <w:spacing w:before="300" w:after="120" w:line="288" w:lineRule="auto"/>
        <w:ind w:left="0"/>
        <w:jc w:val="left"/>
        <w:outlineLvl w:val="2"/>
      </w:pPr>
      <w:bookmarkStart w:name="heading_2" w:id="2"/>
      <w:r>
        <w:rPr>
          <w:rFonts w:eastAsia="等线" w:ascii="Arial" w:cs="Arial" w:hAnsi="Arial"/>
          <w:b w:val="true"/>
          <w:sz w:val="30"/>
        </w:rPr>
        <w:t>Action Items</w:t>
      </w:r>
      <w:bookmarkEnd w:id="2"/>
    </w:p>
    <w:p>
      <w:pPr>
        <w:spacing w:before="120" w:after="120" w:line="288" w:lineRule="auto"/>
        <w:ind w:left="0"/>
      </w:pPr>
      <w:r>
        <w:object>
          <v:shapetype coordsize="21600,21600" filled="f" id="_x0000_t75" o:preferrelative="t" path="m@4@5l@4@11@9@11@9@5xe" stroked="f" o:spt="75.0">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i1025" style="width:414pt;height:109pt;mso-width-percent:0;mso-height-percent:0;mso-width-percent:0;mso-height-percent:0" type="#_x0000_t75" o:ole="">
            <v:imagedata r:id="rId6" o:title=""/>
          </v:shape>
          <o:OLEObject DrawAspect="Icon" ObjectID="_1718471219" ProgID="Excel.Sheet.12" ShapeID="_x0000_i1025" Type="Embed" r:id="rId5"/>
        </w:object>
      </w:r>
    </w:p>
    <w:p>
      <w:pPr>
        <w:spacing w:after="120"/>
        <w:ind w:left="0"/>
        <w:jc w:val="center"/>
      </w:pPr>
      <w:r>
        <w:rPr>
          <w:rFonts w:eastAsia="等线" w:ascii="Arial" w:cs="Arial" w:hAnsi="Arial"/>
          <w:b w:val="true"/>
          <w:sz w:val="22"/>
        </w:rPr>
        <w:t>Click the image to view the sheet.</w:t>
      </w:r>
    </w:p>
    <w:p>
      <w:pPr>
        <w:spacing w:before="120" w:after="120" w:line="288" w:lineRule="auto"/>
        <w:ind w:left="0"/>
        <w:jc w:val="left"/>
      </w:pPr>
    </w:p>
    <w:sectPr>
      <w:footerReference w:type="default" r:id="rId3"/>
      <w:headerReference w:type="default" r:id="rId7"/>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91458">
    <w:lvl>
      <w:start w:val="1"/>
      <w:numFmt w:val="decimal"/>
      <w:suff w:val="tab"/>
      <w:lvlText w:val="%1."/>
      <w:rPr>
        <w:color w:val="3370ff"/>
      </w:rPr>
    </w:lvl>
  </w:abstractNum>
  <w:abstractNum w:abstractNumId="91459">
    <w:lvl>
      <w:numFmt w:val="bullet"/>
      <w:suff w:val="tab"/>
      <w:lvlText w:val="￮"/>
      <w:rPr>
        <w:color w:val="3370ff"/>
      </w:rPr>
    </w:lvl>
  </w:abstractNum>
  <w:abstractNum w:abstractNumId="91460">
    <w:lvl>
      <w:numFmt w:val="bullet"/>
      <w:suff w:val="tab"/>
      <w:lvlText w:val="￮"/>
      <w:rPr>
        <w:color w:val="3370ff"/>
      </w:rPr>
    </w:lvl>
  </w:abstractNum>
  <w:abstractNum w:abstractNumId="91461">
    <w:lvl>
      <w:numFmt w:val="bullet"/>
      <w:suff w:val="tab"/>
      <w:lvlText w:val="￮"/>
      <w:rPr>
        <w:color w:val="3370ff"/>
      </w:rPr>
    </w:lvl>
  </w:abstractNum>
  <w:abstractNum w:abstractNumId="91462">
    <w:lvl>
      <w:start w:val="2"/>
      <w:numFmt w:val="decimal"/>
      <w:suff w:val="tab"/>
      <w:lvlText w:val="%1."/>
      <w:rPr>
        <w:color w:val="3370ff"/>
      </w:rPr>
    </w:lvl>
  </w:abstractNum>
  <w:abstractNum w:abstractNumId="91463">
    <w:lvl>
      <w:numFmt w:val="bullet"/>
      <w:suff w:val="tab"/>
      <w:lvlText w:val="￮"/>
      <w:rPr>
        <w:color w:val="3370ff"/>
      </w:rPr>
    </w:lvl>
  </w:abstractNum>
  <w:abstractNum w:abstractNumId="91464">
    <w:lvl>
      <w:numFmt w:val="bullet"/>
      <w:suff w:val="tab"/>
      <w:lvlText w:val="￮"/>
      <w:rPr>
        <w:color w:val="3370ff"/>
      </w:rPr>
    </w:lvl>
  </w:abstractNum>
  <w:abstractNum w:abstractNumId="91465">
    <w:lvl>
      <w:numFmt w:val="bullet"/>
      <w:suff w:val="tab"/>
      <w:lvlText w:val="￮"/>
      <w:rPr>
        <w:color w:val="3370ff"/>
      </w:rPr>
    </w:lvl>
  </w:abstractNum>
  <w:abstractNum w:abstractNumId="91466">
    <w:lvl>
      <w:start w:val="3"/>
      <w:numFmt w:val="decimal"/>
      <w:suff w:val="tab"/>
      <w:lvlText w:val="%1."/>
      <w:rPr>
        <w:color w:val="3370ff"/>
      </w:rPr>
    </w:lvl>
  </w:abstractNum>
  <w:abstractNum w:abstractNumId="91467">
    <w:lvl>
      <w:numFmt w:val="bullet"/>
      <w:suff w:val="tab"/>
      <w:lvlText w:val="￮"/>
      <w:rPr>
        <w:color w:val="3370ff"/>
      </w:rPr>
    </w:lvl>
  </w:abstractNum>
  <w:abstractNum w:abstractNumId="91468">
    <w:lvl>
      <w:numFmt w:val="bullet"/>
      <w:suff w:val="tab"/>
      <w:lvlText w:val="￮"/>
      <w:rPr>
        <w:color w:val="3370ff"/>
      </w:rPr>
    </w:lvl>
  </w:abstractNum>
  <w:abstractNum w:abstractNumId="91469">
    <w:lvl>
      <w:numFmt w:val="bullet"/>
      <w:suff w:val="tab"/>
      <w:lvlText w:val="￮"/>
      <w:rPr>
        <w:color w:val="3370ff"/>
      </w:rPr>
    </w:lvl>
  </w:abstractNum>
  <w:abstractNum w:abstractNumId="91470">
    <w:lvl>
      <w:numFmt w:val="bullet"/>
      <w:suff w:val="tab"/>
      <w:lvlText w:val="￮"/>
      <w:rPr>
        <w:color w:val="3370ff"/>
      </w:rPr>
    </w:lvl>
  </w:abstractNum>
  <w:abstractNum w:abstractNumId="91471">
    <w:lvl>
      <w:start w:val="4"/>
      <w:numFmt w:val="decimal"/>
      <w:suff w:val="tab"/>
      <w:lvlText w:val="%1."/>
      <w:rPr>
        <w:color w:val="3370ff"/>
      </w:rPr>
    </w:lvl>
  </w:abstractNum>
  <w:abstractNum w:abstractNumId="91472">
    <w:lvl>
      <w:numFmt w:val="bullet"/>
      <w:suff w:val="tab"/>
      <w:lvlText w:val="￮"/>
      <w:rPr>
        <w:color w:val="3370ff"/>
      </w:rPr>
    </w:lvl>
  </w:abstractNum>
  <w:abstractNum w:abstractNumId="91473">
    <w:lvl>
      <w:numFmt w:val="bullet"/>
      <w:suff w:val="tab"/>
      <w:lvlText w:val="￮"/>
      <w:rPr>
        <w:color w:val="3370ff"/>
      </w:rPr>
    </w:lvl>
  </w:abstractNum>
  <w:abstractNum w:abstractNumId="91474">
    <w:lvl>
      <w:numFmt w:val="bullet"/>
      <w:suff w:val="tab"/>
      <w:lvlText w:val="￮"/>
      <w:rPr>
        <w:color w:val="3370ff"/>
      </w:rPr>
    </w:lvl>
  </w:abstractNum>
  <w:abstractNum w:abstractNumId="91475">
    <w:lvl>
      <w:numFmt w:val="bullet"/>
      <w:suff w:val="tab"/>
      <w:lvlText w:val="￮"/>
      <w:rPr>
        <w:color w:val="3370ff"/>
      </w:rPr>
    </w:lvl>
  </w:abstractNum>
  <w:abstractNum w:abstractNumId="91476">
    <w:lvl>
      <w:start w:val="5"/>
      <w:numFmt w:val="decimal"/>
      <w:suff w:val="tab"/>
      <w:lvlText w:val="%1."/>
      <w:rPr>
        <w:color w:val="3370ff"/>
      </w:rPr>
    </w:lvl>
  </w:abstractNum>
  <w:abstractNum w:abstractNumId="91477">
    <w:lvl>
      <w:numFmt w:val="bullet"/>
      <w:suff w:val="tab"/>
      <w:lvlText w:val="￮"/>
      <w:rPr>
        <w:color w:val="3370ff"/>
      </w:rPr>
    </w:lvl>
  </w:abstractNum>
  <w:abstractNum w:abstractNumId="91478">
    <w:lvl>
      <w:numFmt w:val="bullet"/>
      <w:suff w:val="tab"/>
      <w:lvlText w:val="￮"/>
      <w:rPr>
        <w:color w:val="3370ff"/>
      </w:rPr>
    </w:lvl>
  </w:abstractNum>
  <w:abstractNum w:abstractNumId="91479">
    <w:lvl>
      <w:numFmt w:val="bullet"/>
      <w:suff w:val="tab"/>
      <w:lvlText w:val="￮"/>
      <w:rPr>
        <w:color w:val="3370ff"/>
      </w:rPr>
    </w:lvl>
  </w:abstractNum>
  <w:num w:numId="1">
    <w:abstractNumId w:val="91458"/>
  </w:num>
  <w:num w:numId="2">
    <w:abstractNumId w:val="91459"/>
  </w:num>
  <w:num w:numId="3">
    <w:abstractNumId w:val="91460"/>
  </w:num>
  <w:num w:numId="4">
    <w:abstractNumId w:val="91461"/>
  </w:num>
  <w:num w:numId="5">
    <w:abstractNumId w:val="91462"/>
  </w:num>
  <w:num w:numId="6">
    <w:abstractNumId w:val="91463"/>
  </w:num>
  <w:num w:numId="7">
    <w:abstractNumId w:val="91464"/>
  </w:num>
  <w:num w:numId="8">
    <w:abstractNumId w:val="91465"/>
  </w:num>
  <w:num w:numId="9">
    <w:abstractNumId w:val="91466"/>
  </w:num>
  <w:num w:numId="10">
    <w:abstractNumId w:val="91467"/>
  </w:num>
  <w:num w:numId="11">
    <w:abstractNumId w:val="91468"/>
  </w:num>
  <w:num w:numId="12">
    <w:abstractNumId w:val="91469"/>
  </w:num>
  <w:num w:numId="13">
    <w:abstractNumId w:val="91470"/>
  </w:num>
  <w:num w:numId="14">
    <w:abstractNumId w:val="91471"/>
  </w:num>
  <w:num w:numId="15">
    <w:abstractNumId w:val="91472"/>
  </w:num>
  <w:num w:numId="16">
    <w:abstractNumId w:val="91473"/>
  </w:num>
  <w:num w:numId="17">
    <w:abstractNumId w:val="91474"/>
  </w:num>
  <w:num w:numId="18">
    <w:abstractNumId w:val="91475"/>
  </w:num>
  <w:num w:numId="19">
    <w:abstractNumId w:val="91476"/>
  </w:num>
  <w:num w:numId="20">
    <w:abstractNumId w:val="91477"/>
  </w:num>
  <w:num w:numId="21">
    <w:abstractNumId w:val="91478"/>
  </w:num>
  <w:num w:numId="22">
    <w:abstractNumId w:val="91479"/>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embeddings/Microsoft_Excel_Worksheet1.xlsx" Type="http://schemas.openxmlformats.org/officeDocument/2006/relationships/package"/><Relationship Id="rId6" Target="media/image1.png" Type="http://schemas.openxmlformats.org/officeDocument/2006/relationships/image"/><Relationship Id="rId7"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2026-06-22T05:13:26Z</dcterms:created>
  <dc:creator>Apache POI</dc:creator>
</cp:coreProperties>
</file>