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6B"/>
          <w:sz w:val="52"/>
          <w:szCs w:val="52"/>
        </w:rPr>
        <w:t xml:space="preserve">MAIA</w:t>
      </w:r>
      <w:r>
        <w:rPr>
          <w:rFonts w:ascii="Arial" w:cs="Arial" w:eastAsia="Arial" w:hAnsi="Arial"/>
          <w:color w:val="6B7280"/>
          <w:sz w:val="36"/>
          <w:szCs w:val="36"/>
        </w:rPr>
        <w:t xml:space="preserve">  ·  ERP Integration Touchpoints</w:t>
      </w:r>
    </w:p>
    <w:p>
      <w:pPr>
        <w:pBdr>
          <w:bottom w:val="single" w:color="1B3A6B" w:sz="6" w:space="1"/>
        </w:pBdr>
        <w:spacing w:after="60" w:before="0"/>
      </w:pPr>
      <w:r>
        <w:rPr>
          <w:rFonts w:ascii="Arial" w:cs="Arial" w:eastAsia="Arial" w:hAnsi="Arial"/>
          <w:color w:val="6B7280"/>
          <w:sz w:val="18"/>
          <w:szCs w:val="18"/>
        </w:rPr>
        <w:t xml:space="preserve">Reference document for third-party ERP / IT vendors — SQL Accounting, AutoCount, SAP Business One, Epicor, and equivalents</w:t>
      </w:r>
    </w:p>
    <w:p>
      <w:pPr>
        <w:spacing w:after="40" w:before="120"/>
      </w:pPr>
      <w:r>
        <w:rPr>
          <w:rFonts w:ascii="Arial" w:cs="Arial" w:eastAsia="Arial" w:hAnsi="Arial"/>
          <w:color w:val="374151"/>
          <w:sz w:val="18"/>
          <w:szCs w:val="18"/>
        </w:rPr>
        <w:t xml:space="preserve">This document describes every touchpoint between MAIA and the client's ERP system. It is intended for the ERP vendor or IT integrator to understand the data entities MAIA requires access to, the direction of each integration, the fields involved, and the triggers that initiate each sync or document exchange.</w:t>
      </w:r>
    </w:p>
    <w:p>
      <w:pPr>
        <w:spacing w:after="80" w:before="200"/>
      </w:pPr>
      <w:r>
        <w:rPr>
          <w:rFonts w:ascii="Arial" w:cs="Arial" w:eastAsia="Arial" w:hAnsi="Arial"/>
          <w:b/>
          <w:bCs/>
          <w:color w:val="1B3A6B"/>
          <w:sz w:val="22"/>
          <w:szCs w:val="22"/>
        </w:rPr>
        <w:t xml:space="preserve">Integration Direction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pPr>
              <w:jc w:val="center"/>
            </w:pPr>
            <w:r>
              <w:rPr>
                <w:rFonts w:ascii="Arial" w:cs="Arial" w:eastAsia="Arial" w:hAnsi="Arial"/>
                <w:b/>
                <w:bCs/>
                <w:color w:val="065F46"/>
                <w:sz w:val="18"/>
                <w:szCs w:val="18"/>
              </w:rPr>
              <w:t xml:space="preserve">READ</w:t>
            </w:r>
          </w:p>
        </w:tc>
        <w:tc>
          <w:tcPr>
            <w:tcW w:type="dxa" w:w="79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pulls data from the ERP. The ERP is the source. MAIA stores a local copy for speed and context.</w:t>
            </w:r>
          </w:p>
        </w:tc>
      </w:tr>
      <w:tr>
        <w:tc>
          <w:tcPr>
            <w:tcW w:type="dxa" w:w="1400"/>
            <w:gridSpan w:val="1"/>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top"/>
          </w:tcPr>
          <w:p>
            <w:pPr>
              <w:jc w:val="center"/>
            </w:pPr>
            <w:r>
              <w:rPr>
                <w:rFonts w:ascii="Arial" w:cs="Arial" w:eastAsia="Arial" w:hAnsi="Arial"/>
                <w:b/>
                <w:bCs/>
                <w:color w:val="1D4ED8"/>
                <w:sz w:val="18"/>
                <w:szCs w:val="18"/>
              </w:rPr>
              <w:t xml:space="preserve">WRITE</w:t>
            </w:r>
          </w:p>
        </w:tc>
        <w:tc>
          <w:tcPr>
            <w:tcW w:type="dxa" w:w="79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pushes a new document or record into the ERP. The ERP must accept the payload and return a confirmation ID.</w:t>
            </w:r>
          </w:p>
        </w:tc>
      </w:tr>
      <w:tr>
        <w:tc>
          <w:tcPr>
            <w:tcW w:type="dxa" w:w="1400"/>
            <w:gridSpan w:val="1"/>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jc w:val="center"/>
            </w:pPr>
            <w:r>
              <w:rPr>
                <w:rFonts w:ascii="Arial" w:cs="Arial" w:eastAsia="Arial" w:hAnsi="Arial"/>
                <w:b/>
                <w:bCs/>
                <w:color w:val="92400E"/>
                <w:sz w:val="18"/>
                <w:szCs w:val="18"/>
              </w:rPr>
              <w:t xml:space="preserve">READ / WRITE</w:t>
            </w:r>
          </w:p>
        </w:tc>
        <w:tc>
          <w:tcPr>
            <w:tcW w:type="dxa" w:w="79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Bidirectional. Applies to transactional documents where MAIA pushes the document to the ERP, and the ERP feeds status updates back (e.g. payment applied, stock confirmed).</w:t>
            </w:r>
          </w:p>
        </w:tc>
      </w:tr>
    </w:tbl>
    <w:p>
      <w:pPr>
        <w:spacing w:after="80" w:before="240"/>
      </w:pPr>
      <w:r>
        <w:rPr>
          <w:rFonts w:ascii="Arial" w:cs="Arial" w:eastAsia="Arial" w:hAnsi="Arial"/>
          <w:b/>
          <w:bCs/>
          <w:color w:val="1B3A6B"/>
          <w:sz w:val="24"/>
          <w:szCs w:val="24"/>
        </w:rPr>
        <w:t xml:space="preserve">1. Master Data &amp; Reference Data</w:t>
      </w:r>
    </w:p>
    <w:p>
      <w:pPr>
        <w:spacing w:after="80" w:before="0"/>
      </w:pPr>
      <w:r>
        <w:rPr>
          <w:rFonts w:ascii="Arial" w:cs="Arial" w:eastAsia="Arial" w:hAnsi="Arial"/>
          <w:color w:val="4B5563"/>
          <w:sz w:val="18"/>
          <w:szCs w:val="18"/>
        </w:rPr>
        <w:t xml:space="preserve">All master data flows one direction: ERP → MAIA. Records created or updated in the ERP are synced into MAIA. MAIA does not write master data back to the ERP. Inventory is always pulled fresh — webhook on stock movement is preferred; scheduled cron is the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4000"/>
        <w:gridCol w:w="2560"/>
      </w:tblGrid>
      <w:tr>
        <w:trPr>
          <w:tblHeader/>
        </w:trPr>
        <w:tc>
          <w:tcPr>
            <w:tcW w:type="dxa" w:w="180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Document / Entity</w:t>
            </w:r>
          </w:p>
        </w:tc>
        <w:tc>
          <w:tcPr>
            <w:tcW w:type="dxa" w:w="100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Direction</w:t>
            </w:r>
          </w:p>
        </w:tc>
        <w:tc>
          <w:tcPr>
            <w:tcW w:type="dxa" w:w="400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Data Fields &amp; Scope</w:t>
            </w:r>
          </w:p>
        </w:tc>
        <w:tc>
          <w:tcPr>
            <w:tcW w:type="dxa" w:w="256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Trigger / Frequency</w:t>
            </w:r>
          </w:p>
        </w:tc>
      </w:tr>
      <w:tr>
        <w:tc>
          <w:tcPr>
            <w:tcW w:type="dxa" w:w="18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Customer Master</w:t>
            </w:r>
          </w:p>
        </w:tc>
        <w:tc>
          <w:tcPr>
            <w:tcW w:type="dxa" w:w="1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065F46"/>
                <w:sz w:val="17"/>
                <w:szCs w:val="17"/>
              </w:rPr>
              <w:t xml:space="preserve">READ</w:t>
            </w:r>
          </w:p>
        </w:tc>
        <w:tc>
          <w:tcPr>
            <w:tcW w:type="dxa" w:w="4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ERP → MAIA sync only. New or updated customer records in the ERP are synced into MAIA. MAIA does not write customers back to the ERP. Fields: name, code, address, contact, credit limit, tax class, payment terms, currency.</w:t>
            </w:r>
          </w:p>
        </w:tc>
        <w:tc>
          <w:tcPr>
            <w:tcW w:type="dxa" w:w="2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New/updated customer in ERP → sync to MAIA. Webhook on record change preferred; scheduled cron as fallback.</w:t>
            </w:r>
          </w:p>
        </w:tc>
      </w:tr>
      <w:tr>
        <w:tc>
          <w:tcPr>
            <w:tcW w:type="dxa" w:w="18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Item / Product Master</w:t>
            </w:r>
          </w:p>
        </w:tc>
        <w:tc>
          <w:tcPr>
            <w:tcW w:type="dxa" w:w="1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center"/>
            </w:pPr>
            <w:r>
              <w:rPr>
                <w:rFonts w:ascii="Arial" w:cs="Arial" w:eastAsia="Arial" w:hAnsi="Arial"/>
                <w:b/>
                <w:bCs/>
                <w:color w:val="065F46"/>
                <w:sz w:val="17"/>
                <w:szCs w:val="17"/>
              </w:rPr>
              <w:t xml:space="preserve">READ</w:t>
            </w:r>
          </w:p>
        </w:tc>
        <w:tc>
          <w:tcPr>
            <w:tcW w:type="dxa" w:w="4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ERP → MAIA sync only. New or updated items in the ERP are synced into MAIA. MAIA does not push item records back to the ERP. Fields: item code, name, UOM, category, tax code, status (active/discontinued), bundle/component mapping.</w:t>
            </w:r>
          </w:p>
        </w:tc>
        <w:tc>
          <w:tcPr>
            <w:tcW w:type="dxa" w:w="25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New/updated item in ERP → sync to MAIA. Webhook on record change preferred; scheduled cron as fallback.</w:t>
            </w:r>
          </w:p>
        </w:tc>
      </w:tr>
      <w:tr>
        <w:tc>
          <w:tcPr>
            <w:tcW w:type="dxa" w:w="18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Inventory / Stock Levels</w:t>
            </w:r>
          </w:p>
        </w:tc>
        <w:tc>
          <w:tcPr>
            <w:tcW w:type="dxa" w:w="1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065F46"/>
                <w:sz w:val="17"/>
                <w:szCs w:val="17"/>
              </w:rPr>
              <w:t xml:space="preserve">READ</w:t>
            </w:r>
          </w:p>
        </w:tc>
        <w:tc>
          <w:tcPr>
            <w:tcW w:type="dxa" w:w="4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ERP → MAIA sync only. MAIA always pulls the latest stock levels per item per warehouse/location. Used for availability checks during order-taking. MAIA does not write stock levels.</w:t>
            </w:r>
          </w:p>
        </w:tc>
        <w:tc>
          <w:tcPr>
            <w:tcW w:type="dxa" w:w="2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Webhook on stock movement (preferred). If webhook not available: scheduled cron pull — frequency to be agreed per client (recommended every 15–30 min).</w:t>
            </w:r>
          </w:p>
        </w:tc>
      </w:tr>
      <w:tr>
        <w:tc>
          <w:tcPr>
            <w:tcW w:type="dxa" w:w="18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Pricing &amp; Price Lists</w:t>
            </w:r>
          </w:p>
        </w:tc>
        <w:tc>
          <w:tcPr>
            <w:tcW w:type="dxa" w:w="1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center"/>
            </w:pPr>
            <w:r>
              <w:rPr>
                <w:rFonts w:ascii="Arial" w:cs="Arial" w:eastAsia="Arial" w:hAnsi="Arial"/>
                <w:b/>
                <w:bCs/>
                <w:color w:val="065F46"/>
                <w:sz w:val="17"/>
                <w:szCs w:val="17"/>
              </w:rPr>
              <w:t xml:space="preserve">READ</w:t>
            </w:r>
          </w:p>
        </w:tc>
        <w:tc>
          <w:tcPr>
            <w:tcW w:type="dxa" w:w="4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ERP → MAIA sync only. Standard and customer-specific price lists are maintained in the ERP and synced to MAIA. Includes currency, effective dates, and minimum order quantities. MAIA does not push pricing back.</w:t>
            </w:r>
          </w:p>
        </w:tc>
        <w:tc>
          <w:tcPr>
            <w:tcW w:type="dxa" w:w="25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Price list update in ERP → sync to MAIA. Webhook on change preferred; scheduled cron as fallback.</w:t>
            </w:r>
          </w:p>
        </w:tc>
      </w:tr>
    </w:tbl>
    <w:p>
      <w:pPr>
        <w:spacing w:after="80" w:before="240"/>
      </w:pPr>
      <w:r>
        <w:rPr>
          <w:rFonts w:ascii="Arial" w:cs="Arial" w:eastAsia="Arial" w:hAnsi="Arial"/>
          <w:b/>
          <w:bCs/>
          <w:color w:val="1B3A6B"/>
          <w:sz w:val="24"/>
          <w:szCs w:val="24"/>
        </w:rPr>
        <w:t xml:space="preserve">2. Transactional Documents</w:t>
      </w:r>
    </w:p>
    <w:p>
      <w:pPr>
        <w:spacing w:after="80" w:before="0"/>
      </w:pPr>
      <w:r>
        <w:rPr>
          <w:rFonts w:ascii="Arial" w:cs="Arial" w:eastAsia="Arial" w:hAnsi="Arial"/>
          <w:color w:val="4B5563"/>
          <w:sz w:val="18"/>
          <w:szCs w:val="18"/>
        </w:rPr>
        <w:t xml:space="preserve">MAIA is the system of record for all transactional documents. Documents are created in MAIA and pushed to the ERP for accounting and record-keeping. Read-back / reconciliation sync (where documents created directly in the ERP are pulled into MAIA) is supported as a customisation — it is not part of the standard integration and should be scoped separately if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000"/>
        <w:gridCol w:w="2760"/>
      </w:tblGrid>
      <w:tr>
        <w:trPr>
          <w:tblHeader/>
        </w:trPr>
        <w:tc>
          <w:tcPr>
            <w:tcW w:type="dxa" w:w="160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Document / Entity</w:t>
            </w:r>
          </w:p>
        </w:tc>
        <w:tc>
          <w:tcPr>
            <w:tcW w:type="dxa" w:w="100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Direction</w:t>
            </w:r>
          </w:p>
        </w:tc>
        <w:tc>
          <w:tcPr>
            <w:tcW w:type="dxa" w:w="400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Data Fields &amp; Scope</w:t>
            </w:r>
          </w:p>
        </w:tc>
        <w:tc>
          <w:tcPr>
            <w:tcW w:type="dxa" w:w="276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Trigger / Frequency</w:t>
            </w:r>
          </w:p>
        </w:tc>
      </w:tr>
      <w:tr>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Quotation</w:t>
            </w:r>
          </w:p>
        </w:tc>
        <w:tc>
          <w:tcPr>
            <w:tcW w:type="dxa" w:w="1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is the source of truth. Quotations are created and managed in MAIA, then pushed to ERP for record-keeping. Fields: customer, date, validity, line items (item code, qty, UOM, unit price, discount), terms.</w:t>
            </w:r>
          </w:p>
        </w:tc>
        <w:tc>
          <w:tcPr>
            <w:tcW w:type="dxa" w:w="27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User confirms quotation in MAIA → pushed to ERP. ERP returns document ID for MAIA to store.</w:t>
            </w:r>
          </w:p>
        </w:tc>
      </w:tr>
      <w:tr>
        <w:tc>
          <w:tcPr>
            <w:tcW w:type="dxa" w:w="16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Sales Order</w:t>
            </w:r>
          </w:p>
        </w:tc>
        <w:tc>
          <w:tcPr>
            <w:tcW w:type="dxa" w:w="1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is the source of truth. Confirmed SOs are created in MAIA, then pushed to ERP. Fields: customer, order date, expected delivery, line items, payment terms, billing/shipping address, reference number.</w:t>
            </w:r>
          </w:p>
        </w:tc>
        <w:tc>
          <w:tcPr>
            <w:tcW w:type="dxa" w:w="27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User confirms SO in MAIA → pushed to ERP. ERP returns SO ID/number for MAIA to store.</w:t>
            </w:r>
          </w:p>
        </w:tc>
      </w:tr>
      <w:tr>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Sales Invoice (SI)</w:t>
            </w:r>
          </w:p>
        </w:tc>
        <w:tc>
          <w:tcPr>
            <w:tcW w:type="dxa" w:w="1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generates and owns sales invoices. Pushed to ERP for accounting records. MAIA reads back payment status updates as payments are recorded in the ERP. Fields: SO reference, customer, line items, tax, totals, due date.</w:t>
            </w:r>
          </w:p>
        </w:tc>
        <w:tc>
          <w:tcPr>
            <w:tcW w:type="dxa" w:w="27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MAIA pushes SI to ERP on billing trigger. ERP payment entries update invoice status back to MAIA.</w:t>
            </w:r>
          </w:p>
        </w:tc>
      </w:tr>
      <w:tr>
        <w:tc>
          <w:tcPr>
            <w:tcW w:type="dxa" w:w="16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Credit Note</w:t>
            </w:r>
          </w:p>
        </w:tc>
        <w:tc>
          <w:tcPr>
            <w:tcW w:type="dxa" w:w="1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creates credit notes against invoices. Pushed to ERP for accounting. Fields: original invoice reference, customer, reason, items/amounts being credited.</w:t>
            </w:r>
          </w:p>
        </w:tc>
        <w:tc>
          <w:tcPr>
            <w:tcW w:type="dxa" w:w="27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Issued from MAIA on return or adjustment → pushed to ERP</w:t>
            </w:r>
          </w:p>
        </w:tc>
      </w:tr>
      <w:tr>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Debit Note</w:t>
            </w:r>
          </w:p>
        </w:tc>
        <w:tc>
          <w:tcPr>
            <w:tcW w:type="dxa" w:w="1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creates debit notes for adjustments that increase customer liability. Pushed to ERP. Fields: original reference, customer, reason, adjustment amount.</w:t>
            </w:r>
          </w:p>
        </w:tc>
        <w:tc>
          <w:tcPr>
            <w:tcW w:type="dxa" w:w="27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Issued from MAIA on adjustment → pushed to ERP</w:t>
            </w:r>
          </w:p>
        </w:tc>
      </w:tr>
      <w:tr>
        <w:tc>
          <w:tcPr>
            <w:tcW w:type="dxa" w:w="16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Delivery Note (DN)</w:t>
            </w:r>
          </w:p>
        </w:tc>
        <w:tc>
          <w:tcPr>
            <w:tcW w:type="dxa" w:w="1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owns delivery note creation and execution status. Pushed to ERP. Fields: customer, delivery address, items, quantities, batch/serial (if applicable), driver/vehicle, POD status.</w:t>
            </w:r>
          </w:p>
        </w:tc>
        <w:tc>
          <w:tcPr>
            <w:tcW w:type="dxa" w:w="27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Generated in MAIA from SO on fulfilment → pushed to ERP. Delivery status updates (Dispatched, Delivered, Failed) managed in MAIA.</w:t>
            </w:r>
          </w:p>
        </w:tc>
      </w:tr>
      <w:tr>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Return Note (RN)</w:t>
            </w:r>
          </w:p>
        </w:tc>
        <w:tc>
          <w:tcPr>
            <w:tcW w:type="dxa" w:w="1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creates return notes against delivery notes or invoices. Pushed to ERP for inventory and accounting reconciliation. Fields: original DN/SI reference, customer, items, quantities, return reason.</w:t>
            </w:r>
          </w:p>
        </w:tc>
        <w:tc>
          <w:tcPr>
            <w:tcW w:type="dxa" w:w="27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Initiated in MAIA → pushed to ERP on confirmation</w:t>
            </w:r>
          </w:p>
        </w:tc>
      </w:tr>
      <w:tr>
        <w:tc>
          <w:tcPr>
            <w:tcW w:type="dxa" w:w="16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Pick List</w:t>
            </w:r>
          </w:p>
        </w:tc>
        <w:tc>
          <w:tcPr>
            <w:tcW w:type="dxa" w:w="1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generates pick lists downstream from confirmed SOs. Pushed to ERP or warehouse system. Fields: warehouse, items, quantities, pick sequence, assigned picker.</w:t>
            </w:r>
          </w:p>
        </w:tc>
        <w:tc>
          <w:tcPr>
            <w:tcW w:type="dxa" w:w="27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Triggered in MAIA when SO moves to fulfilment stage</w:t>
            </w:r>
          </w:p>
        </w:tc>
      </w:tr>
      <w:tr>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Payment Entry</w:t>
            </w:r>
          </w:p>
        </w:tc>
        <w:tc>
          <w:tcPr>
            <w:tcW w:type="dxa" w:w="1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creates payment entries in the ERP when payments are recorded or reconciled through MAIA. Fields: invoice reference, customer, amount, payment method, date, allocation.</w:t>
            </w:r>
          </w:p>
        </w:tc>
        <w:tc>
          <w:tcPr>
            <w:tcW w:type="dxa" w:w="27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Payment recorded or confirmed in MAIA → pushed to ERP.</w:t>
            </w:r>
          </w:p>
        </w:tc>
      </w:tr>
      <w:tr>
        <w:tc>
          <w:tcPr>
            <w:tcW w:type="dxa" w:w="16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Stock Entry</w:t>
            </w:r>
          </w:p>
        </w:tc>
        <w:tc>
          <w:tcPr>
            <w:tcW w:type="dxa" w:w="1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can create stock movement entries in the ERP (e.g. transfers, adjustments, goods receipt) where MAIA is managing the warehouse or fulfilment workflow. Fields: item, warehouse, quantity, movement type, reference.</w:t>
            </w:r>
          </w:p>
        </w:tc>
        <w:tc>
          <w:tcPr>
            <w:tcW w:type="dxa" w:w="27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Triggered from MAIA fulfilment or warehouse actions → pushed to ERP.</w:t>
            </w:r>
          </w:p>
        </w:tc>
      </w:tr>
      <w:tr>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Stock Reconciliation</w:t>
            </w:r>
          </w:p>
        </w:tc>
        <w:tc>
          <w:tcPr>
            <w:tcW w:type="dxa" w:w="1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1D4ED8"/>
                <w:sz w:val="17"/>
                <w:szCs w:val="17"/>
              </w:rPr>
              <w:t xml:space="preserve">WRITE</w:t>
            </w:r>
          </w:p>
        </w:tc>
        <w:tc>
          <w:tcPr>
            <w:tcW w:type="dxa" w:w="40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can push stock reconciliation records to the ERP where physical counts are conducted through MAIA. Fields: item, warehouse, counted quantity, variance, date.</w:t>
            </w:r>
          </w:p>
        </w:tc>
        <w:tc>
          <w:tcPr>
            <w:tcW w:type="dxa" w:w="27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B5563"/>
                <w:sz w:val="16"/>
                <w:szCs w:val="16"/>
              </w:rPr>
              <w:t xml:space="preserve">Initiated in MAIA post-count → pushed to ERP.</w:t>
            </w:r>
          </w:p>
        </w:tc>
      </w:tr>
    </w:tbl>
    <w:p>
      <w:pPr>
        <w:spacing w:after="80" w:before="240"/>
      </w:pPr>
      <w:r>
        <w:rPr>
          <w:rFonts w:ascii="Arial" w:cs="Arial" w:eastAsia="Arial" w:hAnsi="Arial"/>
          <w:b/>
          <w:bCs/>
          <w:color w:val="1B3A6B"/>
          <w:sz w:val="24"/>
          <w:szCs w:val="24"/>
        </w:rPr>
        <w:t xml:space="preserve">3. Integration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Principle</w:t>
            </w:r>
          </w:p>
        </w:tc>
        <w:tc>
          <w:tcPr>
            <w:tcW w:type="dxa" w:w="716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What This Means for Integration</w:t>
            </w:r>
          </w:p>
        </w:tc>
      </w:tr>
      <w:tr>
        <w:tc>
          <w:tcPr>
            <w:tcW w:type="dxa" w:w="2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MAIA owns transactional documents</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All business documents — Quotations, Sales Orders, Invoices, Delivery Notes, Credit/Debit Notes, Return Notes, Pick Lists, Payment Entries, Stock Entries, and Stock Reconciliations — are created in MAIA and pushed to the ERP. The ERP is the accounting backend; MAIA is the operational layer.</w:t>
            </w:r>
          </w:p>
        </w:tc>
      </w:tr>
      <w:tr>
        <w:tc>
          <w:tcPr>
            <w:tcW w:type="dxa" w:w="22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ERP owns master data</w:t>
            </w:r>
          </w:p>
        </w:tc>
        <w:tc>
          <w:tcPr>
            <w:tcW w:type="dxa" w:w="71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Customer, Item, and Pricing data are maintained in the ERP and flow one-way into MAIA. MAIA does not write master data back to the ERP. New records created in the ERP will be picked up on the next sync.</w:t>
            </w:r>
          </w:p>
        </w:tc>
      </w:tr>
      <w:tr>
        <w:tc>
          <w:tcPr>
            <w:tcW w:type="dxa" w:w="2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Inventory is always pulled fresh</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Stock levels are always read from the ERP. Webhook on stock movement is preferred. Where webhooks are unavailable, scheduled cron pull is used — frequency agreed per client.</w:t>
            </w:r>
          </w:p>
        </w:tc>
      </w:tr>
      <w:tr>
        <w:tc>
          <w:tcPr>
            <w:tcW w:type="dxa" w:w="22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Read-back sync is a customisation</w:t>
            </w:r>
          </w:p>
        </w:tc>
        <w:tc>
          <w:tcPr>
            <w:tcW w:type="dxa" w:w="71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Syncing documents created directly in the ERP back into MAIA (reconciliation mode) is technically supported but is not part of the standard integration. It must be explicitly scoped and agreed as a customisation if required.</w:t>
            </w:r>
          </w:p>
        </w:tc>
      </w:tr>
      <w:tr>
        <w:tc>
          <w:tcPr>
            <w:tcW w:type="dxa" w:w="2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Graceful degradation</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If the ERP integration is unavailable, MAIA queues outbound document pushes and notifies the admin. MAIA does not silently fail or corrupt data.</w:t>
            </w:r>
          </w:p>
        </w:tc>
      </w:tr>
      <w:tr>
        <w:tc>
          <w:tcPr>
            <w:tcW w:type="dxa" w:w="22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Idempotent writes</w:t>
            </w:r>
          </w:p>
        </w:tc>
        <w:tc>
          <w:tcPr>
            <w:tcW w:type="dxa" w:w="71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MAIA checks for existing records before pushing documents to the ERP, preventing duplicates on retry.</w:t>
            </w:r>
          </w:p>
        </w:tc>
      </w:tr>
      <w:tr>
        <w:tc>
          <w:tcPr>
            <w:tcW w:type="dxa" w:w="2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Audit trail</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Every sync event and document push is logged in MAIA with timestamps, entity references, and outcome status.</w:t>
            </w:r>
          </w:p>
        </w:tc>
      </w:tr>
      <w:tr>
        <w:tc>
          <w:tcPr>
            <w:tcW w:type="dxa" w:w="22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Permission-scoped API access</w:t>
            </w:r>
          </w:p>
        </w:tc>
        <w:tc>
          <w:tcPr>
            <w:tcW w:type="dxa" w:w="716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The integration service account in the ERP requires read access on master data and stock, and write access on all transactional document types listed above. No admin access required.</w:t>
            </w:r>
          </w:p>
        </w:tc>
      </w:tr>
    </w:tbl>
    <w:p>
      <w:pPr>
        <w:spacing w:after="80" w:before="240"/>
      </w:pPr>
      <w:r>
        <w:rPr>
          <w:rFonts w:ascii="Arial" w:cs="Arial" w:eastAsia="Arial" w:hAnsi="Arial"/>
          <w:b/>
          <w:bCs/>
          <w:color w:val="1B3A6B"/>
          <w:sz w:val="24"/>
          <w:szCs w:val="24"/>
        </w:rPr>
        <w:t xml:space="preserve">4. What We Need from the ERP Vendor</w:t>
      </w:r>
    </w:p>
    <w:p>
      <w:pPr>
        <w:spacing w:after="60" w:before="0"/>
      </w:pPr>
      <w:r>
        <w:rPr>
          <w:rFonts w:ascii="Arial" w:cs="Arial" w:eastAsia="Arial" w:hAnsi="Arial"/>
          <w:color w:val="374151"/>
          <w:sz w:val="18"/>
          <w:szCs w:val="18"/>
        </w:rPr>
        <w:t xml:space="preserve">To scope and execute the integration, MAIA's integration team will need the following from you:</w:t>
      </w:r>
    </w:p>
    <w:p>
      <w:pPr>
        <w:spacing w:after="40" w:before="60"/>
        <w:ind w:left="240" w:hanging="240"/>
      </w:pPr>
      <w:r>
        <w:rPr>
          <w:rFonts w:ascii="Arial" w:cs="Arial" w:eastAsia="Arial" w:hAnsi="Arial"/>
          <w:b/>
          <w:bCs/>
          <w:color w:val="1B3A6B"/>
          <w:sz w:val="18"/>
          <w:szCs w:val="18"/>
        </w:rPr>
        <w:t xml:space="preserve">API Documentation: </w:t>
      </w:r>
      <w:r>
        <w:rPr>
          <w:rFonts w:ascii="Arial" w:cs="Arial" w:eastAsia="Arial" w:hAnsi="Arial"/>
          <w:color w:val="374151"/>
          <w:sz w:val="18"/>
          <w:szCs w:val="18"/>
        </w:rPr>
        <w:t xml:space="preserve">REST or SOAP API docs for each entity listed above (customer, item, stock, pricing, SO, SI, DN, payment entry, stock entry).</w:t>
      </w:r>
    </w:p>
    <w:p>
      <w:pPr>
        <w:spacing w:after="40" w:before="60"/>
        <w:ind w:left="240" w:hanging="240"/>
      </w:pPr>
      <w:r>
        <w:rPr>
          <w:rFonts w:ascii="Arial" w:cs="Arial" w:eastAsia="Arial" w:hAnsi="Arial"/>
          <w:b/>
          <w:bCs/>
          <w:color w:val="1B3A6B"/>
          <w:sz w:val="18"/>
          <w:szCs w:val="18"/>
        </w:rPr>
        <w:t xml:space="preserve">Authentication Method: </w:t>
      </w:r>
      <w:r>
        <w:rPr>
          <w:rFonts w:ascii="Arial" w:cs="Arial" w:eastAsia="Arial" w:hAnsi="Arial"/>
          <w:color w:val="374151"/>
          <w:sz w:val="18"/>
          <w:szCs w:val="18"/>
        </w:rPr>
        <w:t xml:space="preserve">API key, OAuth 2.0, Basic Auth, or session token. Service account credentials will be requested post-SOW via a secure channel.</w:t>
      </w:r>
    </w:p>
    <w:p>
      <w:pPr>
        <w:spacing w:after="40" w:before="60"/>
        <w:ind w:left="240" w:hanging="240"/>
      </w:pPr>
      <w:r>
        <w:rPr>
          <w:rFonts w:ascii="Arial" w:cs="Arial" w:eastAsia="Arial" w:hAnsi="Arial"/>
          <w:b/>
          <w:bCs/>
          <w:color w:val="1B3A6B"/>
          <w:sz w:val="18"/>
          <w:szCs w:val="18"/>
        </w:rPr>
        <w:t xml:space="preserve">Webhook Support: </w:t>
      </w:r>
      <w:r>
        <w:rPr>
          <w:rFonts w:ascii="Arial" w:cs="Arial" w:eastAsia="Arial" w:hAnsi="Arial"/>
          <w:color w:val="374151"/>
          <w:sz w:val="18"/>
          <w:szCs w:val="18"/>
        </w:rPr>
        <w:t xml:space="preserve">Confirmation of whether the ERP supports webhooks or push notifications on record creation/update — or whether MAIA must poll.</w:t>
      </w:r>
    </w:p>
    <w:p>
      <w:pPr>
        <w:spacing w:after="40" w:before="60"/>
        <w:ind w:left="240" w:hanging="240"/>
      </w:pPr>
      <w:r>
        <w:rPr>
          <w:rFonts w:ascii="Arial" w:cs="Arial" w:eastAsia="Arial" w:hAnsi="Arial"/>
          <w:b/>
          <w:bCs/>
          <w:color w:val="1B3A6B"/>
          <w:sz w:val="18"/>
          <w:szCs w:val="18"/>
        </w:rPr>
        <w:t xml:space="preserve">Polling Frequency Limits: </w:t>
      </w:r>
      <w:r>
        <w:rPr>
          <w:rFonts w:ascii="Arial" w:cs="Arial" w:eastAsia="Arial" w:hAnsi="Arial"/>
          <w:color w:val="374151"/>
          <w:sz w:val="18"/>
          <w:szCs w:val="18"/>
        </w:rPr>
        <w:t xml:space="preserve">Rate limits or recommended polling intervals per endpoint, if webhooks are not available.</w:t>
      </w:r>
    </w:p>
    <w:p>
      <w:pPr>
        <w:spacing w:after="40" w:before="60"/>
        <w:ind w:left="240" w:hanging="240"/>
      </w:pPr>
      <w:r>
        <w:rPr>
          <w:rFonts w:ascii="Arial" w:cs="Arial" w:eastAsia="Arial" w:hAnsi="Arial"/>
          <w:b/>
          <w:bCs/>
          <w:color w:val="1B3A6B"/>
          <w:sz w:val="18"/>
          <w:szCs w:val="18"/>
        </w:rPr>
        <w:t xml:space="preserve">Sandbox / Test Environment: </w:t>
      </w:r>
      <w:r>
        <w:rPr>
          <w:rFonts w:ascii="Arial" w:cs="Arial" w:eastAsia="Arial" w:hAnsi="Arial"/>
          <w:color w:val="374151"/>
          <w:sz w:val="18"/>
          <w:szCs w:val="18"/>
        </w:rPr>
        <w:t xml:space="preserve">Access to a non-production environment for integration testing before go-live.</w:t>
      </w:r>
    </w:p>
    <w:p>
      <w:pPr>
        <w:spacing w:after="40" w:before="60"/>
        <w:ind w:left="240" w:hanging="240"/>
      </w:pPr>
      <w:r>
        <w:rPr>
          <w:rFonts w:ascii="Arial" w:cs="Arial" w:eastAsia="Arial" w:hAnsi="Arial"/>
          <w:b/>
          <w:bCs/>
          <w:color w:val="1B3A6B"/>
          <w:sz w:val="18"/>
          <w:szCs w:val="18"/>
        </w:rPr>
        <w:t xml:space="preserve">Field Mapping Reference: </w:t>
      </w:r>
      <w:r>
        <w:rPr>
          <w:rFonts w:ascii="Arial" w:cs="Arial" w:eastAsia="Arial" w:hAnsi="Arial"/>
          <w:color w:val="374151"/>
          <w:sz w:val="18"/>
          <w:szCs w:val="18"/>
        </w:rPr>
        <w:t xml:space="preserve">List of field names in your API that correspond to the entities above (e.g., your equivalent of 'customer code', 'item UOM', 'invoice status').</w:t>
      </w:r>
    </w:p>
    <w:p>
      <w:pPr>
        <w:spacing w:after="80" w:before="240"/>
      </w:pPr>
      <w:r>
        <w:rPr>
          <w:rFonts w:ascii="Arial" w:cs="Arial" w:eastAsia="Arial" w:hAnsi="Arial"/>
          <w:b/>
          <w:bCs/>
          <w:color w:val="1B3A6B"/>
          <w:sz w:val="24"/>
          <w:szCs w:val="24"/>
        </w:rPr>
        <w:t xml:space="preserve">5. Optional &amp; Advanced Integration Items</w:t>
      </w:r>
    </w:p>
    <w:p>
      <w:pPr>
        <w:spacing w:after="80" w:before="0"/>
      </w:pPr>
      <w:r>
        <w:rPr>
          <w:rFonts w:ascii="Arial" w:cs="Arial" w:eastAsia="Arial" w:hAnsi="Arial"/>
          <w:color w:val="4B5563"/>
          <w:sz w:val="18"/>
          <w:szCs w:val="18"/>
        </w:rPr>
        <w:t xml:space="preserve">The following items are outside the standard integration scope but may be required depending on client configuration, regulatory obligations, or ERP-specific constraints. Each should be confirmed and scoped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Item</w:t>
            </w:r>
          </w:p>
        </w:tc>
        <w:tc>
          <w:tcPr>
            <w:tcW w:type="dxa" w:w="7160"/>
            <w:gridSpan w:val="1"/>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Description &amp; Considerations</w:t>
            </w:r>
          </w:p>
        </w:tc>
      </w:tr>
      <w:tr>
        <w:tc>
          <w:tcPr>
            <w:tcW w:type="dxa" w:w="22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Setup / Reference Data API</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Where MAIA needs to populate dropdowns and reference fields correctly, the ERP must expose read API endpoints for: Customer Groups, Payment Terms, Payment Methods, Tax codes (global and line-level), and Warehouses. These are one-time or infrequent pulls used during MAIA configuration and new record creation — not transactional syncs. Confirm availability and field names per ERP.</w:t>
            </w:r>
          </w:p>
        </w:tc>
      </w:tr>
      <w:tr>
        <w:tc>
          <w:tcPr>
            <w:tcW w:type="dxa" w:w="2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e-Invoice Integration</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Where the client is subject to e-invoicing requirements (e.g. Malaysia LHDN MyInvois), MAIA may need to submit invoice data to the national tax authority via the ERP's e-invoice API or directly. Scope includes: invoice submission, cancellation, UUID/QR code retrieval, and status polling. Confirm whether the ERP has a built-in e-invoice connector or whether MAIA must integrate directly with the tax authority API.</w:t>
            </w:r>
          </w:p>
        </w:tc>
      </w:tr>
      <w:tr>
        <w:tc>
          <w:tcPr>
            <w:tcW w:type="dxa" w:w="22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PDF Export API</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Where MAIA needs to trigger an on-demand PDF render from the ERP (i.e. generate a formatted document at the point of request rather than retrieving a pre-existing file), the ERP must expose a PDF generation endpoint per document type. Confirm: which document types support on-demand PDF generation via API, the response format (base64 or direct download URL), and any authentication requirements specific to the export endpoint. See also: Document Pull-Back below, for retrieval of PDFs already generated by the ERP.</w:t>
            </w:r>
          </w:p>
        </w:tc>
      </w:tr>
      <w:tr>
        <w:tc>
          <w:tcPr>
            <w:tcW w:type="dxa" w:w="2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ERP Workflow Constraints</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Some ERP systems enforce rigid document flow sequences that MAIA must respect. Example: AutoCount requires a strict single-path flow — Sales Order → Sales Invoice → Delivery Order — with no ability to generate documents out of sequence or in parallel. Where such constraints exist, MAIA's document generation logic must be adapted to match. The ERP vendor should declare all enforced workflow sequences and document dependencies upfront so MAIA's integration layer can be configured accordingly.</w:t>
            </w:r>
          </w:p>
        </w:tc>
      </w:tr>
      <w:tr>
        <w:tc>
          <w:tcPr>
            <w:tcW w:type="dxa" w:w="2200"/>
            <w:gridSpan w:val="1"/>
            <w:tcBorders>
              <w:top w:val="single" w:color="CBD5E1" w:sz="1"/>
              <w:left w:val="single" w:color="CBD5E1" w:sz="1"/>
              <w:bottom w:val="single" w:color="CBD5E1" w:sz="1"/>
              <w:right w:val="single" w:color="CBD5E1" w:sz="1"/>
            </w:tcBorders>
            <w:shd w:fill="EEF2F8" w:val="clear"/>
            <w:tcMar>
              <w:top w:type="dxa" w:w="80"/>
              <w:left w:type="dxa" w:w="120"/>
              <w:bottom w:type="dxa" w:w="80"/>
              <w:right w:type="dxa" w:w="120"/>
            </w:tcMar>
            <w:vAlign w:val="top"/>
          </w:tcPr>
          <w:p>
            <w:pPr>
              <w:jc w:val="left"/>
            </w:pPr>
            <w:r>
              <w:rPr>
                <w:rFonts w:ascii="Arial" w:cs="Arial" w:eastAsia="Arial" w:hAnsi="Arial"/>
                <w:b/>
                <w:bCs/>
                <w:color w:val="374151"/>
                <w:sz w:val="17"/>
                <w:szCs w:val="17"/>
              </w:rPr>
              <w:t xml:space="preserve">Document Pull-Back (ERP-Generated PDFs)</w:t>
            </w:r>
          </w:p>
        </w:tc>
        <w:tc>
          <w:tcPr>
            <w:tcW w:type="dxa" w:w="71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11827"/>
                <w:sz w:val="17"/>
                <w:szCs w:val="17"/>
              </w:rPr>
              <w:t xml:space="preserve">Where the ERP generates its own document PDFs (e.g. ERP-formatted invoices, delivery orders, statements, or reports with client branding), MAIA can retrieve and surface these within the MAIA interface or deliver them via WhatsApp/email. This requires the ERP to expose a document retrieval endpoint returning the PDF by document type and ID. Confirm: which document types are available, response format (base64 or download URL), and whether retrieval is on-demand or requires a prior export trigger in the ERP.</w:t>
            </w:r>
          </w:p>
        </w:tc>
      </w:tr>
    </w:tbl>
    <w:p>
      <w:pPr>
        <w:pBdr>
          <w:top w:val="single" w:color="CBD5E1" w:sz="4" w:space="1"/>
        </w:pBdr>
        <w:spacing w:after="0" w:before="240"/>
      </w:pPr>
      <w:r>
        <w:rPr>
          <w:rFonts w:ascii="Arial" w:cs="Arial" w:eastAsia="Arial" w:hAnsi="Arial"/>
          <w:i/>
          <w:iCs/>
          <w:color w:val="9CA3AF"/>
          <w:sz w:val="16"/>
          <w:szCs w:val="16"/>
        </w:rPr>
        <w:t xml:space="preserve">MAIA by Mindhive  ·  Integration Reference v1.0  ·  Confidential — for vendor and client IT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2026-04-17T11:39:26.935Z</dcterms:created>
  <dcterms:modified xsi:type="dcterms:W3CDTF">2026-04-17T11:39:26.936Z</dcterms:modified>
</cp:coreProperties>
</file>

<file path=docProps/custom.xml><?xml version="1.0" encoding="utf-8"?>
<Properties xmlns="http://schemas.openxmlformats.org/officeDocument/2006/custom-properties" xmlns:vt="http://schemas.openxmlformats.org/officeDocument/2006/docPropsVTypes"/>
</file>