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DS4S Group 2 Project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1) A reproduction of the Pantheon constraints shown in Fig. 18 of S18, both with and without inclusion of systematic errors.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2) Determine the posterior probability density of H_0 after adding a Gaussian prior on corrected supernova absolute magnitude of M =19.23 +/- 0.042.  Make a figure.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Write your own MCMC code (do not use a publicly available code such as CosmoMC).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Grading is based on setup and presentation.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Additional stuff to maybe save for later assignment: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3) Tests for consistency: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    A) A residual plot for the binned data similar to Fig. 11 of S18.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    B) Evaluation of \chi^2 and calculation of PTE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    C) Draw a handful of realizations from the noise covariance, and add to best-fit signal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    D) Take the symmetric square root of the error covariance matrix. Transform the residuals r to  r' = C^{-1/2}r and histogram. Compare with expectations. Note that &lt;r' r'^T&gt; = C^{-1/2}&lt;r r^T&gt; C^{-1/2} = the identity matrix.  So the histogram should be consistent with a Gaussian with unit variance.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rFonts w:ascii="Calibri" w:cs="Calibri" w:eastAsia="Calibri" w:hAnsi="Calibri"/>
          <w:i w:val="1"/>
          <w:color w:val="2d3b4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2d3b45"/>
          <w:sz w:val="18"/>
          <w:szCs w:val="18"/>
          <w:rtl w:val="0"/>
        </w:rPr>
        <w:t xml:space="preserve">    E) Break up binned supernova distances into several redshift ranges and test for stability of H_0 inference across these different subsets.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Structure: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Modules are each of our first names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(parameters_adam, functionality_pritom, functionality_junying)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Desired functionalities: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Task 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Proposing parameter set in 3D: - Adam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Name: get_new_parameters()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Inputs: sigmas [sigma_h, sigma_m, sigma_v], previous parameters [H, omega_m, omega_v] (Optional: distribution type {gaussian etc}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Outputs: List of 3 parameter values [H, omega_m, omega_v]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 2)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Compute likelihood :  - Junying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Inputs: List of 3 parameter values [H, omega_m, omega_v]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Transients: least-squares errors np.lstsq(\vec{m_b}-\vec{mu})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Outputs: real number ; acceptance_probability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Task 3) - Pritom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Form Markov chain in 3D: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Task 4)  -Pritom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Confirm convergence: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Task 5) - Adam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show_final_plot()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Visualization (isolate 1 variable, plot 2-d probability density)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Presentation planning: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Deadline: May 7th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Google slides / libra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Questions need to answer: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we use D_l(z) presented in   </w:t>
      </w: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https://iopscience.iop.org/article/10.3847/1538-4357/aab9bb/pdf#%FE%FF%00b%00m%00_%00a%00p%00j%00a%00a%00b%009%00b%00b%00e%00q%00n%003</w:t>
        </w:r>
      </w:hyperlink>
      <w:r w:rsidDel="00000000" w:rsidR="00000000" w:rsidRPr="00000000">
        <w:rPr>
          <w:sz w:val="24"/>
          <w:szCs w:val="24"/>
          <w:rtl w:val="0"/>
        </w:rPr>
        <w:t xml:space="preserve"> P 16, or some other form? What is Ωk? 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Knox: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https://en.wikipedia.org/wiki/Angular_diameter_distance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see handwritten notes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 other systematic errors we need to consider besides d_mb ?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Knox: Systematic errors! (having to do with smoothing!)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care about “Nuisance” parameter M? 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Knox: Yep, still counts--M is a 4th parameter (can constrain omegas via sum(omegas)=1). </w:t>
      </w:r>
    </w:p>
    <w:p w:rsidR="00000000" w:rsidDel="00000000" w:rsidP="00000000" w:rsidRDefault="00000000" w:rsidRPr="00000000" w14:paraId="0000003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and H_0 influence the data the same way (H_0 can be absorbed into a constant sum)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we impose constraints on omega_m and omega_v ? Or we should consider them as independent ?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(See above)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we also consider H0 dependent on omegas’ ? 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H_0 should be varied independently.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our proposed likelihood valid or not ?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No. Instead, use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slides #8.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prior distributions for the parameters ? 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Uniform priors for everybody else.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we adaptively change sigma_h etc, or will this violate some assumption of Markov chain applicability? (Probably no?)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no need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P8 of slides: What’s the purpose of the covariance matrix? (something with error?)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2) above and slide 8 of the GroupProjectIntro.key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Useful Resources: </w:t>
      </w:r>
    </w:p>
    <w:p w:rsidR="00000000" w:rsidDel="00000000" w:rsidP="00000000" w:rsidRDefault="00000000" w:rsidRPr="00000000" w14:paraId="0000004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OBSERVATIONAL EVIDENCE FROM SUPERNOVAE FOR AN ACCELERATING UNIVERSE AND A COSMOLOGICAL CONSTANT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Complete Light-curve Sample of Spectroscopically Confirmed SNe Ia from PanSTARRS1 and Cosmological Constraints from the Combined Pantheon 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Random doodle space: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Discussion of navigating 3-D parameter space and relevant sigmas: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 reproduce graphic: align an ellipse with semimajor and major axes pointing to maximize data capture while minimizing least-squares distance to nearest edge? Then scale the axes to get 68% of the data etc.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iopscience.iop.org/article/10.3847/1538-4357/aab9bb/pdf#%FE%FF%00b%00m%00_%00a%00p%00j%00a%00a%00b%009%00b%00b%00e%00q%00n%003" TargetMode="External"/><Relationship Id="rId9" Type="http://schemas.openxmlformats.org/officeDocument/2006/relationships/hyperlink" Target="https://iopscience.iop.org/article/10.1086/300499/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iopscience.iop.org/article/10.3847/1538-4357/aab9bb/pdf#%EF%BF%BD%EF%BF%BD" TargetMode="External"/><Relationship Id="rId7" Type="http://schemas.openxmlformats.org/officeDocument/2006/relationships/hyperlink" Target="https://en.wikipedia.org/wiki/Angular_diameter_distanc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