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B4D3BF">
      <w:pPr>
        <w:pStyle w:val="2"/>
        <w:keepNext w:val="0"/>
        <w:keepLines w:val="0"/>
        <w:widowControl/>
        <w:suppressLineNumbers w:val="0"/>
        <w:spacing w:before="0" w:beforeAutospacing="0" w:line="360" w:lineRule="auto"/>
        <w:jc w:val="center"/>
        <w:rPr>
          <w:rFonts w:hint="default" w:ascii="Times New Roman" w:hAnsi="Times New Roman" w:eastAsia="STSong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STSong" w:cs="Times New Roman"/>
          <w:sz w:val="24"/>
          <w:szCs w:val="24"/>
          <w:lang w:val="en-US" w:eastAsia="zh-CN"/>
        </w:rPr>
        <w:t>交易策略</w:t>
      </w:r>
    </w:p>
    <w:p w14:paraId="0535B5DF">
      <w:pPr>
        <w:pStyle w:val="2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ascii="Times New Roman" w:hAnsi="Times New Roman" w:eastAsia="STSong" w:cs="Times New Roman"/>
          <w:sz w:val="24"/>
          <w:szCs w:val="24"/>
        </w:rPr>
      </w:pPr>
      <w:r>
        <w:rPr>
          <w:rFonts w:hint="default" w:ascii="Times New Roman" w:hAnsi="Times New Roman" w:eastAsia="STSong" w:cs="Times New Roman"/>
          <w:sz w:val="24"/>
          <w:szCs w:val="24"/>
        </w:rPr>
        <w:t>一、 策略核心思路 (Strategy Thesis)</w:t>
      </w:r>
    </w:p>
    <w:p w14:paraId="4E4AFA3F">
      <w:pPr>
        <w:pStyle w:val="7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ascii="Times New Roman" w:hAnsi="Times New Roman" w:eastAsia="STSong" w:cs="Times New Roman"/>
          <w:sz w:val="24"/>
          <w:szCs w:val="24"/>
        </w:rPr>
      </w:pPr>
      <w:r>
        <w:rPr>
          <w:rFonts w:hint="default" w:ascii="Times New Roman" w:hAnsi="Times New Roman" w:eastAsia="STSong" w:cs="Times New Roman"/>
          <w:b/>
          <w:bCs/>
          <w:sz w:val="24"/>
          <w:szCs w:val="24"/>
        </w:rPr>
        <w:t>核心定位</w:t>
      </w:r>
      <w:r>
        <w:rPr>
          <w:rFonts w:hint="default" w:ascii="Times New Roman" w:hAnsi="Times New Roman" w:eastAsia="STSong" w:cs="Times New Roman"/>
          <w:sz w:val="24"/>
          <w:szCs w:val="24"/>
        </w:rPr>
        <w:t>：本策略不仅投资于具有长期增长潜力的绿色资产（ESG），更通过 AI 算法实时监测市场风险溢价。在市场向好时，通过 ESG 动能获取超额收益（Alpha）；在市场剧烈波动时，通过机器学习驱动的“闸门机制”自动切换至防御资产，实现收益最大化与风险最小化。</w:t>
      </w:r>
    </w:p>
    <w:p w14:paraId="644830FE">
      <w:pPr>
        <w:pStyle w:val="2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ascii="Times New Roman" w:hAnsi="Times New Roman" w:eastAsia="STSong" w:cs="Times New Roman"/>
          <w:sz w:val="24"/>
          <w:szCs w:val="24"/>
        </w:rPr>
      </w:pPr>
      <w:r>
        <w:rPr>
          <w:rFonts w:hint="default" w:ascii="Times New Roman" w:hAnsi="Times New Roman" w:eastAsia="STSong" w:cs="Times New Roman"/>
          <w:sz w:val="24"/>
          <w:szCs w:val="24"/>
        </w:rPr>
        <w:t>二、 框架逻辑 (Logical Framework)</w:t>
      </w:r>
      <w:bookmarkStart w:id="0" w:name="_GoBack"/>
      <w:bookmarkEnd w:id="0"/>
    </w:p>
    <w:p w14:paraId="01928291">
      <w:pPr>
        <w:pStyle w:val="3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ascii="Times New Roman" w:hAnsi="Times New Roman" w:eastAsia="STSong" w:cs="Times New Roman"/>
          <w:sz w:val="24"/>
          <w:szCs w:val="24"/>
        </w:rPr>
      </w:pPr>
      <w:r>
        <w:rPr>
          <w:rFonts w:hint="default" w:ascii="Times New Roman" w:hAnsi="Times New Roman" w:eastAsia="STSong" w:cs="Times New Roman"/>
          <w:sz w:val="24"/>
          <w:szCs w:val="24"/>
        </w:rPr>
        <w:t>1. 投资宇宙 (Investment Universe)</w:t>
      </w:r>
    </w:p>
    <w:p w14:paraId="77DA4F91">
      <w:pPr>
        <w:pStyle w:val="7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ascii="Times New Roman" w:hAnsi="Times New Roman" w:eastAsia="STSong" w:cs="Times New Roman"/>
          <w:sz w:val="24"/>
          <w:szCs w:val="24"/>
        </w:rPr>
      </w:pPr>
      <w:r>
        <w:rPr>
          <w:rFonts w:hint="default" w:ascii="Times New Roman" w:hAnsi="Times New Roman" w:eastAsia="STSong" w:cs="Times New Roman"/>
          <w:sz w:val="24"/>
          <w:szCs w:val="24"/>
        </w:rPr>
        <w:t>策略将资金分配在两类性质迥异的资产池中：</w:t>
      </w:r>
    </w:p>
    <w:p w14:paraId="3045155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ascii="Times New Roman" w:hAnsi="Times New Roman" w:eastAsia="STSong" w:cs="Times New Roman"/>
          <w:sz w:val="24"/>
          <w:szCs w:val="24"/>
        </w:rPr>
      </w:pPr>
      <w:r>
        <w:rPr>
          <w:rFonts w:hint="default" w:ascii="Times New Roman" w:hAnsi="Times New Roman" w:eastAsia="STSong" w:cs="Times New Roman"/>
          <w:b/>
          <w:bCs/>
          <w:sz w:val="24"/>
          <w:szCs w:val="24"/>
        </w:rPr>
        <w:t>进攻资产（绿色 ESG）</w:t>
      </w:r>
      <w:r>
        <w:rPr>
          <w:rFonts w:hint="default" w:ascii="Times New Roman" w:hAnsi="Times New Roman" w:eastAsia="STSong" w:cs="Times New Roman"/>
          <w:sz w:val="24"/>
          <w:szCs w:val="24"/>
        </w:rPr>
        <w:t xml:space="preserve">：精选 </w:t>
      </w:r>
      <w:r>
        <w:rPr>
          <w:rStyle w:val="6"/>
          <w:rFonts w:hint="default" w:ascii="Times New Roman" w:hAnsi="Times New Roman" w:eastAsia="STSong" w:cs="Times New Roman"/>
          <w:sz w:val="24"/>
          <w:szCs w:val="24"/>
        </w:rPr>
        <w:t>ICLN</w:t>
      </w:r>
      <w:r>
        <w:rPr>
          <w:rFonts w:hint="default" w:ascii="Times New Roman" w:hAnsi="Times New Roman" w:eastAsia="STSong" w:cs="Times New Roman"/>
          <w:sz w:val="24"/>
          <w:szCs w:val="24"/>
        </w:rPr>
        <w:t xml:space="preserve">（清洁能源）和 </w:t>
      </w:r>
      <w:r>
        <w:rPr>
          <w:rStyle w:val="6"/>
          <w:rFonts w:hint="default" w:ascii="Times New Roman" w:hAnsi="Times New Roman" w:eastAsia="STSong" w:cs="Times New Roman"/>
          <w:sz w:val="24"/>
          <w:szCs w:val="24"/>
        </w:rPr>
        <w:t>ESGU</w:t>
      </w:r>
      <w:r>
        <w:rPr>
          <w:rFonts w:hint="default" w:ascii="Times New Roman" w:hAnsi="Times New Roman" w:eastAsia="STSong" w:cs="Times New Roman"/>
          <w:sz w:val="24"/>
          <w:szCs w:val="24"/>
        </w:rPr>
        <w:t>（ESG 筛选后的宽基指数）。这些资产受政策驱动强，具备结构性增长红利。</w:t>
      </w:r>
    </w:p>
    <w:p w14:paraId="0A36C43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ascii="Times New Roman" w:hAnsi="Times New Roman" w:eastAsia="STSong" w:cs="Times New Roman"/>
          <w:sz w:val="24"/>
          <w:szCs w:val="24"/>
        </w:rPr>
      </w:pPr>
      <w:r>
        <w:rPr>
          <w:rFonts w:hint="default" w:ascii="Times New Roman" w:hAnsi="Times New Roman" w:eastAsia="STSong" w:cs="Times New Roman"/>
          <w:b/>
          <w:bCs/>
          <w:sz w:val="24"/>
          <w:szCs w:val="24"/>
        </w:rPr>
        <w:t>避险资产（稳健对冲）</w:t>
      </w:r>
      <w:r>
        <w:rPr>
          <w:rFonts w:hint="default" w:ascii="Times New Roman" w:hAnsi="Times New Roman" w:eastAsia="STSong" w:cs="Times New Roman"/>
          <w:sz w:val="24"/>
          <w:szCs w:val="24"/>
        </w:rPr>
        <w:t xml:space="preserve">：配置 </w:t>
      </w:r>
      <w:r>
        <w:rPr>
          <w:rStyle w:val="6"/>
          <w:rFonts w:hint="default" w:ascii="Times New Roman" w:hAnsi="Times New Roman" w:eastAsia="STSong" w:cs="Times New Roman"/>
          <w:sz w:val="24"/>
          <w:szCs w:val="24"/>
        </w:rPr>
        <w:t>TLT</w:t>
      </w:r>
      <w:r>
        <w:rPr>
          <w:rFonts w:hint="default" w:ascii="Times New Roman" w:hAnsi="Times New Roman" w:eastAsia="STSong" w:cs="Times New Roman"/>
          <w:sz w:val="24"/>
          <w:szCs w:val="24"/>
        </w:rPr>
        <w:t xml:space="preserve">（长期美债）或 </w:t>
      </w:r>
      <w:r>
        <w:rPr>
          <w:rStyle w:val="6"/>
          <w:rFonts w:hint="default" w:ascii="Times New Roman" w:hAnsi="Times New Roman" w:eastAsia="STSong" w:cs="Times New Roman"/>
          <w:sz w:val="24"/>
          <w:szCs w:val="24"/>
        </w:rPr>
        <w:t>SHY</w:t>
      </w:r>
      <w:r>
        <w:rPr>
          <w:rFonts w:hint="default" w:ascii="Times New Roman" w:hAnsi="Times New Roman" w:eastAsia="STSong" w:cs="Times New Roman"/>
          <w:sz w:val="24"/>
          <w:szCs w:val="24"/>
        </w:rPr>
        <w:t>（短期美债）。利用债市与股市的负相关性，在极端环境下对冲波动。</w:t>
      </w:r>
    </w:p>
    <w:p w14:paraId="320CA7DB">
      <w:pPr>
        <w:pStyle w:val="3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ascii="Times New Roman" w:hAnsi="Times New Roman" w:eastAsia="STSong" w:cs="Times New Roman"/>
          <w:sz w:val="24"/>
          <w:szCs w:val="24"/>
        </w:rPr>
      </w:pPr>
      <w:r>
        <w:rPr>
          <w:rFonts w:hint="default" w:ascii="Times New Roman" w:hAnsi="Times New Roman" w:eastAsia="STSong" w:cs="Times New Roman"/>
          <w:sz w:val="24"/>
          <w:szCs w:val="24"/>
        </w:rPr>
        <w:t>2. AI 决策层 (The ML Engine)</w:t>
      </w:r>
    </w:p>
    <w:p w14:paraId="0D845AD2">
      <w:pPr>
        <w:pStyle w:val="7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ascii="Times New Roman" w:hAnsi="Times New Roman" w:eastAsia="STSong" w:cs="Times New Roman"/>
          <w:sz w:val="24"/>
          <w:szCs w:val="24"/>
        </w:rPr>
      </w:pPr>
      <w:r>
        <w:rPr>
          <w:rFonts w:hint="default" w:ascii="Times New Roman" w:hAnsi="Times New Roman" w:eastAsia="STSong" w:cs="Times New Roman"/>
          <w:sz w:val="24"/>
          <w:szCs w:val="24"/>
        </w:rPr>
        <w:t xml:space="preserve">参考 </w:t>
      </w:r>
      <w:r>
        <w:rPr>
          <w:rStyle w:val="6"/>
          <w:rFonts w:hint="default" w:ascii="Times New Roman" w:hAnsi="Times New Roman" w:eastAsia="STSong" w:cs="Times New Roman"/>
          <w:sz w:val="24"/>
          <w:szCs w:val="24"/>
        </w:rPr>
        <w:t>example_strategy_5</w:t>
      </w:r>
      <w:r>
        <w:rPr>
          <w:rFonts w:hint="default" w:ascii="Times New Roman" w:hAnsi="Times New Roman" w:eastAsia="STSong" w:cs="Times New Roman"/>
          <w:sz w:val="24"/>
          <w:szCs w:val="24"/>
        </w:rPr>
        <w:t xml:space="preserve"> 的逻辑进行深化：</w:t>
      </w:r>
    </w:p>
    <w:p w14:paraId="2284680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ascii="Times New Roman" w:hAnsi="Times New Roman" w:eastAsia="STSong" w:cs="Times New Roman"/>
          <w:sz w:val="24"/>
          <w:szCs w:val="24"/>
        </w:rPr>
      </w:pPr>
      <w:r>
        <w:rPr>
          <w:rFonts w:hint="default" w:ascii="Times New Roman" w:hAnsi="Times New Roman" w:eastAsia="STSong" w:cs="Times New Roman"/>
          <w:b/>
          <w:bCs/>
          <w:sz w:val="24"/>
          <w:szCs w:val="24"/>
        </w:rPr>
        <w:t>模型选择</w:t>
      </w:r>
      <w:r>
        <w:rPr>
          <w:rFonts w:hint="default" w:ascii="Times New Roman" w:hAnsi="Times New Roman" w:eastAsia="STSong" w:cs="Times New Roman"/>
          <w:sz w:val="24"/>
          <w:szCs w:val="24"/>
        </w:rPr>
        <w:t>：采用逻辑回归（Logistic Regression）或随机森林（Random Forest）作为“市场环境分类器”。</w:t>
      </w:r>
    </w:p>
    <w:p w14:paraId="7C7B367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ascii="Times New Roman" w:hAnsi="Times New Roman" w:eastAsia="STSong" w:cs="Times New Roman"/>
          <w:sz w:val="24"/>
          <w:szCs w:val="24"/>
        </w:rPr>
      </w:pPr>
      <w:r>
        <w:rPr>
          <w:rFonts w:hint="default" w:ascii="Times New Roman" w:hAnsi="Times New Roman" w:eastAsia="STSong" w:cs="Times New Roman"/>
          <w:b/>
          <w:bCs/>
          <w:sz w:val="24"/>
          <w:szCs w:val="24"/>
        </w:rPr>
        <w:t>特征提取</w:t>
      </w:r>
      <w:r>
        <w:rPr>
          <w:rFonts w:hint="default" w:ascii="Times New Roman" w:hAnsi="Times New Roman" w:eastAsia="STSong" w:cs="Times New Roman"/>
          <w:sz w:val="24"/>
          <w:szCs w:val="24"/>
        </w:rPr>
        <w:t xml:space="preserve">：不仅使用收盘价，还需引入 </w:t>
      </w:r>
      <w:r>
        <w:rPr>
          <w:rFonts w:hint="default" w:ascii="Times New Roman" w:hAnsi="Times New Roman" w:eastAsia="STSong" w:cs="Times New Roman"/>
          <w:b/>
          <w:bCs/>
          <w:sz w:val="24"/>
          <w:szCs w:val="24"/>
        </w:rPr>
        <w:t>ATR（真实波幅）</w:t>
      </w:r>
      <w:r>
        <w:rPr>
          <w:rFonts w:hint="default" w:ascii="Times New Roman" w:hAnsi="Times New Roman" w:eastAsia="STSong" w:cs="Times New Roman"/>
          <w:sz w:val="24"/>
          <w:szCs w:val="24"/>
        </w:rPr>
        <w:t>、</w:t>
      </w:r>
      <w:r>
        <w:rPr>
          <w:rFonts w:hint="default" w:ascii="Times New Roman" w:hAnsi="Times New Roman" w:eastAsia="STSong" w:cs="Times New Roman"/>
          <w:b/>
          <w:bCs/>
          <w:sz w:val="24"/>
          <w:szCs w:val="24"/>
        </w:rPr>
        <w:t>RSI（强弱指标）</w:t>
      </w:r>
      <w:r>
        <w:rPr>
          <w:rFonts w:hint="default" w:ascii="Times New Roman" w:hAnsi="Times New Roman" w:eastAsia="STSong" w:cs="Times New Roman"/>
          <w:sz w:val="24"/>
          <w:szCs w:val="24"/>
        </w:rPr>
        <w:t xml:space="preserve"> 以及 </w:t>
      </w:r>
      <w:r>
        <w:rPr>
          <w:rFonts w:hint="default" w:ascii="Times New Roman" w:hAnsi="Times New Roman" w:eastAsia="STSong" w:cs="Times New Roman"/>
          <w:b/>
          <w:bCs/>
          <w:sz w:val="24"/>
          <w:szCs w:val="24"/>
        </w:rPr>
        <w:t>实现波动率（Realized Volatility）</w:t>
      </w:r>
      <w:r>
        <w:rPr>
          <w:rFonts w:hint="default" w:ascii="Times New Roman" w:hAnsi="Times New Roman" w:eastAsia="STSong" w:cs="Times New Roman"/>
          <w:sz w:val="24"/>
          <w:szCs w:val="24"/>
        </w:rPr>
        <w:t>。</w:t>
      </w:r>
    </w:p>
    <w:p w14:paraId="772CD34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ascii="Times New Roman" w:hAnsi="Times New Roman" w:eastAsia="STSong" w:cs="Times New Roman"/>
          <w:sz w:val="24"/>
          <w:szCs w:val="24"/>
        </w:rPr>
      </w:pPr>
      <w:r>
        <w:rPr>
          <w:rFonts w:hint="default" w:ascii="Times New Roman" w:hAnsi="Times New Roman" w:eastAsia="STSong" w:cs="Times New Roman"/>
          <w:b/>
          <w:bCs/>
          <w:sz w:val="24"/>
          <w:szCs w:val="24"/>
        </w:rPr>
        <w:t>目标函数</w:t>
      </w:r>
      <w:r>
        <w:rPr>
          <w:rFonts w:hint="default" w:ascii="Times New Roman" w:hAnsi="Times New Roman" w:eastAsia="STSong" w:cs="Times New Roman"/>
          <w:sz w:val="24"/>
          <w:szCs w:val="24"/>
        </w:rPr>
        <w:t>：预测未来 n天内 ESG 资产出现回撤概率，而非简单的涨跌。</w:t>
      </w:r>
    </w:p>
    <w:p w14:paraId="0A52FFCC">
      <w:pPr>
        <w:pStyle w:val="3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ascii="Times New Roman" w:hAnsi="Times New Roman" w:eastAsia="STSong" w:cs="Times New Roman"/>
          <w:sz w:val="24"/>
          <w:szCs w:val="24"/>
        </w:rPr>
      </w:pPr>
      <w:r>
        <w:rPr>
          <w:rFonts w:hint="default" w:ascii="Times New Roman" w:hAnsi="Times New Roman" w:eastAsia="STSong" w:cs="Times New Roman"/>
          <w:sz w:val="24"/>
          <w:szCs w:val="24"/>
        </w:rPr>
        <w:t>3. 执行层 (Execution &amp; Rebalancing)</w:t>
      </w:r>
    </w:p>
    <w:p w14:paraId="1D2CE3B6">
      <w:pPr>
        <w:pStyle w:val="7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ascii="Times New Roman" w:hAnsi="Times New Roman" w:eastAsia="STSong" w:cs="Times New Roman"/>
          <w:sz w:val="24"/>
          <w:szCs w:val="24"/>
        </w:rPr>
      </w:pPr>
      <w:r>
        <w:rPr>
          <w:rFonts w:hint="default" w:ascii="Times New Roman" w:hAnsi="Times New Roman" w:eastAsia="STSong" w:cs="Times New Roman"/>
          <w:sz w:val="24"/>
          <w:szCs w:val="24"/>
        </w:rPr>
        <w:t>系统每日运行一次，根据 AI 输出的概率值动态调整权重：</w:t>
      </w:r>
    </w:p>
    <w:p w14:paraId="51D21D81">
      <w:pPr>
        <w:pStyle w:val="7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ascii="Times New Roman" w:hAnsi="Times New Roman" w:eastAsia="STSong" w:cs="Times New Roman"/>
          <w:sz w:val="24"/>
          <w:szCs w:val="24"/>
        </w:rPr>
      </w:pPr>
      <w:r>
        <w:rPr>
          <w:rFonts w:hint="default" w:ascii="Times New Roman" w:hAnsi="Times New Roman" w:eastAsia="STSong" w:cs="Times New Roman"/>
          <w:b/>
          <w:bCs/>
          <w:sz w:val="24"/>
          <w:szCs w:val="24"/>
        </w:rPr>
        <w:t>Risk-On (高置信度看涨)</w:t>
      </w:r>
      <w:r>
        <w:rPr>
          <w:rFonts w:hint="default" w:ascii="Times New Roman" w:hAnsi="Times New Roman" w:eastAsia="STSong" w:cs="Times New Roman"/>
          <w:sz w:val="24"/>
          <w:szCs w:val="24"/>
        </w:rPr>
        <w:t>：权重分配 80% ESG + 20% 债券。</w:t>
      </w:r>
    </w:p>
    <w:p w14:paraId="393273BC">
      <w:pPr>
        <w:pStyle w:val="7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ascii="Times New Roman" w:hAnsi="Times New Roman" w:eastAsia="STSong" w:cs="Times New Roman"/>
          <w:sz w:val="24"/>
          <w:szCs w:val="24"/>
        </w:rPr>
      </w:pPr>
      <w:r>
        <w:rPr>
          <w:rFonts w:hint="default" w:ascii="Times New Roman" w:hAnsi="Times New Roman" w:eastAsia="STSong" w:cs="Times New Roman"/>
          <w:b/>
          <w:bCs/>
          <w:sz w:val="24"/>
          <w:szCs w:val="24"/>
        </w:rPr>
        <w:t>Risk-Off (高风险预警)</w:t>
      </w:r>
      <w:r>
        <w:rPr>
          <w:rFonts w:hint="default" w:ascii="Times New Roman" w:hAnsi="Times New Roman" w:eastAsia="STSong" w:cs="Times New Roman"/>
          <w:sz w:val="24"/>
          <w:szCs w:val="24"/>
        </w:rPr>
        <w:t>：权重分配 20% ESG + 80% 债券。</w:t>
      </w:r>
    </w:p>
    <w:p w14:paraId="7E2EB885">
      <w:pPr>
        <w:pStyle w:val="7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ascii="Times New Roman" w:hAnsi="Times New Roman" w:eastAsia="STSong" w:cs="Times New Roman"/>
          <w:sz w:val="24"/>
          <w:szCs w:val="24"/>
        </w:rPr>
      </w:pPr>
      <w:r>
        <w:rPr>
          <w:rFonts w:hint="default" w:ascii="Times New Roman" w:hAnsi="Times New Roman" w:eastAsia="STSong" w:cs="Times New Roman"/>
          <w:b/>
          <w:bCs/>
          <w:sz w:val="24"/>
          <w:szCs w:val="24"/>
        </w:rPr>
        <w:t>Neutral (中性震荡)</w:t>
      </w:r>
      <w:r>
        <w:rPr>
          <w:rFonts w:hint="default" w:ascii="Times New Roman" w:hAnsi="Times New Roman" w:eastAsia="STSong" w:cs="Times New Roman"/>
          <w:sz w:val="24"/>
          <w:szCs w:val="24"/>
        </w:rPr>
        <w:t>：采用等权重或风险平价配置。</w:t>
      </w:r>
    </w:p>
    <w:p w14:paraId="27437D8C">
      <w:pPr>
        <w:pStyle w:val="2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ascii="Times New Roman" w:hAnsi="Times New Roman" w:eastAsia="STSong" w:cs="Times New Roman"/>
          <w:sz w:val="24"/>
          <w:szCs w:val="24"/>
        </w:rPr>
      </w:pPr>
      <w:r>
        <w:rPr>
          <w:rFonts w:hint="default" w:ascii="Times New Roman" w:hAnsi="Times New Roman" w:eastAsia="STSong" w:cs="Times New Roman"/>
          <w:sz w:val="24"/>
          <w:szCs w:val="24"/>
        </w:rPr>
        <w:t>三、 专业技术细节 (Professional Details)</w:t>
      </w:r>
    </w:p>
    <w:p w14:paraId="332F9F0B">
      <w:pPr>
        <w:pStyle w:val="3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ascii="Times New Roman" w:hAnsi="Times New Roman" w:eastAsia="STSong" w:cs="Times New Roman"/>
          <w:sz w:val="24"/>
          <w:szCs w:val="24"/>
        </w:rPr>
      </w:pPr>
      <w:r>
        <w:rPr>
          <w:rFonts w:hint="default" w:ascii="Times New Roman" w:hAnsi="Times New Roman" w:eastAsia="STSong" w:cs="Times New Roman"/>
          <w:sz w:val="24"/>
          <w:szCs w:val="24"/>
        </w:rPr>
        <w:t>1. 动态风险管理 (Risk Management)</w:t>
      </w:r>
    </w:p>
    <w:p w14:paraId="114A1AF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ascii="Times New Roman" w:hAnsi="Times New Roman" w:eastAsia="STSong" w:cs="Times New Roman"/>
          <w:sz w:val="24"/>
          <w:szCs w:val="24"/>
        </w:rPr>
      </w:pPr>
      <w:r>
        <w:rPr>
          <w:rFonts w:hint="default" w:ascii="Times New Roman" w:hAnsi="Times New Roman" w:eastAsia="STSong" w:cs="Times New Roman"/>
          <w:b/>
          <w:bCs/>
          <w:sz w:val="24"/>
          <w:szCs w:val="24"/>
        </w:rPr>
        <w:t>波动率目标化 (Volatility Targeting)</w:t>
      </w:r>
      <w:r>
        <w:rPr>
          <w:rFonts w:hint="default" w:ascii="Times New Roman" w:hAnsi="Times New Roman" w:eastAsia="STSong" w:cs="Times New Roman"/>
          <w:sz w:val="24"/>
          <w:szCs w:val="24"/>
        </w:rPr>
        <w:t>：根据过去 20 天的 ATR 计算各资产的风险贡献，确保组合的总波动率维持在预设水平（如年化 12% 以内）。</w:t>
      </w:r>
    </w:p>
    <w:p w14:paraId="5E60C28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360" w:lineRule="auto"/>
        <w:ind w:left="420" w:leftChars="0" w:hanging="420" w:firstLineChars="0"/>
        <w:rPr>
          <w:rFonts w:hint="default" w:ascii="Times New Roman" w:hAnsi="Times New Roman" w:eastAsia="STSong" w:cs="Times New Roman"/>
          <w:sz w:val="24"/>
          <w:szCs w:val="24"/>
        </w:rPr>
      </w:pPr>
      <w:r>
        <w:rPr>
          <w:rFonts w:hint="default" w:ascii="Times New Roman" w:hAnsi="Times New Roman" w:eastAsia="STSong" w:cs="Times New Roman"/>
          <w:b/>
          <w:bCs/>
          <w:sz w:val="24"/>
          <w:szCs w:val="24"/>
        </w:rPr>
        <w:t>硬性止损 (Hard Stop)</w:t>
      </w:r>
      <w:r>
        <w:rPr>
          <w:rFonts w:hint="default" w:ascii="Times New Roman" w:hAnsi="Times New Roman" w:eastAsia="STSong" w:cs="Times New Roman"/>
          <w:sz w:val="24"/>
          <w:szCs w:val="24"/>
        </w:rPr>
        <w:t>：设置单笔交易或单日组合价值 2% 的强制平仓线，作为 AI 失灵时的最后一道防线。</w:t>
      </w:r>
    </w:p>
    <w:p w14:paraId="43EDCEDA">
      <w:pPr>
        <w:pStyle w:val="3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ascii="Times New Roman" w:hAnsi="Times New Roman" w:eastAsia="STSong" w:cs="Times New Roman"/>
          <w:sz w:val="24"/>
          <w:szCs w:val="24"/>
        </w:rPr>
      </w:pPr>
      <w:r>
        <w:rPr>
          <w:rFonts w:hint="default" w:ascii="Times New Roman" w:hAnsi="Times New Roman" w:eastAsia="STSong" w:cs="Times New Roman"/>
          <w:sz w:val="24"/>
          <w:szCs w:val="24"/>
        </w:rPr>
        <w:t>2. 特征工程的严谨性 (Feature Engineering)</w:t>
      </w:r>
    </w:p>
    <w:p w14:paraId="61AA6C6E">
      <w:pPr>
        <w:pStyle w:val="7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ascii="Times New Roman" w:hAnsi="Times New Roman" w:eastAsia="STSong" w:cs="Times New Roman"/>
          <w:sz w:val="24"/>
          <w:szCs w:val="24"/>
        </w:rPr>
      </w:pPr>
      <w:r>
        <w:rPr>
          <w:rFonts w:hint="default" w:ascii="Times New Roman" w:hAnsi="Times New Roman" w:eastAsia="STSong" w:cs="Times New Roman"/>
          <w:sz w:val="24"/>
          <w:szCs w:val="24"/>
        </w:rPr>
        <w:t>为避免过度拟合（Overfitting），特征应进行归一化处理。除了价格动量外，加入“成交量放大因子”，因为 ESG 行业的暴跌往往伴随流动性枯竭，AI 需捕捉这一信号。</w:t>
      </w:r>
    </w:p>
    <w:p w14:paraId="3DFE8EF0">
      <w:pPr>
        <w:pStyle w:val="3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ascii="Times New Roman" w:hAnsi="Times New Roman" w:eastAsia="STSong" w:cs="Times New Roman"/>
          <w:sz w:val="24"/>
          <w:szCs w:val="24"/>
        </w:rPr>
      </w:pPr>
      <w:r>
        <w:rPr>
          <w:rFonts w:hint="default" w:ascii="Times New Roman" w:hAnsi="Times New Roman" w:eastAsia="STSong" w:cs="Times New Roman"/>
          <w:sz w:val="24"/>
          <w:szCs w:val="24"/>
        </w:rPr>
        <w:t>3. 再平衡磨损控制</w:t>
      </w:r>
    </w:p>
    <w:p w14:paraId="46C7D3D0">
      <w:pPr>
        <w:pStyle w:val="7"/>
        <w:keepNext w:val="0"/>
        <w:keepLines w:val="0"/>
        <w:widowControl/>
        <w:suppressLineNumbers w:val="0"/>
        <w:spacing w:before="0" w:beforeAutospacing="0" w:line="360" w:lineRule="auto"/>
        <w:rPr>
          <w:rFonts w:hint="default" w:ascii="Times New Roman" w:hAnsi="Times New Roman" w:eastAsia="STSong" w:cs="Times New Roman"/>
          <w:sz w:val="24"/>
          <w:szCs w:val="24"/>
        </w:rPr>
      </w:pPr>
      <w:r>
        <w:rPr>
          <w:rFonts w:hint="default" w:ascii="Times New Roman" w:hAnsi="Times New Roman" w:eastAsia="STSong" w:cs="Times New Roman"/>
          <w:sz w:val="24"/>
          <w:szCs w:val="24"/>
        </w:rPr>
        <w:t xml:space="preserve">设置 1%-2% 的 </w:t>
      </w:r>
      <w:r>
        <w:rPr>
          <w:rFonts w:hint="default" w:ascii="Times New Roman" w:hAnsi="Times New Roman" w:eastAsia="STSong" w:cs="Times New Roman"/>
          <w:b/>
          <w:bCs/>
          <w:sz w:val="24"/>
          <w:szCs w:val="24"/>
        </w:rPr>
        <w:t>漂移容差 (Drift Tolerance)</w:t>
      </w:r>
      <w:r>
        <w:rPr>
          <w:rFonts w:hint="default" w:ascii="Times New Roman" w:hAnsi="Times New Roman" w:eastAsia="STSong" w:cs="Times New Roman"/>
          <w:sz w:val="24"/>
          <w:szCs w:val="24"/>
        </w:rPr>
        <w:t>。只有当当前权重与目标权重的偏差超过阈值时才触发交易，以降低 Alpaca 实盘或回测中的交易佣金与滑点成本。</w:t>
      </w:r>
    </w:p>
    <w:p w14:paraId="377AF3A3">
      <w:pPr>
        <w:spacing w:line="360" w:lineRule="auto"/>
        <w:rPr>
          <w:rFonts w:hint="default" w:ascii="Times New Roman" w:hAnsi="Times New Roman" w:eastAsia="STSong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TZhongsong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STFangsong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TSong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C5E545"/>
    <w:multiLevelType w:val="singleLevel"/>
    <w:tmpl w:val="A3C5E54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F4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2026-02-18T11:54:58Z</dcterms:created>
  <dc:creator>liuju</dc:creator>
  <cp:lastModifiedBy>Charlie Liu</cp:lastModifiedBy>
  <dcterms:modified xsi:type="dcterms:W3CDTF">2026-02-18T12:02:44Z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306BE0099D9747DABD1362BED0E761F3_12</vt:lpwstr>
  </property>
</Properties>
</file>