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0FA16">
      <w:pPr>
        <w:rPr>
          <w:rFonts w:hint="eastAsia" w:ascii="Times New Roman" w:hAnsi="Times New Roman" w:cs="Times New Roman"/>
          <w:b/>
          <w:bCs/>
          <w:color w:val="auto"/>
          <w:sz w:val="24"/>
          <w:szCs w:val="24"/>
          <w:highlight w:val="none"/>
          <w:lang w:val="en-US" w:eastAsia="zh-CN"/>
        </w:rPr>
      </w:pPr>
      <w:r>
        <w:rPr>
          <w:rFonts w:hint="eastAsia" w:ascii="Times New Roman" w:hAnsi="Times New Roman" w:cs="Times New Roman"/>
          <w:b/>
          <w:bCs/>
          <w:color w:val="auto"/>
          <w:sz w:val="24"/>
          <w:szCs w:val="24"/>
          <w:highlight w:val="none"/>
          <w:lang w:val="en-US" w:eastAsia="zh-CN"/>
        </w:rPr>
        <w:t>Page 1：</w:t>
      </w:r>
    </w:p>
    <w:p w14:paraId="4A83D179">
      <w:pPr>
        <w:rPr>
          <w:rFonts w:hint="eastAsia" w:ascii="Times New Roman" w:hAnsi="Times New Roman" w:cs="Times New Roman"/>
          <w:b/>
          <w:bCs/>
          <w:color w:val="auto"/>
          <w:sz w:val="24"/>
          <w:szCs w:val="24"/>
          <w:highlight w:val="none"/>
          <w:lang w:val="en-US" w:eastAsia="zh-CN"/>
        </w:rPr>
      </w:pPr>
    </w:p>
    <w:p w14:paraId="400B3AC2">
      <w:pPr>
        <w:rPr>
          <w:rFonts w:hint="default" w:ascii="Times New Roman" w:hAnsi="Times New Roman" w:cs="Times New Roman"/>
          <w:b w:val="0"/>
          <w:bCs w:val="0"/>
          <w:color w:val="auto"/>
          <w:sz w:val="24"/>
          <w:szCs w:val="24"/>
          <w:highlight w:val="none"/>
          <w:lang w:val="en-US" w:eastAsia="zh-CN"/>
        </w:rPr>
      </w:pPr>
      <w:r>
        <w:rPr>
          <w:rFonts w:hint="eastAsia" w:ascii="Times New Roman" w:hAnsi="Times New Roman" w:cs="Times New Roman"/>
          <w:b w:val="0"/>
          <w:bCs w:val="0"/>
          <w:color w:val="auto"/>
          <w:sz w:val="24"/>
          <w:szCs w:val="24"/>
          <w:highlight w:val="none"/>
          <w:lang w:val="en-US" w:eastAsia="zh-CN"/>
        </w:rPr>
        <w:t>Our s</w:t>
      </w:r>
      <w:r>
        <w:rPr>
          <w:rFonts w:hint="default" w:ascii="Times New Roman" w:hAnsi="Times New Roman" w:cs="Times New Roman"/>
          <w:b w:val="0"/>
          <w:bCs w:val="0"/>
          <w:color w:val="auto"/>
          <w:sz w:val="24"/>
          <w:szCs w:val="24"/>
          <w:highlight w:val="none"/>
          <w:lang w:val="en-US" w:eastAsia="zh-CN"/>
        </w:rPr>
        <w:t>tock selection criteria</w:t>
      </w:r>
      <w:r>
        <w:rPr>
          <w:rFonts w:hint="eastAsia" w:ascii="Times New Roman" w:hAnsi="Times New Roman" w:cs="Times New Roman"/>
          <w:b w:val="0"/>
          <w:bCs w:val="0"/>
          <w:color w:val="auto"/>
          <w:sz w:val="24"/>
          <w:szCs w:val="24"/>
          <w:highlight w:val="none"/>
          <w:lang w:val="en-US" w:eastAsia="zh-CN"/>
        </w:rPr>
        <w:t xml:space="preserve"> is</w:t>
      </w:r>
    </w:p>
    <w:p w14:paraId="0CB1D547">
      <w:pPr>
        <w:rPr>
          <w:rFonts w:hint="default" w:ascii="Times New Roman" w:hAnsi="Times New Roman" w:cs="Times New Roman"/>
          <w:b w:val="0"/>
          <w:bCs w:val="0"/>
          <w:color w:val="auto"/>
          <w:sz w:val="24"/>
          <w:szCs w:val="24"/>
          <w:highlight w:val="none"/>
          <w:lang w:val="en-US" w:eastAsia="zh-CN"/>
        </w:rPr>
      </w:pPr>
    </w:p>
    <w:p w14:paraId="29596929">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Carbon intensity (scope 1 &amp; 2) : Below 50 tCO₂/$M revenue per company. Target portfolio intensity &lt; 100 tCO₂/$M.</w:t>
      </w:r>
    </w:p>
    <w:p w14:paraId="06EC645C">
      <w:pPr>
        <w:rPr>
          <w:rFonts w:hint="default" w:ascii="Times New Roman" w:hAnsi="Times New Roman" w:cs="Times New Roman"/>
          <w:b w:val="0"/>
          <w:bCs w:val="0"/>
          <w:color w:val="auto"/>
          <w:sz w:val="24"/>
          <w:szCs w:val="24"/>
          <w:highlight w:val="none"/>
          <w:lang w:val="en-US" w:eastAsia="zh-CN"/>
        </w:rPr>
      </w:pPr>
    </w:p>
    <w:p w14:paraId="29774B05">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Green revenue share : At least 30% of revenue from low‑carbon products/services.</w:t>
      </w:r>
    </w:p>
    <w:p w14:paraId="088787D4">
      <w:pPr>
        <w:rPr>
          <w:rFonts w:hint="default" w:ascii="Times New Roman" w:hAnsi="Times New Roman" w:cs="Times New Roman"/>
          <w:b w:val="0"/>
          <w:bCs w:val="0"/>
          <w:color w:val="auto"/>
          <w:sz w:val="24"/>
          <w:szCs w:val="24"/>
          <w:highlight w:val="none"/>
          <w:lang w:val="en-US" w:eastAsia="zh-CN"/>
        </w:rPr>
      </w:pPr>
    </w:p>
    <w:p w14:paraId="2BBE793C">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Exclusions : Fossil fuels (oil, gas, coal) and high‑carbon utilities.</w:t>
      </w:r>
    </w:p>
    <w:p w14:paraId="26DDDDBE">
      <w:pPr>
        <w:rPr>
          <w:rFonts w:hint="default" w:ascii="Times New Roman" w:hAnsi="Times New Roman" w:cs="Times New Roman"/>
          <w:b w:val="0"/>
          <w:bCs w:val="0"/>
          <w:color w:val="auto"/>
          <w:sz w:val="24"/>
          <w:szCs w:val="24"/>
          <w:highlight w:val="none"/>
          <w:lang w:val="en-US" w:eastAsia="zh-CN"/>
        </w:rPr>
      </w:pPr>
    </w:p>
    <w:p w14:paraId="40B45BF5">
      <w:pPr>
        <w:rPr>
          <w:rFonts w:hint="default" w:ascii="Times New Roman" w:hAnsi="Times New Roman" w:cs="Times New Roman"/>
          <w:color w:val="auto"/>
          <w:sz w:val="24"/>
          <w:szCs w:val="24"/>
          <w:highlight w:val="none"/>
        </w:rPr>
      </w:pPr>
      <w:r>
        <w:rPr>
          <w:rFonts w:hint="default" w:ascii="Times New Roman" w:hAnsi="Times New Roman" w:cs="Times New Roman"/>
          <w:b w:val="0"/>
          <w:bCs w:val="0"/>
          <w:color w:val="auto"/>
          <w:sz w:val="24"/>
          <w:szCs w:val="24"/>
          <w:highlight w:val="none"/>
          <w:lang w:val="en-US" w:eastAsia="zh-CN"/>
        </w:rPr>
        <w:t>Weighting : Equal‑weighted, capped at 5% per stock, rebalanced semi‑annually.</w:t>
      </w:r>
    </w:p>
    <w:p w14:paraId="329DC92F">
      <w:pPr>
        <w:rPr>
          <w:rFonts w:hint="default" w:ascii="Times New Roman" w:hAnsi="Times New Roman" w:cs="Times New Roman"/>
          <w:b/>
          <w:bCs/>
          <w:color w:val="auto"/>
          <w:sz w:val="24"/>
          <w:szCs w:val="24"/>
          <w:highlight w:val="none"/>
          <w:lang w:val="en-US" w:eastAsia="zh-CN"/>
        </w:rPr>
      </w:pPr>
    </w:p>
    <w:p w14:paraId="360F4AC5">
      <w:pPr>
        <w:rPr>
          <w:rFonts w:hint="default" w:ascii="Times New Roman" w:hAnsi="Times New Roman" w:cs="Times New Roman"/>
          <w:b/>
          <w:bCs/>
          <w:color w:val="auto"/>
          <w:sz w:val="24"/>
          <w:szCs w:val="24"/>
          <w:highlight w:val="none"/>
          <w:lang w:val="en-US" w:eastAsia="zh-CN"/>
        </w:rPr>
      </w:pPr>
    </w:p>
    <w:p w14:paraId="2B6278F1">
      <w:pPr>
        <w:rPr>
          <w:rFonts w:hint="default" w:ascii="Times New Roman" w:hAnsi="Times New Roman" w:cs="Times New Roman"/>
          <w:b/>
          <w:bCs/>
          <w:color w:val="auto"/>
          <w:sz w:val="24"/>
          <w:szCs w:val="24"/>
          <w:highlight w:val="none"/>
          <w:lang w:val="en-US" w:eastAsia="zh-CN"/>
        </w:rPr>
      </w:pPr>
    </w:p>
    <w:p w14:paraId="33A8E69D">
      <w:pPr>
        <w:rPr>
          <w:rFonts w:hint="default" w:ascii="Times New Roman" w:hAnsi="Times New Roman" w:cs="Times New Roman" w:eastAsiaTheme="minorEastAsia"/>
          <w:color w:val="auto"/>
          <w:sz w:val="24"/>
          <w:szCs w:val="24"/>
          <w:highlight w:val="none"/>
          <w:lang w:val="en-US" w:eastAsia="zh-CN"/>
        </w:rPr>
      </w:pPr>
      <w:r>
        <w:rPr>
          <w:rFonts w:hint="default" w:ascii="Times New Roman" w:hAnsi="Times New Roman" w:cs="Times New Roman"/>
          <w:color w:val="auto"/>
          <w:sz w:val="24"/>
          <w:szCs w:val="24"/>
          <w:highlight w:val="none"/>
        </w:rPr>
        <w:t xml:space="preserve">Results </w:t>
      </w:r>
      <w:r>
        <w:rPr>
          <w:rFonts w:hint="eastAsia" w:ascii="Times New Roman" w:hAnsi="Times New Roman" w:cs="Times New Roman"/>
          <w:color w:val="auto"/>
          <w:sz w:val="24"/>
          <w:szCs w:val="24"/>
          <w:highlight w:val="none"/>
          <w:lang w:val="en-US" w:eastAsia="zh-CN"/>
        </w:rPr>
        <w:t>show that</w:t>
      </w:r>
    </w:p>
    <w:p w14:paraId="521228DF">
      <w:pPr>
        <w:rPr>
          <w:rFonts w:hint="default" w:ascii="Times New Roman" w:hAnsi="Times New Roman" w:cs="Times New Roman"/>
          <w:color w:val="auto"/>
          <w:sz w:val="24"/>
          <w:szCs w:val="24"/>
          <w:highlight w:val="none"/>
        </w:rPr>
      </w:pPr>
    </w:p>
    <w:p w14:paraId="3D99DA13">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Period 1: Before 2022 (2019–2021) – Massive Outperformance</w:t>
      </w:r>
    </w:p>
    <w:p w14:paraId="786584C6">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From 2019 to 2021, the fund’s cumulative NAV soared from 1.05 to 3.90, while the benchmark rose only from 1.00 to 1.60.</w:t>
      </w:r>
    </w:p>
    <w:p w14:paraId="1DE1E60B">
      <w:pPr>
        <w:rPr>
          <w:rFonts w:hint="default" w:ascii="Times New Roman" w:hAnsi="Times New Roman" w:cs="Times New Roman"/>
          <w:color w:val="auto"/>
          <w:sz w:val="24"/>
          <w:szCs w:val="24"/>
          <w:highlight w:val="none"/>
        </w:rPr>
      </w:pPr>
    </w:p>
    <w:p w14:paraId="5F9D2237">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Key observation: The fund delivered a 271% cumulative return over this period, versus 60% for the benchmark. This extreme outperformance was driven by a speculative rally in green technology stocks (solar, EV, hydrogen) fueled by low interest rates and post‑COVID stimulus.</w:t>
      </w:r>
    </w:p>
    <w:p w14:paraId="2C971360">
      <w:pPr>
        <w:rPr>
          <w:rFonts w:hint="default" w:ascii="Times New Roman" w:hAnsi="Times New Roman" w:cs="Times New Roman"/>
          <w:color w:val="auto"/>
          <w:sz w:val="24"/>
          <w:szCs w:val="24"/>
          <w:highlight w:val="none"/>
        </w:rPr>
      </w:pPr>
    </w:p>
    <w:p w14:paraId="22DF4943">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Period 2: 2022–2025 – Deep Drawdown and Underperformance</w:t>
      </w:r>
    </w:p>
    <w:p w14:paraId="50436ACC">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From 2022 to 2025, the fund collapsed from its peak of 3.90 to a trough of 1.45 – a 63% peak‑to‑trough decline. The benchmark, in contrast, remained relatively stable, rising from 1.60 to 1.80 by 2025.</w:t>
      </w:r>
    </w:p>
    <w:p w14:paraId="0649A2A3">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By the end of 2025, the benchmark’s NAV (1.80) surpassed the fund’s NAV (1.45) for the first time.</w:t>
      </w:r>
    </w:p>
    <w:p w14:paraId="2647FBAE">
      <w:pPr>
        <w:rPr>
          <w:rFonts w:hint="default" w:ascii="Times New Roman" w:hAnsi="Times New Roman" w:cs="Times New Roman"/>
          <w:color w:val="auto"/>
          <w:sz w:val="24"/>
          <w:szCs w:val="24"/>
          <w:highlight w:val="none"/>
        </w:rPr>
      </w:pPr>
    </w:p>
    <w:p w14:paraId="45B5D7F0">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Key observation: The fund’s concentrated exposure to high‑beta green growth stocks made it extremely vulnerable to rising interest rates and inflation. The maximum drawdown recorded over the entire simulation reached negative 66.7%, more than double the benchmark’s negative 33.5%.</w:t>
      </w:r>
    </w:p>
    <w:p w14:paraId="53C511B3">
      <w:pPr>
        <w:rPr>
          <w:rFonts w:hint="default" w:ascii="Times New Roman" w:hAnsi="Times New Roman" w:cs="Times New Roman"/>
          <w:color w:val="auto"/>
          <w:sz w:val="24"/>
          <w:szCs w:val="24"/>
          <w:highlight w:val="none"/>
        </w:rPr>
      </w:pPr>
    </w:p>
    <w:p w14:paraId="6C0600A5">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Period 3: After 2025 (2025–2026) – Strong Rebound but Still Lagging</w:t>
      </w:r>
    </w:p>
    <w:p w14:paraId="396B4970">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From 2025 to 2026, the fund rebounded sharply from 1.45 to 2.15 – a 48% gain in one year. The benchmark also rose, from 1.80 to 2.50 – a 39% gain.</w:t>
      </w:r>
    </w:p>
    <w:p w14:paraId="7A02EBAE">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Despite the fund’s stronger recovery rate, its absolute NAV (2.15) remained below the benchmark (2.50) at the end of 2026.</w:t>
      </w:r>
    </w:p>
    <w:p w14:paraId="4A54A921">
      <w:pPr>
        <w:rPr>
          <w:rFonts w:hint="default" w:ascii="Times New Roman" w:hAnsi="Times New Roman" w:cs="Times New Roman"/>
          <w:color w:val="auto"/>
          <w:sz w:val="24"/>
          <w:szCs w:val="24"/>
          <w:highlight w:val="none"/>
        </w:rPr>
      </w:pPr>
    </w:p>
    <w:p w14:paraId="442F1FAB">
      <w:pPr>
        <w:rPr>
          <w:rFonts w:hint="default" w:ascii="Times New Roman" w:hAnsi="Times New Roman" w:cs="Times New Roman"/>
          <w:color w:val="auto"/>
          <w:sz w:val="24"/>
          <w:szCs w:val="24"/>
          <w:highlight w:val="cyan"/>
        </w:rPr>
      </w:pPr>
    </w:p>
    <w:p w14:paraId="6C42164C">
      <w:pPr>
        <w:rPr>
          <w:rFonts w:hint="eastAsia" w:ascii="Times New Roman" w:hAnsi="Times New Roman" w:cs="Times New Roman"/>
          <w:b/>
          <w:bCs/>
          <w:color w:val="auto"/>
          <w:sz w:val="24"/>
          <w:szCs w:val="24"/>
          <w:highlight w:val="none"/>
          <w:lang w:val="en-US" w:eastAsia="zh-CN"/>
        </w:rPr>
      </w:pPr>
      <w:r>
        <w:rPr>
          <w:rFonts w:hint="eastAsia" w:ascii="Times New Roman" w:hAnsi="Times New Roman" w:cs="Times New Roman"/>
          <w:b/>
          <w:bCs/>
          <w:color w:val="auto"/>
          <w:sz w:val="24"/>
          <w:szCs w:val="24"/>
          <w:highlight w:val="none"/>
          <w:lang w:val="en-US" w:eastAsia="zh-CN"/>
        </w:rPr>
        <w:t>Page 2：</w:t>
      </w:r>
    </w:p>
    <w:p w14:paraId="2BAA9680">
      <w:pPr>
        <w:rPr>
          <w:rFonts w:hint="default" w:ascii="Times New Roman" w:hAnsi="Times New Roman" w:cs="Times New Roman"/>
          <w:sz w:val="24"/>
          <w:szCs w:val="24"/>
          <w:highlight w:val="yellow"/>
        </w:rPr>
      </w:pPr>
    </w:p>
    <w:p w14:paraId="6B24B661">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Overall Performance (Full Period 2019–2026)</w:t>
      </w:r>
    </w:p>
    <w:p w14:paraId="305260C9">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Annualized return: The fund achieved 11.7% per year, while the benchmark delivered 14.2% per year. The benchmark outperformed by 2.5 percentage points annually.</w:t>
      </w:r>
    </w:p>
    <w:p w14:paraId="1AE320B9">
      <w:pPr>
        <w:rPr>
          <w:rFonts w:hint="default" w:ascii="Times New Roman" w:hAnsi="Times New Roman" w:cs="Times New Roman"/>
          <w:color w:val="auto"/>
          <w:sz w:val="24"/>
          <w:szCs w:val="24"/>
          <w:highlight w:val="none"/>
        </w:rPr>
      </w:pPr>
    </w:p>
    <w:p w14:paraId="5A08963F">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Sharpe ratio: The fund’s Sharpe ratio was 0.3, significantly lower than the benchmark’s 0.7 – meaning the fund generated much less excess return per unit of risk.</w:t>
      </w:r>
    </w:p>
    <w:p w14:paraId="3090EB4B">
      <w:pPr>
        <w:rPr>
          <w:rFonts w:hint="default" w:ascii="Times New Roman" w:hAnsi="Times New Roman" w:cs="Times New Roman"/>
          <w:color w:val="auto"/>
          <w:sz w:val="24"/>
          <w:szCs w:val="24"/>
          <w:highlight w:val="none"/>
        </w:rPr>
      </w:pPr>
    </w:p>
    <w:p w14:paraId="78371C0A">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Maximum drawdown: The fund suffered a negative 66.7% drawdown, versus the benchmark’s negative 33.5% – the fund’s downside was twice as severe.</w:t>
      </w:r>
    </w:p>
    <w:p w14:paraId="17263B53">
      <w:pPr>
        <w:rPr>
          <w:rFonts w:hint="default" w:ascii="Times New Roman" w:hAnsi="Times New Roman" w:cs="Times New Roman"/>
          <w:color w:val="auto"/>
          <w:sz w:val="24"/>
          <w:szCs w:val="24"/>
          <w:highlight w:val="none"/>
        </w:rPr>
      </w:pPr>
    </w:p>
    <w:p w14:paraId="65151379">
      <w:pPr>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Carbon intensity: The fund’s carbon intensity was 65 tCO₂/$M, while the benchmark’s was 168. The fund is 61% cleaner – a clear environmental success.</w:t>
      </w:r>
    </w:p>
    <w:p w14:paraId="4245286D">
      <w:pPr>
        <w:rPr>
          <w:rFonts w:hint="default" w:ascii="Times New Roman" w:hAnsi="Times New Roman" w:cs="Times New Roman"/>
          <w:sz w:val="24"/>
          <w:szCs w:val="24"/>
          <w:highlight w:val="yellow"/>
        </w:rPr>
      </w:pPr>
    </w:p>
    <w:p w14:paraId="49F07482">
      <w:pPr>
        <w:rPr>
          <w:rFonts w:hint="default" w:ascii="Times New Roman" w:hAnsi="Times New Roman" w:cs="Times New Roman"/>
          <w:sz w:val="24"/>
          <w:szCs w:val="24"/>
          <w:highlight w:val="yellow"/>
        </w:rPr>
      </w:pPr>
    </w:p>
    <w:p w14:paraId="083E90EB">
      <w:pPr>
        <w:rPr>
          <w:rFonts w:hint="default" w:ascii="Times New Roman" w:hAnsi="Times New Roman" w:cs="Times New Roman"/>
          <w:sz w:val="24"/>
          <w:szCs w:val="24"/>
          <w:highlight w:val="yellow"/>
        </w:rPr>
      </w:pPr>
      <w:bookmarkStart w:id="0" w:name="_GoBack"/>
      <w:bookmarkEnd w:id="0"/>
    </w:p>
    <w:p w14:paraId="3DCB3C53">
      <w:pPr>
        <w:rPr>
          <w:rFonts w:hint="default" w:ascii="Times New Roman" w:hAnsi="Times New Roman" w:cs="Times New Roman"/>
          <w:sz w:val="24"/>
          <w:szCs w:val="24"/>
        </w:rPr>
      </w:pPr>
      <w:r>
        <w:rPr>
          <w:rFonts w:hint="default" w:ascii="Times New Roman" w:hAnsi="Times New Roman" w:cs="Times New Roman"/>
          <w:sz w:val="24"/>
          <w:szCs w:val="24"/>
        </w:rPr>
        <w:t>Analysis and Key Takeaways</w:t>
      </w:r>
    </w:p>
    <w:p w14:paraId="2D4ACAEC">
      <w:pPr>
        <w:rPr>
          <w:rFonts w:hint="default" w:ascii="Times New Roman" w:hAnsi="Times New Roman" w:cs="Times New Roman"/>
          <w:sz w:val="24"/>
          <w:szCs w:val="24"/>
        </w:rPr>
      </w:pPr>
    </w:p>
    <w:p w14:paraId="6ACB5CB1">
      <w:pPr>
        <w:rPr>
          <w:rFonts w:hint="default" w:ascii="Times New Roman" w:hAnsi="Times New Roman" w:cs="Times New Roman"/>
          <w:sz w:val="24"/>
          <w:szCs w:val="24"/>
        </w:rPr>
      </w:pPr>
      <w:r>
        <w:rPr>
          <w:rFonts w:hint="default" w:ascii="Times New Roman" w:hAnsi="Times New Roman" w:cs="Times New Roman"/>
          <w:sz w:val="24"/>
          <w:szCs w:val="24"/>
        </w:rPr>
        <w:t>What worked: The fund excelled in a low‑interest‑rate, risk‑on environment (pre‑2022). It captured the green tech bubble perfectly, delivering massive alpha. Its carbon reduction goal was fully achieved.</w:t>
      </w:r>
    </w:p>
    <w:p w14:paraId="25ED8AF1">
      <w:pPr>
        <w:rPr>
          <w:rFonts w:hint="default" w:ascii="Times New Roman" w:hAnsi="Times New Roman" w:cs="Times New Roman"/>
          <w:sz w:val="24"/>
          <w:szCs w:val="24"/>
        </w:rPr>
      </w:pPr>
    </w:p>
    <w:p w14:paraId="4C84AD23">
      <w:pPr>
        <w:rPr>
          <w:rFonts w:hint="default" w:ascii="Times New Roman" w:hAnsi="Times New Roman" w:cs="Times New Roman"/>
          <w:sz w:val="24"/>
          <w:szCs w:val="24"/>
        </w:rPr>
      </w:pPr>
      <w:r>
        <w:rPr>
          <w:rFonts w:hint="default" w:ascii="Times New Roman" w:hAnsi="Times New Roman" w:cs="Times New Roman"/>
          <w:sz w:val="24"/>
          <w:szCs w:val="24"/>
        </w:rPr>
        <w:t>What failed: The fund lacked valuation discipline and diversification. When rates rose, its high‑beta holdings collapsed. The 66.7% drawdown is unacceptable for most institutional investors. The fund never recovered enough to beat the benchmark over the full period.</w:t>
      </w:r>
    </w:p>
    <w:p w14:paraId="0BBFF3BB">
      <w:pPr>
        <w:rPr>
          <w:rFonts w:hint="default" w:ascii="Times New Roman" w:hAnsi="Times New Roman" w:cs="Times New Roman"/>
          <w:sz w:val="24"/>
          <w:szCs w:val="24"/>
        </w:rPr>
      </w:pPr>
    </w:p>
    <w:p w14:paraId="555F7E1D">
      <w:pPr>
        <w:rPr>
          <w:rFonts w:hint="default" w:ascii="Times New Roman" w:hAnsi="Times New Roman" w:cs="Times New Roman"/>
          <w:sz w:val="24"/>
          <w:szCs w:val="24"/>
        </w:rPr>
      </w:pPr>
      <w:r>
        <w:rPr>
          <w:rFonts w:hint="default" w:ascii="Times New Roman" w:hAnsi="Times New Roman" w:cs="Times New Roman"/>
          <w:sz w:val="24"/>
          <w:szCs w:val="24"/>
        </w:rPr>
        <w:t>Trade‑off: Lower carbon intensity came at the cost of much higher volatility and lower risk‑adjusted returns. Green alpha is real but cyclical – timing matters enormously.</w:t>
      </w:r>
    </w:p>
    <w:p w14:paraId="47F33CB2">
      <w:pPr>
        <w:rPr>
          <w:rFonts w:hint="default" w:ascii="Times New Roman" w:hAnsi="Times New Roman" w:cs="Times New Roman"/>
          <w:sz w:val="24"/>
          <w:szCs w:val="24"/>
        </w:rPr>
      </w:pPr>
    </w:p>
    <w:p w14:paraId="0774444B">
      <w:pPr>
        <w:rPr>
          <w:rFonts w:hint="default" w:ascii="Times New Roman" w:hAnsi="Times New Roman" w:cs="Times New Roman"/>
          <w:sz w:val="24"/>
          <w:szCs w:val="24"/>
        </w:rPr>
      </w:pPr>
      <w:r>
        <w:rPr>
          <w:rFonts w:hint="default" w:ascii="Times New Roman" w:hAnsi="Times New Roman" w:cs="Times New Roman"/>
          <w:sz w:val="24"/>
          <w:szCs w:val="24"/>
        </w:rPr>
        <w:t>Practical implication: This strategy should only be used as a small satellite allocation (5–15% of a portfolio) for investors with a very long horizon and high risk tolerance. For most, a diversified low‑carbon index fund is a better choice</w:t>
      </w:r>
    </w:p>
    <w:p w14:paraId="4394BAA8">
      <w:pPr>
        <w:rPr>
          <w:rFonts w:hint="default" w:ascii="Times New Roman" w:hAnsi="Times New Roman" w:cs="Times New Roman"/>
          <w:sz w:val="24"/>
          <w:szCs w:val="24"/>
        </w:rPr>
      </w:pPr>
    </w:p>
    <w:p w14:paraId="4D59D3F4">
      <w:pPr>
        <w:rPr>
          <w:rFonts w:hint="default" w:ascii="Times New Roman" w:hAnsi="Times New Roman" w:cs="Times New Roman"/>
          <w:sz w:val="24"/>
          <w:szCs w:val="24"/>
        </w:rPr>
      </w:pPr>
    </w:p>
    <w:p w14:paraId="635411DE">
      <w:pPr>
        <w:rPr>
          <w:rFonts w:hint="default" w:ascii="Times New Roman" w:hAnsi="Times New Roman" w:cs="Times New Roman"/>
          <w:sz w:val="24"/>
          <w:szCs w:val="24"/>
        </w:rPr>
      </w:pPr>
    </w:p>
    <w:p w14:paraId="7553717C">
      <w:pPr>
        <w:rPr>
          <w:rFonts w:hint="default" w:ascii="Times New Roman" w:hAnsi="Times New Roman" w:cs="Times New Roman"/>
          <w:sz w:val="24"/>
          <w:szCs w:val="24"/>
        </w:rPr>
      </w:pPr>
    </w:p>
    <w:p w14:paraId="413C60A4">
      <w:pPr>
        <w:rPr>
          <w:rFonts w:hint="default" w:ascii="Times New Roman" w:hAnsi="Times New Roman" w:cs="Times New Roman"/>
          <w:sz w:val="24"/>
          <w:szCs w:val="24"/>
        </w:rPr>
      </w:pPr>
    </w:p>
    <w:p w14:paraId="7CDCA924">
      <w:pPr>
        <w:rPr>
          <w:rFonts w:hint="default" w:ascii="Times New Roman" w:hAnsi="Times New Roman" w:cs="Times New Roman"/>
          <w:sz w:val="24"/>
          <w:szCs w:val="24"/>
        </w:rPr>
      </w:pPr>
    </w:p>
    <w:p w14:paraId="756F1466">
      <w:pPr>
        <w:rPr>
          <w:rFonts w:hint="default" w:ascii="Times New Roman" w:hAnsi="Times New Roman" w:cs="Times New Roman"/>
          <w:sz w:val="24"/>
          <w:szCs w:val="24"/>
        </w:rPr>
      </w:pPr>
    </w:p>
    <w:p w14:paraId="76B5B6DF">
      <w:pPr>
        <w:rPr>
          <w:rFonts w:hint="default" w:ascii="Times New Roman" w:hAnsi="Times New Roman" w:cs="Times New Roman"/>
          <w:sz w:val="24"/>
          <w:szCs w:val="24"/>
        </w:rPr>
      </w:pPr>
    </w:p>
    <w:p w14:paraId="39162A8E">
      <w:pPr>
        <w:rPr>
          <w:rFonts w:hint="default" w:ascii="Times New Roman" w:hAnsi="Times New Roman" w:cs="Times New Roman"/>
          <w:sz w:val="24"/>
          <w:szCs w:val="24"/>
        </w:rPr>
      </w:pPr>
    </w:p>
    <w:p w14:paraId="503E8104">
      <w:pPr>
        <w:rPr>
          <w:rFonts w:hint="default" w:ascii="Times New Roman" w:hAnsi="Times New Roman" w:cs="Times New Roman"/>
          <w:sz w:val="24"/>
          <w:szCs w:val="24"/>
        </w:rPr>
      </w:pPr>
    </w:p>
    <w:p w14:paraId="395F7D42">
      <w:pPr>
        <w:rPr>
          <w:rFonts w:hint="default" w:ascii="Times New Roman" w:hAnsi="Times New Roman" w:cs="Times New Roman"/>
          <w:sz w:val="24"/>
          <w:szCs w:val="24"/>
        </w:rPr>
      </w:pPr>
    </w:p>
    <w:p w14:paraId="3C209429">
      <w:pPr>
        <w:rPr>
          <w:rFonts w:hint="default" w:ascii="Times New Roman" w:hAnsi="Times New Roman" w:cs="Times New Roman"/>
          <w:sz w:val="24"/>
          <w:szCs w:val="24"/>
        </w:rPr>
      </w:pPr>
    </w:p>
    <w:p w14:paraId="078941B2">
      <w:pPr>
        <w:rPr>
          <w:rFonts w:hint="default" w:ascii="Times New Roman" w:hAnsi="Times New Roman" w:cs="Times New Roman"/>
          <w:sz w:val="24"/>
          <w:szCs w:val="24"/>
        </w:rPr>
      </w:pPr>
    </w:p>
    <w:p w14:paraId="356531E8">
      <w:pPr>
        <w:rPr>
          <w:rFonts w:hint="default" w:ascii="Times New Roman" w:hAnsi="Times New Roman" w:cs="Times New Roman"/>
          <w:sz w:val="24"/>
          <w:szCs w:val="24"/>
        </w:rPr>
      </w:pPr>
    </w:p>
    <w:p w14:paraId="6AA63A0C">
      <w:pPr>
        <w:rPr>
          <w:rFonts w:hint="default" w:ascii="Times New Roman" w:hAnsi="Times New Roman" w:cs="Times New Roman"/>
          <w:sz w:val="24"/>
          <w:szCs w:val="24"/>
        </w:rPr>
      </w:pPr>
    </w:p>
    <w:p w14:paraId="6785C917">
      <w:pPr>
        <w:rPr>
          <w:rFonts w:hint="default" w:ascii="Times New Roman" w:hAnsi="Times New Roman" w:cs="Times New Roman"/>
          <w:sz w:val="24"/>
          <w:szCs w:val="24"/>
        </w:rPr>
      </w:pPr>
    </w:p>
    <w:p w14:paraId="251098EF">
      <w:pPr>
        <w:rPr>
          <w:rFonts w:hint="default" w:ascii="Times New Roman" w:hAnsi="Times New Roman" w:cs="Times New Roman"/>
          <w:sz w:val="24"/>
          <w:szCs w:val="24"/>
        </w:rPr>
      </w:pPr>
    </w:p>
    <w:p w14:paraId="066A6FA7">
      <w:pPr>
        <w:rPr>
          <w:rFonts w:hint="default" w:ascii="Times New Roman" w:hAnsi="Times New Roman" w:cs="Times New Roman"/>
          <w:sz w:val="24"/>
          <w:szCs w:val="24"/>
        </w:rPr>
      </w:pPr>
    </w:p>
    <w:p w14:paraId="67E4C5AE">
      <w:pPr>
        <w:rPr>
          <w:rFonts w:hint="default" w:ascii="Times New Roman" w:hAnsi="Times New Roman" w:cs="Times New Roman"/>
          <w:sz w:val="24"/>
          <w:szCs w:val="24"/>
        </w:rPr>
      </w:pPr>
    </w:p>
    <w:p w14:paraId="06C952E6">
      <w:pPr>
        <w:rPr>
          <w:rFonts w:hint="default" w:ascii="Times New Roman" w:hAnsi="Times New Roman" w:cs="Times New Roman"/>
          <w:sz w:val="24"/>
          <w:szCs w:val="24"/>
        </w:rPr>
      </w:pPr>
      <w:r>
        <w:rPr>
          <w:rFonts w:hint="default" w:ascii="Times New Roman" w:hAnsi="Times New Roman" w:cs="Times New Roman"/>
          <w:sz w:val="24"/>
          <w:szCs w:val="24"/>
        </w:rPr>
        <w:t>Anticipated Professor Q&amp;A (with answers)</w:t>
      </w:r>
    </w:p>
    <w:p w14:paraId="148713A5">
      <w:pPr>
        <w:rPr>
          <w:rFonts w:hint="default" w:ascii="Times New Roman" w:hAnsi="Times New Roman" w:cs="Times New Roman"/>
          <w:sz w:val="24"/>
          <w:szCs w:val="24"/>
        </w:rPr>
      </w:pPr>
      <w:r>
        <w:rPr>
          <w:rFonts w:hint="default" w:ascii="Times New Roman" w:hAnsi="Times New Roman" w:cs="Times New Roman"/>
          <w:sz w:val="24"/>
          <w:szCs w:val="24"/>
        </w:rPr>
        <w:t>Below are likely questions a professor might ask during or after the presentation, along with prepared answers.</w:t>
      </w:r>
    </w:p>
    <w:p w14:paraId="5C258191">
      <w:pPr>
        <w:rPr>
          <w:rFonts w:hint="default" w:ascii="Times New Roman" w:hAnsi="Times New Roman" w:cs="Times New Roman"/>
          <w:sz w:val="24"/>
          <w:szCs w:val="24"/>
        </w:rPr>
      </w:pPr>
    </w:p>
    <w:p w14:paraId="12EEEA25">
      <w:pPr>
        <w:rPr>
          <w:rFonts w:hint="default" w:ascii="Times New Roman" w:hAnsi="Times New Roman" w:cs="Times New Roman"/>
          <w:sz w:val="24"/>
          <w:szCs w:val="24"/>
        </w:rPr>
      </w:pPr>
      <w:r>
        <w:rPr>
          <w:rFonts w:hint="default" w:ascii="Times New Roman" w:hAnsi="Times New Roman" w:cs="Times New Roman"/>
          <w:sz w:val="24"/>
          <w:szCs w:val="24"/>
        </w:rPr>
        <w:t>Q1: Why did you choose 2019 as the start date? Would the results change if you started in 2021?</w:t>
      </w:r>
    </w:p>
    <w:p w14:paraId="45E114E9">
      <w:pPr>
        <w:rPr>
          <w:rFonts w:hint="default" w:ascii="Times New Roman" w:hAnsi="Times New Roman" w:cs="Times New Roman"/>
          <w:sz w:val="24"/>
          <w:szCs w:val="24"/>
        </w:rPr>
      </w:pPr>
      <w:r>
        <w:rPr>
          <w:rFonts w:hint="default" w:ascii="Times New Roman" w:hAnsi="Times New Roman" w:cs="Times New Roman"/>
          <w:sz w:val="24"/>
          <w:szCs w:val="24"/>
        </w:rPr>
        <w:t>A: We chose 2019 to capture a full market cycle – pre‑COVID, COVID shock, recovery, inflation shock, and rebound. If we started in 2021, the fund would show a 63% drawdown from 3.90 to 1.45, then a 48% rebound, but the final NAV (2.15) would still be below the starting NAV (3.90). That would look far worse. Starting in 2019 includes the huge early gains that mask the later underperformance. This highlights the importance of time‑period selection in performance evaluation.</w:t>
      </w:r>
    </w:p>
    <w:p w14:paraId="341F47E4">
      <w:pPr>
        <w:rPr>
          <w:rFonts w:hint="default" w:ascii="Times New Roman" w:hAnsi="Times New Roman" w:cs="Times New Roman"/>
          <w:sz w:val="24"/>
          <w:szCs w:val="24"/>
        </w:rPr>
      </w:pPr>
    </w:p>
    <w:p w14:paraId="48C28FEB">
      <w:pPr>
        <w:rPr>
          <w:rFonts w:hint="default" w:ascii="Times New Roman" w:hAnsi="Times New Roman" w:cs="Times New Roman"/>
          <w:sz w:val="24"/>
          <w:szCs w:val="24"/>
        </w:rPr>
      </w:pPr>
      <w:r>
        <w:rPr>
          <w:rFonts w:hint="default" w:ascii="Times New Roman" w:hAnsi="Times New Roman" w:cs="Times New Roman"/>
          <w:sz w:val="24"/>
          <w:szCs w:val="24"/>
        </w:rPr>
        <w:t>Q2: How did you handle survivorship bias in your stock selection?</w:t>
      </w:r>
    </w:p>
    <w:p w14:paraId="4F98CDA7">
      <w:pPr>
        <w:rPr>
          <w:rFonts w:hint="default" w:ascii="Times New Roman" w:hAnsi="Times New Roman" w:cs="Times New Roman"/>
          <w:sz w:val="24"/>
          <w:szCs w:val="24"/>
        </w:rPr>
      </w:pPr>
      <w:r>
        <w:rPr>
          <w:rFonts w:hint="default" w:ascii="Times New Roman" w:hAnsi="Times New Roman" w:cs="Times New Roman"/>
          <w:sz w:val="24"/>
          <w:szCs w:val="24"/>
        </w:rPr>
        <w:t>A: In this simulation, we assumed we could identify winners ex‑ante using our green scoring model. In reality, many green tech companies went bankrupt after 2022. To improve realism, we would need to include a delisting or bankruptcy rate of, say, 10% per year among small‑cap green stocks. That would likely reduce the fund’s 2021 spike and deepen the drawdown.</w:t>
      </w:r>
    </w:p>
    <w:p w14:paraId="1C866A8E">
      <w:pPr>
        <w:rPr>
          <w:rFonts w:hint="default" w:ascii="Times New Roman" w:hAnsi="Times New Roman" w:cs="Times New Roman"/>
          <w:sz w:val="24"/>
          <w:szCs w:val="24"/>
        </w:rPr>
      </w:pPr>
    </w:p>
    <w:p w14:paraId="1C87E001">
      <w:pPr>
        <w:rPr>
          <w:rFonts w:hint="default" w:ascii="Times New Roman" w:hAnsi="Times New Roman" w:cs="Times New Roman"/>
          <w:sz w:val="24"/>
          <w:szCs w:val="24"/>
        </w:rPr>
      </w:pPr>
      <w:r>
        <w:rPr>
          <w:rFonts w:hint="default" w:ascii="Times New Roman" w:hAnsi="Times New Roman" w:cs="Times New Roman"/>
          <w:sz w:val="24"/>
          <w:szCs w:val="24"/>
        </w:rPr>
        <w:t>Q3: Your Sharpe ratio uses a 2% risk‑free rate. What if we used 0%?</w:t>
      </w:r>
    </w:p>
    <w:p w14:paraId="1F80D0FF">
      <w:pPr>
        <w:rPr>
          <w:rFonts w:hint="default" w:ascii="Times New Roman" w:hAnsi="Times New Roman" w:cs="Times New Roman"/>
          <w:sz w:val="24"/>
          <w:szCs w:val="24"/>
        </w:rPr>
      </w:pPr>
      <w:r>
        <w:rPr>
          <w:rFonts w:hint="default" w:ascii="Times New Roman" w:hAnsi="Times New Roman" w:cs="Times New Roman"/>
          <w:sz w:val="24"/>
          <w:szCs w:val="24"/>
        </w:rPr>
        <w:t>A: With a 0% risk‑free rate, the Sharpe ratio for the fund would be 11.7% divided by its volatility (approx. 35% estimated from drawdowns) = 0.33. The benchmark’s Sharpe would be 14.2% / 15% volatility = 0.95. The gap would widen further. So our conclusion remains unchanged.</w:t>
      </w:r>
    </w:p>
    <w:p w14:paraId="45A897A2">
      <w:pPr>
        <w:rPr>
          <w:rFonts w:hint="default" w:ascii="Times New Roman" w:hAnsi="Times New Roman" w:cs="Times New Roman"/>
          <w:sz w:val="24"/>
          <w:szCs w:val="24"/>
        </w:rPr>
      </w:pPr>
    </w:p>
    <w:p w14:paraId="3897E0E6">
      <w:pPr>
        <w:rPr>
          <w:rFonts w:hint="default" w:ascii="Times New Roman" w:hAnsi="Times New Roman" w:cs="Times New Roman"/>
          <w:sz w:val="24"/>
          <w:szCs w:val="24"/>
        </w:rPr>
      </w:pPr>
      <w:r>
        <w:rPr>
          <w:rFonts w:hint="default" w:ascii="Times New Roman" w:hAnsi="Times New Roman" w:cs="Times New Roman"/>
          <w:sz w:val="24"/>
          <w:szCs w:val="24"/>
        </w:rPr>
        <w:t>Q4: Why didn’t you include any short positions or derivatives to hedge downside?</w:t>
      </w:r>
    </w:p>
    <w:p w14:paraId="5F5EA5A3">
      <w:pPr>
        <w:rPr>
          <w:rFonts w:hint="default" w:ascii="Times New Roman" w:hAnsi="Times New Roman" w:cs="Times New Roman"/>
          <w:sz w:val="24"/>
          <w:szCs w:val="24"/>
        </w:rPr>
      </w:pPr>
      <w:r>
        <w:rPr>
          <w:rFonts w:hint="default" w:ascii="Times New Roman" w:hAnsi="Times New Roman" w:cs="Times New Roman"/>
          <w:sz w:val="24"/>
          <w:szCs w:val="24"/>
        </w:rPr>
        <w:t>A: The mandate was a long‑only equity fund. Adding short positions or options would change the strategy’s nature and potentially violate “green” criteria (e.g., shorting a high‑carbon stock). However, we acknowledge that a green long‑short equity strategy could reduce drawdowns while maintaining low carbon intensity – that could be a future extension.</w:t>
      </w:r>
    </w:p>
    <w:p w14:paraId="77D75941">
      <w:pPr>
        <w:rPr>
          <w:rFonts w:hint="default" w:ascii="Times New Roman" w:hAnsi="Times New Roman" w:cs="Times New Roman"/>
          <w:sz w:val="24"/>
          <w:szCs w:val="24"/>
        </w:rPr>
      </w:pPr>
    </w:p>
    <w:p w14:paraId="67846AEA">
      <w:pPr>
        <w:rPr>
          <w:rFonts w:hint="default" w:ascii="Times New Roman" w:hAnsi="Times New Roman" w:cs="Times New Roman"/>
          <w:sz w:val="24"/>
          <w:szCs w:val="24"/>
        </w:rPr>
      </w:pPr>
      <w:r>
        <w:rPr>
          <w:rFonts w:hint="default" w:ascii="Times New Roman" w:hAnsi="Times New Roman" w:cs="Times New Roman"/>
          <w:sz w:val="24"/>
          <w:szCs w:val="24"/>
        </w:rPr>
        <w:t>Q5: How do you explain the huge 2021 spike? Was it purely a bubble?</w:t>
      </w:r>
    </w:p>
    <w:p w14:paraId="22E12B65">
      <w:pPr>
        <w:rPr>
          <w:rFonts w:hint="default" w:ascii="Times New Roman" w:hAnsi="Times New Roman" w:cs="Times New Roman"/>
          <w:sz w:val="24"/>
          <w:szCs w:val="24"/>
        </w:rPr>
      </w:pPr>
      <w:r>
        <w:rPr>
          <w:rFonts w:hint="default" w:ascii="Times New Roman" w:hAnsi="Times New Roman" w:cs="Times New Roman"/>
          <w:sz w:val="24"/>
          <w:szCs w:val="24"/>
        </w:rPr>
        <w:t>A: Yes, 2021 saw a speculative frenzy in clean tech, driven by the Biden administration’s election, EU’s Green Deal, and near‑zero interest rates. Many companies with no earnings saw P/S ratios above 20. Our fund captured that fully, but without valuation discipline, it crashed later. A valuation overlay (e.g., selling when P/S exceeds 10) would have improved outcomes.</w:t>
      </w:r>
    </w:p>
    <w:p w14:paraId="1409ACEE">
      <w:pPr>
        <w:rPr>
          <w:rFonts w:hint="default" w:ascii="Times New Roman" w:hAnsi="Times New Roman" w:cs="Times New Roman"/>
          <w:sz w:val="24"/>
          <w:szCs w:val="24"/>
        </w:rPr>
      </w:pPr>
    </w:p>
    <w:p w14:paraId="040E6B67">
      <w:pPr>
        <w:rPr>
          <w:rFonts w:hint="default" w:ascii="Times New Roman" w:hAnsi="Times New Roman" w:cs="Times New Roman"/>
          <w:sz w:val="24"/>
          <w:szCs w:val="24"/>
        </w:rPr>
      </w:pPr>
      <w:r>
        <w:rPr>
          <w:rFonts w:hint="default" w:ascii="Times New Roman" w:hAnsi="Times New Roman" w:cs="Times New Roman"/>
          <w:sz w:val="24"/>
          <w:szCs w:val="24"/>
        </w:rPr>
        <w:t>Q6: Could the fund’s carbon intensity of 65 be reduced further to, say, 20? What would happen to returns?</w:t>
      </w:r>
    </w:p>
    <w:p w14:paraId="29483387">
      <w:pPr>
        <w:rPr>
          <w:rFonts w:hint="default" w:ascii="Times New Roman" w:hAnsi="Times New Roman" w:cs="Times New Roman"/>
          <w:sz w:val="24"/>
          <w:szCs w:val="24"/>
        </w:rPr>
      </w:pPr>
      <w:r>
        <w:rPr>
          <w:rFonts w:hint="default" w:ascii="Times New Roman" w:hAnsi="Times New Roman" w:cs="Times New Roman"/>
          <w:sz w:val="24"/>
          <w:szCs w:val="24"/>
        </w:rPr>
        <w:t>A: To reach 20, we would have to exclude even moderate‑carbon green companies (e.g., electric utilities with 40 tCO₂/$M) and focus only on pure‑play renewables and software. That would likely increase volatility further and reduce returns, as the investable universe shrinks dramatically. There is a carbon‑return trade‑off at the extreme end.</w:t>
      </w:r>
    </w:p>
    <w:p w14:paraId="343D9A24">
      <w:pPr>
        <w:rPr>
          <w:rFonts w:hint="default" w:ascii="Times New Roman" w:hAnsi="Times New Roman" w:cs="Times New Roman"/>
          <w:sz w:val="24"/>
          <w:szCs w:val="24"/>
        </w:rPr>
      </w:pPr>
    </w:p>
    <w:p w14:paraId="3C1609D2">
      <w:pPr>
        <w:rPr>
          <w:rFonts w:hint="default" w:ascii="Times New Roman" w:hAnsi="Times New Roman" w:cs="Times New Roman"/>
          <w:sz w:val="24"/>
          <w:szCs w:val="24"/>
        </w:rPr>
      </w:pPr>
      <w:r>
        <w:rPr>
          <w:rFonts w:hint="default" w:ascii="Times New Roman" w:hAnsi="Times New Roman" w:cs="Times New Roman"/>
          <w:sz w:val="24"/>
          <w:szCs w:val="24"/>
        </w:rPr>
        <w:t>Q7: Why use equal weighting instead of market cap weighting?</w:t>
      </w:r>
    </w:p>
    <w:p w14:paraId="229B24CE">
      <w:pPr>
        <w:rPr>
          <w:rFonts w:hint="default" w:ascii="Times New Roman" w:hAnsi="Times New Roman" w:cs="Times New Roman"/>
          <w:sz w:val="24"/>
          <w:szCs w:val="24"/>
        </w:rPr>
      </w:pPr>
      <w:r>
        <w:rPr>
          <w:rFonts w:hint="default" w:ascii="Times New Roman" w:hAnsi="Times New Roman" w:cs="Times New Roman"/>
          <w:sz w:val="24"/>
          <w:szCs w:val="24"/>
        </w:rPr>
        <w:t>A: Equal weighting prevents overconcentration in a few large green tech giants (e.g., Tesla, Enphase) and gives smaller, high‑alpha names a chance. However, it also increases small‑cap exposure, which contributed to the high drawdown. A cap‑weighted green fund would have performed more like the benchmark with slightly lower carbon intensity – less extreme in both directions.</w:t>
      </w:r>
    </w:p>
    <w:p w14:paraId="6FF28FDD">
      <w:pPr>
        <w:rPr>
          <w:rFonts w:hint="default" w:ascii="Times New Roman" w:hAnsi="Times New Roman" w:cs="Times New Roman"/>
          <w:sz w:val="24"/>
          <w:szCs w:val="24"/>
        </w:rPr>
      </w:pPr>
    </w:p>
    <w:p w14:paraId="79554F35">
      <w:pPr>
        <w:rPr>
          <w:rFonts w:hint="default" w:ascii="Times New Roman" w:hAnsi="Times New Roman" w:cs="Times New Roman"/>
          <w:sz w:val="24"/>
          <w:szCs w:val="24"/>
        </w:rPr>
      </w:pPr>
      <w:r>
        <w:rPr>
          <w:rFonts w:hint="default" w:ascii="Times New Roman" w:hAnsi="Times New Roman" w:cs="Times New Roman"/>
          <w:sz w:val="24"/>
          <w:szCs w:val="24"/>
        </w:rPr>
        <w:t>Q8: How would inflation and interest rate expectations in 2026 affect the fund’s future?</w:t>
      </w:r>
    </w:p>
    <w:p w14:paraId="1402A415">
      <w:pPr>
        <w:rPr>
          <w:rFonts w:hint="default" w:ascii="Times New Roman" w:hAnsi="Times New Roman" w:cs="Times New Roman"/>
          <w:sz w:val="24"/>
          <w:szCs w:val="24"/>
        </w:rPr>
      </w:pPr>
      <w:r>
        <w:rPr>
          <w:rFonts w:hint="default" w:ascii="Times New Roman" w:hAnsi="Times New Roman" w:cs="Times New Roman"/>
          <w:sz w:val="24"/>
          <w:szCs w:val="24"/>
        </w:rPr>
        <w:t>A: If rates stay high, green tech valuations remain under pressure. The 2026 rebound (to 2.15) could be short‑lived. A scenario with rates falling would disproportionately benefit the fund due to its long‑duration growth exposure. We would need to stress‑test the fund under different rate paths.</w:t>
      </w:r>
    </w:p>
    <w:p w14:paraId="3E5594C2">
      <w:pPr>
        <w:rPr>
          <w:rFonts w:hint="default" w:ascii="Times New Roman" w:hAnsi="Times New Roman" w:cs="Times New Roman"/>
          <w:sz w:val="24"/>
          <w:szCs w:val="24"/>
        </w:rPr>
      </w:pPr>
    </w:p>
    <w:p w14:paraId="09AC2ACA">
      <w:pPr>
        <w:rPr>
          <w:rFonts w:hint="default" w:ascii="Times New Roman" w:hAnsi="Times New Roman" w:cs="Times New Roman"/>
          <w:sz w:val="24"/>
          <w:szCs w:val="24"/>
        </w:rPr>
      </w:pPr>
      <w:r>
        <w:rPr>
          <w:rFonts w:hint="default" w:ascii="Times New Roman" w:hAnsi="Times New Roman" w:cs="Times New Roman"/>
          <w:sz w:val="24"/>
          <w:szCs w:val="24"/>
        </w:rPr>
        <w:t>Q9: What real‑world fund most closely resembles this simulation?</w:t>
      </w:r>
    </w:p>
    <w:p w14:paraId="1A8D35ED">
      <w:pPr>
        <w:rPr>
          <w:rFonts w:hint="default" w:ascii="Times New Roman" w:hAnsi="Times New Roman" w:cs="Times New Roman"/>
          <w:sz w:val="24"/>
          <w:szCs w:val="24"/>
        </w:rPr>
      </w:pPr>
      <w:r>
        <w:rPr>
          <w:rFonts w:hint="default" w:ascii="Times New Roman" w:hAnsi="Times New Roman" w:cs="Times New Roman"/>
          <w:sz w:val="24"/>
          <w:szCs w:val="24"/>
        </w:rPr>
        <w:t>A: Funds like iShares Global Clean Energy ETF (ICLN) or Invesco Solar ETF (TAN) showed similar patterns – huge 2020‑2021 gains, then 50‑70% drawdowns in 2022‑2023, and partial recoveries. Our simulated fund is more aggressive (higher beta) than ICLN, but the qualitative story is similar.</w:t>
      </w:r>
    </w:p>
    <w:p w14:paraId="122F7877">
      <w:pPr>
        <w:rPr>
          <w:rFonts w:hint="default" w:ascii="Times New Roman" w:hAnsi="Times New Roman" w:cs="Times New Roman"/>
          <w:sz w:val="24"/>
          <w:szCs w:val="24"/>
        </w:rPr>
      </w:pPr>
    </w:p>
    <w:p w14:paraId="3072A7C5">
      <w:pPr>
        <w:rPr>
          <w:rFonts w:hint="default" w:ascii="Times New Roman" w:hAnsi="Times New Roman" w:cs="Times New Roman"/>
          <w:sz w:val="24"/>
          <w:szCs w:val="24"/>
        </w:rPr>
      </w:pPr>
      <w:r>
        <w:rPr>
          <w:rFonts w:hint="default" w:ascii="Times New Roman" w:hAnsi="Times New Roman" w:cs="Times New Roman"/>
          <w:sz w:val="24"/>
          <w:szCs w:val="24"/>
        </w:rPr>
        <w:t>Q10: Based on this analysis, would you recommend this fund to a pension fund or a retail investor?</w:t>
      </w:r>
    </w:p>
    <w:p w14:paraId="43AF4C95">
      <w:pPr>
        <w:rPr>
          <w:rFonts w:hint="default" w:ascii="Times New Roman" w:hAnsi="Times New Roman" w:cs="Times New Roman"/>
          <w:sz w:val="24"/>
          <w:szCs w:val="24"/>
        </w:rPr>
      </w:pPr>
      <w:r>
        <w:rPr>
          <w:rFonts w:hint="default" w:ascii="Times New Roman" w:hAnsi="Times New Roman" w:cs="Times New Roman"/>
          <w:sz w:val="24"/>
          <w:szCs w:val="24"/>
        </w:rPr>
        <w:t>A: For a pension fund with liability‑driven constraints, no – the 66.7% drawdown is unacceptable. For a young retail investor with a high risk tolerance and a 20‑year horizon, maybe – as a small satellite holding (5% of portfolio) to bet on the green transition, but only if they can stomach the volatility and dollar‑cost average. For most investors, a diversified, low‑carbon index (like MSCI ACWI Low Carbon) would be a better choice.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Gothic">
    <w:panose1 w:val="020B0609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832843"/>
    <w:rsid w:val="04647342"/>
    <w:rsid w:val="29832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1135</Words>
  <Characters>5924</Characters>
  <Lines>0</Lines>
  <Paragraphs>0</Paragraphs>
  <TotalTime>3</TotalTime>
  <ScaleCrop>false</ScaleCrop>
  <LinksUpToDate>false</LinksUpToDate>
  <CharactersWithSpaces>7012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2026-04-14T18:31:00Z</dcterms:created>
  <dc:creator>Haoyang Wang</dc:creator>
  <cp:lastModifiedBy>Haoyang Wang</cp:lastModifiedBy>
  <dcterms:modified xsi:type="dcterms:W3CDTF">2026-04-14T18:44:52Z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8E3BB8E527E9433FA2A498F21EFF7592_11</vt:lpwstr>
  </property>
  <property fmtid="{D5CDD505-2E9C-101B-9397-08002B2CF9AE}" pid="4" name="KSOTemplateDocerSaveRecord">
    <vt:lpwstr>eyJoZGlkIjoiOWYzYjFmMDRjMDliZDU4YmUyOTIxYzQ5Njg1MzMyODMiLCJ1c2VySWQiOiI1Nzg5OTk5NjM0MzM5In0=</vt:lpwstr>
  </property>
</Properties>
</file>