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6BAB" w14:textId="77777777" w:rsidR="00DA3CE2" w:rsidRPr="004174B3" w:rsidRDefault="00DA3CE2" w:rsidP="004827A6">
      <w:pPr>
        <w:pStyle w:val="Sinespaciado"/>
        <w:jc w:val="center"/>
        <w:rPr>
          <w:b/>
        </w:rPr>
      </w:pPr>
      <w:r w:rsidRPr="004174B3">
        <w:rPr>
          <w:b/>
        </w:rPr>
        <w:t>Sistema modular de gestión operativa y analítica predictiva para micronegocios</w:t>
      </w:r>
    </w:p>
    <w:p w14:paraId="748034C4" w14:textId="77777777" w:rsidR="00DA3CE2" w:rsidRPr="004174B3" w:rsidRDefault="00DA3CE2" w:rsidP="004827A6">
      <w:pPr>
        <w:pStyle w:val="Sinespaciado"/>
        <w:jc w:val="center"/>
      </w:pPr>
    </w:p>
    <w:p w14:paraId="75754580" w14:textId="77777777" w:rsidR="00DA3CE2" w:rsidRPr="004174B3" w:rsidRDefault="00DA3CE2" w:rsidP="004827A6">
      <w:pPr>
        <w:pStyle w:val="Sinespaciado"/>
        <w:jc w:val="center"/>
      </w:pPr>
    </w:p>
    <w:p w14:paraId="2EF83AE9" w14:textId="77777777" w:rsidR="00D77E5F" w:rsidRDefault="00D77E5F" w:rsidP="004827A6">
      <w:pPr>
        <w:pStyle w:val="Sinespaciado"/>
        <w:jc w:val="center"/>
      </w:pPr>
    </w:p>
    <w:p w14:paraId="03F8B66B" w14:textId="77777777" w:rsidR="004174B3" w:rsidRPr="004174B3" w:rsidRDefault="004174B3" w:rsidP="004827A6">
      <w:pPr>
        <w:pStyle w:val="Sinespaciado"/>
        <w:jc w:val="center"/>
      </w:pPr>
    </w:p>
    <w:p w14:paraId="777ADC11" w14:textId="77777777" w:rsidR="005310ED" w:rsidRPr="004174B3" w:rsidRDefault="005310ED" w:rsidP="004827A6">
      <w:pPr>
        <w:pStyle w:val="Sinespaciado"/>
        <w:jc w:val="center"/>
      </w:pPr>
      <w:r w:rsidRPr="004174B3">
        <w:t>Cristian Orlando Ávila Rivera</w:t>
      </w:r>
    </w:p>
    <w:p w14:paraId="3F597708" w14:textId="77777777" w:rsidR="005310ED" w:rsidRPr="004174B3" w:rsidRDefault="005310ED" w:rsidP="004827A6">
      <w:pPr>
        <w:pStyle w:val="Sinespaciado"/>
        <w:jc w:val="center"/>
      </w:pPr>
      <w:r w:rsidRPr="004174B3">
        <w:t>Juan Pablo Guillen</w:t>
      </w:r>
    </w:p>
    <w:p w14:paraId="66383550" w14:textId="77777777" w:rsidR="005310ED" w:rsidRPr="004174B3" w:rsidRDefault="005310ED" w:rsidP="004827A6">
      <w:pPr>
        <w:pStyle w:val="Sinespaciado"/>
        <w:jc w:val="center"/>
      </w:pPr>
      <w:r w:rsidRPr="004174B3">
        <w:t>Andrés Felipe Bohórquez</w:t>
      </w:r>
    </w:p>
    <w:p w14:paraId="15621BE0" w14:textId="77777777" w:rsidR="00DA3CE2" w:rsidRPr="004174B3" w:rsidRDefault="00DA3CE2" w:rsidP="004827A6">
      <w:pPr>
        <w:pStyle w:val="Sinespaciado"/>
        <w:jc w:val="center"/>
      </w:pPr>
    </w:p>
    <w:p w14:paraId="6FD423BC" w14:textId="77777777" w:rsidR="000C70FF" w:rsidRPr="004174B3" w:rsidRDefault="000C70FF" w:rsidP="004827A6">
      <w:pPr>
        <w:pStyle w:val="Sinespaciado"/>
        <w:jc w:val="center"/>
      </w:pPr>
    </w:p>
    <w:p w14:paraId="386BC873" w14:textId="77777777" w:rsidR="004A4761" w:rsidRPr="004174B3" w:rsidRDefault="004A4761" w:rsidP="004827A6">
      <w:pPr>
        <w:pStyle w:val="Sinespaciado"/>
        <w:jc w:val="center"/>
      </w:pPr>
    </w:p>
    <w:p w14:paraId="7580002D" w14:textId="4A93A453" w:rsidR="004827A6" w:rsidRPr="004174B3" w:rsidRDefault="004827A6" w:rsidP="004827A6">
      <w:pPr>
        <w:pStyle w:val="Sinespaciado"/>
        <w:jc w:val="center"/>
      </w:pPr>
      <w:proofErr w:type="spellStart"/>
      <w:r>
        <w:t>Docente</w:t>
      </w:r>
      <w:proofErr w:type="spellEnd"/>
    </w:p>
    <w:p w14:paraId="04BA1997" w14:textId="77777777" w:rsidR="000C70FF" w:rsidRPr="004174B3" w:rsidRDefault="00724132" w:rsidP="004827A6">
      <w:pPr>
        <w:pStyle w:val="Sinespaciado"/>
        <w:jc w:val="center"/>
      </w:pPr>
      <w:r w:rsidRPr="004174B3">
        <w:t>Víctor Andrés Hernández Arias</w:t>
      </w:r>
    </w:p>
    <w:p w14:paraId="727467AE" w14:textId="77777777" w:rsidR="000C70FF" w:rsidRPr="004174B3" w:rsidRDefault="000C70FF" w:rsidP="004827A6">
      <w:pPr>
        <w:pStyle w:val="Sinespaciado"/>
        <w:jc w:val="center"/>
      </w:pPr>
    </w:p>
    <w:p w14:paraId="76BA7665" w14:textId="77777777" w:rsidR="00DA3CE2" w:rsidRPr="004174B3" w:rsidRDefault="00DA3CE2" w:rsidP="004827A6">
      <w:pPr>
        <w:pStyle w:val="Sinespaciado"/>
        <w:jc w:val="center"/>
      </w:pPr>
    </w:p>
    <w:p w14:paraId="6A5CE804" w14:textId="77777777" w:rsidR="00DA3CE2" w:rsidRDefault="00DA3CE2" w:rsidP="004827A6">
      <w:pPr>
        <w:pStyle w:val="Sinespaciado"/>
        <w:jc w:val="center"/>
      </w:pPr>
    </w:p>
    <w:p w14:paraId="093DCDE1" w14:textId="77777777" w:rsidR="00B068A6" w:rsidRPr="004174B3" w:rsidRDefault="00B068A6" w:rsidP="004827A6">
      <w:pPr>
        <w:pStyle w:val="Sinespaciado"/>
        <w:jc w:val="center"/>
      </w:pPr>
    </w:p>
    <w:p w14:paraId="230FDDD9" w14:textId="77777777" w:rsidR="004174B3" w:rsidRPr="004174B3" w:rsidRDefault="004174B3" w:rsidP="004827A6">
      <w:pPr>
        <w:pStyle w:val="Sinespaciado"/>
        <w:jc w:val="center"/>
      </w:pPr>
    </w:p>
    <w:p w14:paraId="32BE8EA5" w14:textId="4B4C89F1" w:rsidR="00DA3CE2" w:rsidRPr="004174B3" w:rsidRDefault="00A51723" w:rsidP="004827A6">
      <w:pPr>
        <w:pStyle w:val="Sinespaciado"/>
        <w:jc w:val="center"/>
      </w:pPr>
      <w:r>
        <w:t>Corporación Universitaria Minuto de Dios</w:t>
      </w:r>
    </w:p>
    <w:p w14:paraId="53732E5A" w14:textId="77777777" w:rsidR="00DA3CE2" w:rsidRPr="004174B3" w:rsidRDefault="00E41D0A" w:rsidP="004827A6">
      <w:pPr>
        <w:pStyle w:val="Sinespaciado"/>
        <w:jc w:val="center"/>
      </w:pPr>
      <w:r>
        <w:t>Diplomado análisis de datos</w:t>
      </w:r>
    </w:p>
    <w:p w14:paraId="04C60771" w14:textId="77777777" w:rsidR="00E236F9" w:rsidRPr="00155A90" w:rsidRDefault="00E41D0A" w:rsidP="004827A6">
      <w:pPr>
        <w:pStyle w:val="Sinespaciado"/>
        <w:jc w:val="center"/>
        <w:rPr>
          <w:color w:val="FF0000"/>
        </w:rPr>
      </w:pPr>
      <w:r>
        <w:rPr>
          <w:color w:val="auto"/>
        </w:rPr>
        <w:t>Proyecto integrador</w:t>
      </w:r>
    </w:p>
    <w:p w14:paraId="3C183E3C" w14:textId="77777777" w:rsidR="00074DD2" w:rsidRDefault="004174B3" w:rsidP="004827A6">
      <w:pPr>
        <w:pStyle w:val="Sinespaciado"/>
        <w:jc w:val="center"/>
      </w:pPr>
      <w:r>
        <w:t>202</w:t>
      </w:r>
      <w:r w:rsidR="00A51723">
        <w:t>6</w:t>
      </w:r>
    </w:p>
    <w:sdt>
      <w:sdtPr>
        <w:rPr>
          <w:rFonts w:cstheme="minorBidi"/>
          <w:b w:val="0"/>
          <w:bCs w:val="0"/>
          <w:lang w:val="es-CO" w:eastAsia="en-US"/>
        </w:rPr>
        <w:id w:val="2076860506"/>
        <w:docPartObj>
          <w:docPartGallery w:val="Table of Contents"/>
          <w:docPartUnique/>
        </w:docPartObj>
      </w:sdtPr>
      <w:sdtContent>
        <w:p w14:paraId="091868E1" w14:textId="77777777" w:rsidR="003B7258" w:rsidRDefault="00DA244A" w:rsidP="004827A6">
          <w:pPr>
            <w:pStyle w:val="TtuloTDC"/>
            <w:jc w:val="both"/>
          </w:pPr>
          <w:r>
            <w:t xml:space="preserve">Tabla de </w:t>
          </w:r>
          <w:r w:rsidR="003B7258">
            <w:t>Contenido</w:t>
          </w:r>
        </w:p>
        <w:p>
          <w:pPr>
            <w:pStyle w:val="TDC1"/>
            <w:jc w:val="both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00101" w:history="1">
            <w:r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02" w:history="1">
            <w:r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03" w:history="1">
            <w:r>
              <w:rPr>
                <w:rStyle w:val="Hipervnculo"/>
                <w:noProof/>
              </w:rPr>
              <w:t>Identificación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04" w:history="1">
            <w:r>
              <w:rPr>
                <w:rStyle w:val="Hipervnculo"/>
                <w:noProof/>
              </w:rPr>
              <w:t>Formulación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05" w:history="1">
            <w:r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06" w:history="1">
            <w:r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07" w:history="1">
            <w:r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08" w:history="1">
            <w:r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09" w:history="1">
            <w:r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10" w:history="1">
            <w:r>
              <w:rPr>
                <w:rStyle w:val="Hipervnculo"/>
                <w:noProof/>
              </w:rPr>
              <w:t>Supuestos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11" w:history="1">
            <w:r>
              <w:rPr>
                <w:rStyle w:val="Hipervnculo"/>
                <w:noProof/>
              </w:rPr>
              <w:t>Diseño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12" w:history="1">
            <w:r>
              <w:rPr>
                <w:rStyle w:val="Hipervnculo"/>
                <w:noProof/>
              </w:rPr>
              <w:t>Organización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13" w:history="1">
            <w:r>
              <w:rPr>
                <w:rStyle w:val="Hipervnculo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14" w:history="1">
            <w:r>
              <w:rPr>
                <w:rStyle w:val="Hipervnculo"/>
                <w:noProof/>
              </w:rPr>
              <w:t>Datos y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15" w:history="1">
            <w:r>
              <w:rPr>
                <w:rStyle w:val="Hipervnculo"/>
                <w:noProof/>
              </w:rPr>
              <w:t>Modelo de datos y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16" w:history="1">
            <w:r>
              <w:rPr>
                <w:rStyle w:val="Hipervnculo"/>
                <w:noProof/>
              </w:rPr>
              <w:t>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17" w:history="1">
            <w:r>
              <w:rPr>
                <w:rStyle w:val="Hipervnculo"/>
                <w:noProof/>
              </w:rPr>
              <w:t>Descripción de las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18" w:history="1">
            <w:r>
              <w:rPr>
                <w:rStyle w:val="Hipervnculo"/>
                <w:noProof/>
              </w:rPr>
              <w:t>Integridad, seguridad y flujo hacia lo analítico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19" w:history="1">
            <w:r>
              <w:rPr>
                <w:rStyle w:val="Hipervnculo"/>
                <w:noProof/>
              </w:rPr>
              <w:t>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20" w:history="1">
            <w:r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jc w:val="both"/>
            <w:rPr>
              <w:noProof/>
            </w:rPr>
          </w:pPr>
          <w:hyperlink w:anchor="_Toc90000121" w:history="1">
            <w:r>
              <w:rPr>
                <w:rStyle w:val="Hipervnculo"/>
                <w:noProof/>
              </w:rPr>
              <w:t>Modelos sobre datos sintéticos y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22" w:history="1">
            <w:r>
              <w:rPr>
                <w:rStyle w:val="Hipervnculo"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23" w:history="1">
            <w:r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jc w:val="both"/>
            <w:rPr>
              <w:noProof/>
            </w:rPr>
          </w:pPr>
          <w:hyperlink w:anchor="_Toc90000124" w:history="1">
            <w:r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E4EB" w14:textId="45812470" w:rsidR="003B7258" w:rsidRDefault="003B7258" w:rsidP="004827A6">
          <w:pPr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2A6F34C" w14:textId="77777777" w:rsidR="00DD0FF9" w:rsidRPr="004A4761" w:rsidRDefault="00401AEB" w:rsidP="004827A6">
      <w:pPr>
        <w:pStyle w:val="Ttulo1APA"/>
        <w:ind w:firstLine="0"/>
        <w:jc w:val="both"/>
        <w:rPr>
          <w:szCs w:val="24"/>
        </w:rPr>
      </w:pPr>
      <w:r w:rsidRPr="004A4761">
        <w:rPr>
          <w:szCs w:val="24"/>
        </w:rPr>
        <w:br w:type="page"/>
      </w:r>
    </w:p>
    <w:p>
      <w:pPr>
        <w:pStyle w:val="Ttulo1"/>
        <w:jc w:val="both"/>
      </w:pPr>
      <w:bookmarkStart w:id="101" w:name="_Toc90000101"/>
      <w:r>
        <w:t>Planteamiento del problema</w:t>
      </w:r>
      <w:bookmarkEnd w:id="101"/>
    </w:p>
    <w:p>
      <w:pPr>
        <w:pStyle w:val="Ttulo2"/>
        <w:jc w:val="both"/>
      </w:pPr>
      <w:bookmarkStart w:id="102" w:name="_Toc90000102"/>
      <w:r>
        <w:t>Descripción</w:t>
      </w:r>
      <w:bookmarkEnd w:id="102"/>
    </w:p>
    <w:p>
      <w:pPr>
        <w:jc w:val="both"/>
      </w:pPr>
      <w:r>
        <w:t xml:space="preserve">Los micronegocios (tiendas de barrio, cafeterías, restaurantes) manejan su operación por experiencia: compran según lo que creen que se va a vender, notan que un producto se agotó cuando un cliente lo pide y rara vez saben qué productos se compran juntos o qué clientes dejaron de volver. Sus registros de ventas sirven para cuadrar caja, no para decidir.</w:t>
      </w:r>
    </w:p>
    <w:p>
      <w:pPr>
        <w:jc w:val="both"/>
      </w:pPr>
      <w:r>
        <w:t xml:space="preserve">Este proyecto propone un sistema modular de gestión operativa y analítica predictiva: punto de venta, inventario con kardex y clientes, más un proceso ETL hacia un esquema analítico, tres modelos de aprendizaje automático y un asesor generativo, todo en una plataforma web con visualización nativa. Se desarrolló con datos sintéticos (41 productos, 300 clientes y 12 meses de ventas) y se validó con los pedidos anonimizados del restaurante Red Rooster, en Bogotá.</w:t>
      </w:r>
    </w:p>
    <w:p>
      <w:pPr>
        <w:pStyle w:val="Ttulo2"/>
        <w:jc w:val="both"/>
      </w:pPr>
      <w:bookmarkStart w:id="103" w:name="_Toc90000103"/>
      <w:r>
        <w:t>Identificación</w:t>
      </w:r>
      <w:bookmarkEnd w:id="103"/>
    </w:p>
    <w:p>
      <w:pPr>
        <w:jc w:val="both"/>
      </w:pPr>
      <w:r>
        <w:t xml:space="preserve">Se identifican cuatro problemas concretos en la gestión de un micronegocio típico:</w:t>
      </w:r>
    </w:p>
    <w:p>
      <w:pPr>
        <w:ind w:left="720" w:hanging="360"/>
        <w:jc w:val="both"/>
      </w:pPr>
      <w:r>
        <w:t xml:space="preserve">1. </w:t>
      </w:r>
      <w:r>
        <w:rPr>
          <w:b/>
        </w:rPr>
        <w:t xml:space="preserve">Inventario a ciegas:</w:t>
      </w:r>
      <w:r>
        <w:t xml:space="preserve"> sin estimar la demanda hay agotados (ventas perdidas) o excedentes y mermas.</w:t>
      </w:r>
    </w:p>
    <w:p>
      <w:pPr>
        <w:ind w:left="720" w:hanging="360"/>
        <w:jc w:val="both"/>
      </w:pPr>
      <w:r>
        <w:t xml:space="preserve">2. </w:t>
      </w:r>
      <w:r>
        <w:rPr>
          <w:b/>
        </w:rPr>
        <w:t xml:space="preserve">Venta cruzada desaprovechada:</w:t>
      </w:r>
      <w:r>
        <w:t xml:space="preserve"> no se sabe qué productos se compran juntos.</w:t>
      </w:r>
    </w:p>
    <w:p>
      <w:pPr>
        <w:ind w:left="720" w:hanging="360"/>
        <w:jc w:val="both"/>
      </w:pPr>
      <w:r>
        <w:t xml:space="preserve">3. </w:t>
      </w:r>
      <w:r>
        <w:rPr>
          <w:b/>
        </w:rPr>
        <w:t xml:space="preserve">Clientes sin distinguir:</w:t>
      </w:r>
      <w:r>
        <w:t xml:space="preserve"> no se identifica a los más valiosos ni a los que dejan de comprar.</w:t>
      </w:r>
    </w:p>
    <w:p>
      <w:pPr>
        <w:ind w:left="720" w:hanging="360"/>
        <w:jc w:val="both"/>
      </w:pPr>
      <w:r>
        <w:t xml:space="preserve">4. </w:t>
      </w:r>
      <w:r>
        <w:rPr>
          <w:b/>
        </w:rPr>
        <w:t xml:space="preserve">Datos personales expuestos:</w:t>
      </w:r>
      <w:r>
        <w:t xml:space="preserve"> correos y teléfonos sin protección y herramientas de inteligencia de negocios costosas.</w:t>
      </w:r>
    </w:p>
    <w:p>
      <w:pPr>
        <w:pStyle w:val="Ttulo2"/>
        <w:jc w:val="both"/>
      </w:pPr>
      <w:bookmarkStart w:id="104" w:name="_Toc90000104"/>
      <w:r>
        <w:t>Formulación</w:t>
      </w:r>
      <w:bookmarkEnd w:id="104"/>
    </w:p>
    <w:p>
      <w:pPr>
        <w:jc w:val="both"/>
      </w:pPr>
      <w:r>
        <w:t xml:space="preserve">¿Cómo diseñar e implementar un sistema modular que capture las transacciones de un micronegocio de forma segura, las transforme mediante un proceso ETL y entregue predicciones de demanda, reglas de venta cruzada, segmentos de clientes y recomendaciones verificables, visualizadas de forma nativa en el navegador?</w:t>
      </w:r>
    </w:p>
    <w:p>
      <w:pPr>
        <w:pStyle w:val="Ttulo1"/>
        <w:jc w:val="both"/>
      </w:pPr>
      <w:bookmarkStart w:id="105" w:name="_Toc90000105"/>
      <w:r>
        <w:t>Justificación</w:t>
      </w:r>
      <w:bookmarkEnd w:id="105"/>
    </w:p>
    <w:p>
      <w:pPr>
        <w:jc w:val="both"/>
      </w:pPr>
      <w:r>
        <w:rPr>
          <w:b/>
        </w:rPr>
        <w:t xml:space="preserve">Práctica y tecnológica.</w:t>
      </w:r>
      <w:r>
        <w:t xml:space="preserve"> El sistema convierte el registro diario de ventas en decisiones concretas (cuánto comprar, qué combos ofrecer, a qué clientes contactar) sin licencias de herramientas externas. La arquitectura hexagonal (Cockburn, 2005) separa el núcleo del negocio de la base de datos, la interfaz y los servicios externos, y lo hace fácil de probar y de extender. Académicamente recorre toda la cadena de la ciencia de datos aplicada y, en lo ético, cifra los datos personales con Fernet y los muestra enmascarados, en línea con la Ley Estatutaria 1581 de 2012 (Congreso de la República de Colombia, 2012).</w:t>
      </w:r>
    </w:p>
    <w:p>
      <w:pPr>
        <w:jc w:val="both"/>
      </w:pPr>
      <w:r>
        <w:rPr>
          <w:b/>
        </w:rPr>
        <w:t xml:space="preserve">Equipo de tres personas.</w:t>
      </w:r>
      <w:r>
        <w:t xml:space="preserve"> En 8 semanas el proyecto combina ingeniería de software, ciencia de datos e inteligencia artificial generativa, y cada frente tiene su riesgo: con datos sucios los modelos aprenden errores, sin validación se sobreajustan y sin controles el asesor puede recomendar decisiones que hagan perder dinero. Por eso el trabajo se divide en tres roles, cada uno responsable de uno de esos riesgos (Tabla 2).</w:t>
      </w:r>
    </w:p>
    <w:p>
      <w:pPr>
        <w:pStyle w:val="Ttulo1"/>
        <w:jc w:val="both"/>
      </w:pPr>
      <w:bookmarkStart w:id="106" w:name="_Toc90000106"/>
      <w:r>
        <w:t>Objetivos</w:t>
      </w:r>
      <w:bookmarkEnd w:id="106"/>
    </w:p>
    <w:p>
      <w:pPr>
        <w:pStyle w:val="Ttulo2"/>
        <w:jc w:val="both"/>
      </w:pPr>
      <w:bookmarkStart w:id="107" w:name="_Toc90000107"/>
      <w:r>
        <w:t>Objetivo general</w:t>
      </w:r>
      <w:bookmarkEnd w:id="107"/>
    </w:p>
    <w:p>
      <w:pPr>
        <w:jc w:val="both"/>
      </w:pPr>
      <w:r>
        <w:t xml:space="preserve">Desarrollar un sistema modular de gestión operativa y analítica predictiva para micronegocios que transforme sus transacciones en predicciones y recomendaciones de negocio, con protección de datos personales y visualización nativa, y validarlo con datos sintéticos y con un caso real.</w:t>
      </w:r>
    </w:p>
    <w:p>
      <w:pPr>
        <w:pStyle w:val="Ttulo2"/>
        <w:jc w:val="both"/>
      </w:pPr>
      <w:bookmarkStart w:id="108" w:name="_Toc90000108"/>
      <w:r>
        <w:t>Objetivos específicos</w:t>
      </w:r>
      <w:bookmarkEnd w:id="108"/>
    </w:p>
    <w:p>
      <w:pPr>
        <w:ind w:left="720" w:hanging="360"/>
        <w:jc w:val="both"/>
      </w:pPr>
      <w:r>
        <w:t xml:space="preserve">1. Diseñar e implementar la base transaccional, la arquitectura hexagonal y el proceso ETL incremental, con cifrado de los datos personales de los clientes.</w:t>
      </w:r>
    </w:p>
    <w:p>
      <w:pPr>
        <w:ind w:left="720" w:hanging="360"/>
        <w:jc w:val="both"/>
      </w:pPr>
      <w:r>
        <w:t xml:space="preserve">2. Entrenar y validar los modelos de demanda (XGBoost), venta cruzada (Apriori) y segmentación de clientes (K-Means sobre RFM), comparándolos con líneas base y con métricas adecuadas a cada técnica.</w:t>
      </w:r>
    </w:p>
    <w:p>
      <w:pPr>
        <w:ind w:left="720" w:hanging="360"/>
        <w:jc w:val="both"/>
      </w:pPr>
      <w:r>
        <w:t xml:space="preserve">3. Construir la interfaz analítica nativa y el asesor generativo con controles contra alucinaciones, y validar el sistema completo con los datos reales de un micronegocio.</w:t>
      </w:r>
    </w:p>
    <w:p>
      <w:pPr>
        <w:pStyle w:val="Ttulo1"/>
        <w:jc w:val="both"/>
      </w:pPr>
      <w:bookmarkStart w:id="109" w:name="_Toc90000109"/>
      <w:r>
        <w:t>Alcance</w:t>
      </w:r>
      <w:bookmarkEnd w:id="109"/>
    </w:p>
    <w:p>
      <w:pPr>
        <w:jc w:val="both"/>
      </w:pPr>
      <w:r>
        <w:t xml:space="preserve">El alcance delimita lo que el sistema entrega dentro de las 8 semanas del proyecto. La Tabla 1 resume qué incluye y qué queda por fuera.</w:t>
      </w:r>
    </w:p>
    <w:p>
      <w:pPr>
        <w:keepNext/>
        <w:ind w:firstLine="0"/>
        <w:jc w:val="both"/>
      </w:pPr>
      <w:r>
        <w:rPr>
          <w:b/>
        </w:rPr>
        <w:t>Tabla 1</w:t>
      </w:r>
    </w:p>
    <w:p>
      <w:pPr>
        <w:keepNext/>
        <w:ind w:firstLine="0"/>
        <w:jc w:val="both"/>
      </w:pPr>
      <w:r>
        <w:rPr>
          <w:i/>
        </w:rPr>
        <w:t>Alcance del proyecto</w:t>
      </w:r>
    </w:p>
    <w:tbl>
      <w:tblPr>
        <w:tblW w:w="936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Incluye</w:t>
            </w:r>
          </w:p>
        </w:tc>
        <w:tc>
          <w:tcPr>
            <w:tcW w:w="468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No incluye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Punto de venta transaccional con validación de stock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Facturación electrónica e integración con la DIAN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Catálogo de productos e inventario con kardex (entradas, salidas y mermas)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Pagos en línea y pasarelas de pago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Clientes con correo y teléfono cifrados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Compras a proveedores y cuentas por pagar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ETL incremental hacia un esquema analítico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Varios usuarios con roles y varias sucursales (hay un solo usuario administrador)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Tres modelos: demanda a 7 y 30 días, venta cruzada y segmentación RFM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Reentrenamiento automático programado (el ETL se ejecuta a demanda)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Asesor generativo con controles (Gemini o modo simulado)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Aplicación móvil nativa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Tablero web con ventas, ticket promedio, margen y rotación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Herramientas de inteligencia de negocios de terceros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Validación con datos sintéticos y con un caso real</w:t>
            </w:r>
          </w:p>
        </w:tc>
        <w:tc>
          <w:tcPr>
            <w:tcW w:w="468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Despliegue en la nube (corre en un equipo local con SQLite)</w:t>
            </w:r>
          </w:p>
        </w:tc>
      </w:tr>
    </w:tbl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Elaboración propia a partir de la especificación del sistema.</w:t>
      </w:r>
    </w:p>
    <w:p>
      <w:pPr>
        <w:pStyle w:val="Ttulo2"/>
        <w:jc w:val="both"/>
      </w:pPr>
      <w:bookmarkStart w:id="110" w:name="_Toc90000110"/>
      <w:r>
        <w:t>Supuestos y limitaciones</w:t>
      </w:r>
      <w:bookmarkEnd w:id="110"/>
    </w:p>
    <w:p>
      <w:pPr>
        <w:jc w:val="both"/>
      </w:pPr>
      <w:r>
        <w:t xml:space="preserve">El caso real (Red Rooster: 2.810 pedidos y 116 clientes anónimos, sin nombre, correo ni teléfono) es pequeño y exigió ajustes. El asesor con Gemini en vivo aún no se ha probado, por lo que se usa el modo simulado, y la interfaz está pendiente de revisión con usuarios.</w:t>
      </w:r>
    </w:p>
    <w:p>
      <w:pPr>
        <w:pStyle w:val="Ttulo1"/>
        <w:jc w:val="both"/>
      </w:pPr>
      <w:bookmarkStart w:id="111" w:name="_Toc90000111"/>
      <w:r>
        <w:t>Diseño metodológico</w:t>
      </w:r>
      <w:bookmarkEnd w:id="111"/>
    </w:p>
    <w:p>
      <w:pPr>
        <w:jc w:val="both"/>
      </w:pPr>
      <w:r>
        <w:t xml:space="preserve">Desarrollo tecnológico aplicado, de enfoque cuantitativo, que sigue las fases de CRISP-DM (Chapman et al., 2000) y avanza de forma incremental en tres fases (backend, ETL con modelos y frontend); cada fase se cierra solo cuando todas sus pruebas pasan.</w:t>
      </w:r>
    </w:p>
    <w:p>
      <w:pPr>
        <w:pStyle w:val="Ttulo2"/>
        <w:jc w:val="both"/>
      </w:pPr>
      <w:bookmarkStart w:id="112" w:name="_Toc90000112"/>
      <w:r>
        <w:t>Organización del equipo</w:t>
      </w:r>
      <w:bookmarkEnd w:id="112"/>
    </w:p>
    <w:p>
      <w:pPr>
        <w:keepNext/>
        <w:ind w:firstLine="0"/>
        <w:jc w:val="both"/>
      </w:pPr>
      <w:r>
        <w:rPr>
          <w:b/>
        </w:rPr>
        <w:t>Tabla 2</w:t>
      </w:r>
    </w:p>
    <w:p>
      <w:pPr>
        <w:keepNext/>
        <w:ind w:firstLine="0"/>
        <w:jc w:val="both"/>
      </w:pPr>
      <w:r>
        <w:rPr>
          <w:i/>
        </w:rPr>
        <w:t>Roles del equipo y riesgos que mitiga cada uno</w:t>
      </w:r>
    </w:p>
    <w:tbl>
      <w:tblPr>
        <w:tblW w:w="936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3900"/>
        <w:gridCol w:w="3460"/>
      </w:tblGrid>
      <w:tr>
        <w:trPr>
          <w:tblHeader/>
        </w:trPr>
        <w:tc>
          <w:tcPr>
            <w:tcW w:w="20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Rol</w:t>
            </w:r>
          </w:p>
        </w:tc>
        <w:tc>
          <w:tcPr>
            <w:tcW w:w="39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Responsabilidades</w:t>
            </w:r>
          </w:p>
        </w:tc>
        <w:tc>
          <w:tcPr>
            <w:tcW w:w="346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Riesgo que mitiga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Ingeniero de datos</w:t>
            </w:r>
          </w:p>
        </w:tc>
        <w:tc>
          <w:tcPr>
            <w:tcW w:w="3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Modelo de datos, persistencia, proceso ETL, cifrado de datos personales, calidad del dato e imputación de nulos</w:t>
            </w:r>
          </w:p>
        </w:tc>
        <w:tc>
          <w:tcPr>
            <w:tcW w:w="34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Modelos entrenados con datos sucios o incompletos y exposición de datos personales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Científico de datos</w:t>
            </w:r>
          </w:p>
        </w:tc>
        <w:tc>
          <w:tcPr>
            <w:tcW w:w="3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Análisis exploratorio, entrenamiento y validación de XGBoost, Apriori y K-Means con partición temporal y líneas base</w:t>
            </w:r>
          </w:p>
        </w:tc>
        <w:tc>
          <w:tcPr>
            <w:tcW w:w="34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Sobreajuste: modelos que parecen buenos pero no generalizan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Analista de decisiones e IA</w:t>
            </w:r>
          </w:p>
        </w:tc>
        <w:tc>
          <w:tcPr>
            <w:tcW w:w="3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Interfaz analítica, indicadores, asesor generativo y sus controles, variables de contexto (festivos, estacionalidad)</w:t>
            </w:r>
          </w:p>
        </w:tc>
        <w:tc>
          <w:tcPr>
            <w:tcW w:w="34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Alucinaciones del asesor que sugieran decisiones financieras dañinas, y modelos ciegos al contexto del negocio</w:t>
            </w:r>
          </w:p>
        </w:tc>
      </w:tr>
    </w:tbl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Elaboración propia a partir de la especificación del sistema.</w:t>
      </w:r>
    </w:p>
    <w:p>
      <w:pPr>
        <w:pStyle w:val="Ttulo2"/>
        <w:jc w:val="both"/>
      </w:pPr>
      <w:bookmarkStart w:id="113" w:name="_Toc90000113"/>
      <w:r>
        <w:t>Arquitectura</w:t>
      </w:r>
      <w:bookmarkEnd w:id="113"/>
    </w:p>
    <w:p>
      <w:pPr>
        <w:jc w:val="both"/>
      </w:pPr>
      <w:r>
        <w:t xml:space="preserve">El sistema sigue el patrón de puertos y adaptadores (Figura 1). En el centro están las entidades del dominio y los puertos (interfaces abstractas); alrededor, los casos de uso (ventas, inventario, indicadores, analítica y asesor), que solo dependen de esos puertos; afuera, los adaptadores de entrada (API REST en FastAPI e interfaz en React) y de salida (persistencia con SQLAlchemy sobre SQLite, cifrado con Fernet y asesor con Google Gemini o un modo simulado).</w:t>
      </w:r>
    </w:p>
    <w:p>
      <w:pPr>
        <w:keepNext/>
        <w:ind w:firstLine="0"/>
        <w:jc w:val="both"/>
      </w:pPr>
      <w:r>
        <w:rPr>
          <w:b/>
        </w:rPr>
        <w:t>Figura 1</w:t>
      </w:r>
    </w:p>
    <w:p>
      <w:pPr>
        <w:keepNext/>
        <w:ind w:firstLine="0"/>
        <w:jc w:val="both"/>
      </w:pPr>
      <w:r>
        <w:rPr>
          <w:i/>
        </w:rPr>
        <w:t>Arquitectura hexagonal y flujo analítico del sistema</w:t>
      </w:r>
    </w:p>
    <w:p w14:paraId="33C64E5B" w14:textId="77777777" w:rsidR="00E10B54" w:rsidRDefault="00BA7FB4" w:rsidP="004827A6">
      <w:pPr>
        <w:keepNext/>
        <w:spacing w:line="240" w:lineRule="auto"/>
        <w:ind w:firstLine="0"/>
        <w:jc w:val="both"/>
      </w:pPr>
      <w:r>
        <w:rPr>
          <w:noProof/>
        </w:rPr>
        <w:drawing>
          <wp:inline distT="0" distB="0" distL="0" distR="0" wp14:anchorId="001AE071" wp14:editId="222106CD">
            <wp:extent cx="5486400" cy="3573710"/>
            <wp:effectExtent l="0" t="0" r="0" b="0"/>
            <wp:docPr id="101" name="Figura 1" descr="Arquitectura hexagonal y flujo analítico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Arriba, el núcleo de la aplicación y sus adaptadores; abajo, el recorrido de los datos desde las ventas hasta el tablero. Elaboración propia.</w:t>
      </w:r>
    </w:p>
    <w:p>
      <w:pPr>
        <w:pStyle w:val="Ttulo2"/>
        <w:jc w:val="both"/>
      </w:pPr>
      <w:bookmarkStart w:id="114" w:name="_Toc90000114"/>
      <w:r>
        <w:t>Datos y técnicas</w:t>
      </w:r>
      <w:bookmarkEnd w:id="114"/>
    </w:p>
    <w:p>
      <w:pPr>
        <w:ind w:left="720" w:hanging="360"/>
        <w:jc w:val="both"/>
      </w:pPr>
      <w:r>
        <w:t xml:space="preserve">1. </w:t>
      </w:r>
      <w:r>
        <w:rPr>
          <w:b/>
        </w:rPr>
        <w:t xml:space="preserve">Datos:</w:t>
      </w:r>
      <w:r>
        <w:t xml:space="preserve"> un generador sintético con semilla 42 (41 productos, 300 clientes, unas 10.000 ventas en 12 meses, con estacionalidad, festivos y combos conocidos) y los 2.810 pedidos anonimizados de Red Rooster (23 de marzo a 22 de octubre de 2026).</w:t>
      </w:r>
    </w:p>
    <w:p>
      <w:pPr>
        <w:ind w:left="720" w:hanging="360"/>
        <w:jc w:val="both"/>
      </w:pPr>
      <w:r>
        <w:t xml:space="preserve">2. </w:t>
      </w:r>
      <w:r>
        <w:rPr>
          <w:b/>
        </w:rPr>
        <w:t xml:space="preserve">ETL:</w:t>
      </w:r>
      <w:r>
        <w:t xml:space="preserve"> extracción incremental con marca de agua, descifrado de datos personales solo en memoria, imputación de nulos, rezagos, ventanas móviles, matriz de canastas y tabla RFM.</w:t>
      </w:r>
    </w:p>
    <w:p>
      <w:pPr>
        <w:ind w:left="720" w:hanging="360"/>
        <w:jc w:val="both"/>
      </w:pPr>
      <w:r>
        <w:t xml:space="preserve">3. </w:t>
      </w:r>
      <w:r>
        <w:rPr>
          <w:b/>
        </w:rPr>
        <w:t xml:space="preserve">Demanda:</w:t>
      </w:r>
      <w:r>
        <w:t xml:space="preserve"> XGBoost (Chen y Guestrin, 2016) con partición temporal (Hyndman y Athanasopoulos, 2021) frente a una línea base de rezago de 7 días; métricas MAE y R².</w:t>
      </w:r>
    </w:p>
    <w:p>
      <w:pPr>
        <w:ind w:left="720" w:hanging="360"/>
        <w:jc w:val="both"/>
      </w:pPr>
      <w:r>
        <w:t xml:space="preserve">4. </w:t>
      </w:r>
      <w:r>
        <w:rPr>
          <w:b/>
        </w:rPr>
        <w:t xml:space="preserve">Venta cruzada y segmentación:</w:t>
      </w:r>
      <w:r>
        <w:t xml:space="preserve"> Apriori (Agrawal y Srikant, 1994; Raschka, 2018) con soporte mínimo 2 %, confianza 30 % y lift &gt; 1,2; RFM (Hughes, 1994) con K-Means (MacQueen, 1967) y k entre 2 y 6 elegido por silueta (Rousseeuw, 1987).</w:t>
      </w:r>
    </w:p>
    <w:p>
      <w:pPr>
        <w:ind w:left="720" w:hanging="360"/>
        <w:jc w:val="both"/>
      </w:pPr>
      <w:r>
        <w:t xml:space="preserve">5. </w:t>
      </w:r>
      <w:r>
        <w:rPr>
          <w:b/>
        </w:rPr>
        <w:t xml:space="preserve">Asesor:</w:t>
      </w:r>
      <w:r>
        <w:t xml:space="preserve"> Google Gemini con respuesta en esquema Pydantic; se rechazan descuentos mayores al 30 % y acciones sin datos que las respalden. Sin clave de API, un modo simulado arma el plan.</w:t>
      </w:r>
    </w:p>
    <w:p>
      <w:pPr>
        <w:jc w:val="both"/>
      </w:pPr>
      <w:r>
        <w:rPr>
          <w:b/>
        </w:rPr>
        <w:t xml:space="preserve">Herramientas.</w:t>
      </w:r>
      <w:r>
        <w:t xml:space="preserve"> Python 3.13 con FastAPI, SQLAlchemy, Pandas (McKinney, 2010), scikit-learn (Pedregosa et al., 2011), XGBoost y MLxtend; SQLite; cryptography (Fernet) y JWT; React 19 con TypeScript, Vite y Recharts; Google Gemini; y pytest más pruebas de extremo a extremo.</w:t>
      </w:r>
    </w:p>
    <w:p>
      <w:pPr>
        <w:pStyle w:val="Ttulo1"/>
        <w:jc w:val="both"/>
      </w:pPr>
      <w:bookmarkStart w:id="115" w:name="_Toc90000115"/>
      <w:r>
        <w:t>Modelo de datos y base de datos</w:t>
      </w:r>
      <w:bookmarkEnd w:id="115"/>
    </w:p>
    <w:p>
      <w:pPr>
        <w:jc w:val="both"/>
      </w:pPr>
      <w:r>
        <w:t xml:space="preserve">La persistencia usa SQLite con SQLAlchemy 2.0. El esquema tiene diez tablas en tres grupos (Figura 2): cinco transaccionales (OLTP) que registran la operación, tres analíticas donde el ETL deja los resultados de los modelos y dos de soporte (usuarios y corridas del ETL). Las fechas se guardan en hora local de Colombia (UTC-5) y los montos como NUMERIC(12,2).</w:t>
      </w:r>
    </w:p>
    <w:p>
      <w:pPr>
        <w:pStyle w:val="Ttulo2"/>
        <w:jc w:val="both"/>
      </w:pPr>
      <w:bookmarkStart w:id="116" w:name="_Toc90000116"/>
      <w:r>
        <w:t>Modelo entidad-relación</w:t>
      </w:r>
      <w:bookmarkEnd w:id="116"/>
    </w:p>
    <w:p>
      <w:pPr>
        <w:keepNext/>
        <w:ind w:firstLine="0"/>
        <w:jc w:val="both"/>
      </w:pPr>
      <w:r>
        <w:rPr>
          <w:b/>
        </w:rPr>
        <w:t>Figura 2</w:t>
      </w:r>
    </w:p>
    <w:p>
      <w:pPr>
        <w:keepNext/>
        <w:ind w:firstLine="0"/>
        <w:jc w:val="both"/>
      </w:pPr>
      <w:r>
        <w:rPr>
          <w:i/>
        </w:rPr>
        <w:t>Modelo entidad-relación del sistema</w:t>
      </w:r>
    </w:p>
    <w:p xmlns:a="http://schemas.openxmlformats.org/drawingml/2006/main" xmlns:pic="http://schemas.openxmlformats.org/drawingml/2006/pictur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46320" cy="5300000"/>
            <wp:effectExtent l="0" t="0" r="0" b="0"/>
            <wp:docPr id="102" name="f_er.png" descr="Modelo entidad-relación del sistema: tablas transaccionales, analíticas y de sopor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f_er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PK = llave primaria; FK = llave foránea. Una venta pertenece a un cliente (opcional) y tiene varias líneas; cada línea y cada movimiento de inventario se refieren a un producto. Las tablas analíticas se vinculan a productos y clientes. Elaboración propia a partir de los modelos SQLAlchemy del sistema.</w:t>
      </w:r>
    </w:p>
    <w:p>
      <w:pPr>
        <w:pStyle w:val="Ttulo2"/>
        <w:jc w:val="both"/>
      </w:pPr>
      <w:bookmarkStart w:id="117" w:name="_Toc90000117"/>
      <w:r>
        <w:t>Descripción de las tablas</w:t>
      </w:r>
      <w:bookmarkEnd w:id="117"/>
    </w:p>
    <w:p>
      <w:pPr>
        <w:jc w:val="both"/>
      </w:pPr>
      <w:r>
        <w:t xml:space="preserve">Las Tablas 3 y 4 detallan los campos y las restricciones de cada tabla.</w:t>
      </w:r>
    </w:p>
    <w:p>
      <w:pPr>
        <w:keepNext/>
        <w:ind w:firstLine="0"/>
        <w:jc w:val="both"/>
      </w:pPr>
      <w:r>
        <w:rPr>
          <w:b/>
        </w:rPr>
        <w:t>Tabla 3</w:t>
      </w:r>
    </w:p>
    <w:p>
      <w:pPr>
        <w:keepNext/>
        <w:ind w:firstLine="0"/>
        <w:jc w:val="both"/>
      </w:pPr>
      <w:r>
        <w:rPr>
          <w:i/>
        </w:rPr>
        <w:t>Tablas transaccionales (OLTP)</w:t>
      </w:r>
    </w:p>
    <w:tbl>
      <w:tblPr>
        <w:tblW w:w="936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50"/>
        <w:gridCol w:w="3000"/>
        <w:gridCol w:w="3510"/>
      </w:tblGrid>
      <w:tr>
        <w:trPr>
          <w:tblHeader/>
        </w:trPr>
        <w:tc>
          <w:tcPr>
            <w:tcW w:w="285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Tabla</w:t>
            </w:r>
          </w:p>
        </w:tc>
        <w:tc>
          <w:tcPr>
            <w:tcW w:w="30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Campos</w:t>
            </w:r>
          </w:p>
        </w:tc>
        <w:tc>
          <w:tcPr>
            <w:tcW w:w="351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Llaves y restricciones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products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sku, name, category, unit_price, unit_cost, stock, is_active,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sku único y obligatorio; precio y costo NUMERIC(12,2); el stock se valida y se descuenta al vender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customers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first_name, last_name, encrypted_email, encrypted_phone,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correo y teléfono se guardan cifrados con Fernet, nunca en claro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sales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customer_id, total_amount, payment_method, status,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FK customer_id a customers (opcional, venta sin cliente); status por defecto COMPLETED; índice por fecha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sale_items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sale_id, product_id, quantity, unit_price, subtotal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FK sale_id a sales (borrado en cascada) y product_id a products; ambas indexadas; el precio se copia al vender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inventory_movements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product_id, movement_type, quantity, reason,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FK product_id a products; tipos IN (entrada), OUT (salida) y MERMA; es el kardex</w:t>
            </w:r>
          </w:p>
        </w:tc>
      </w:tr>
    </w:tbl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Elaboración propia a partir de los modelos SQLAlchemy del sistema.</w:t>
      </w:r>
    </w:p>
    <w:p>
      <w:pPr>
        <w:keepNext/>
        <w:ind w:firstLine="0"/>
        <w:jc w:val="both"/>
      </w:pPr>
      <w:r>
        <w:rPr>
          <w:b/>
        </w:rPr>
        <w:t>Tabla 4</w:t>
      </w:r>
    </w:p>
    <w:p>
      <w:pPr>
        <w:keepNext/>
        <w:ind w:firstLine="0"/>
        <w:jc w:val="both"/>
      </w:pPr>
      <w:r>
        <w:rPr>
          <w:i/>
        </w:rPr>
        <w:t>Tablas analíticas y de soporte</w:t>
      </w:r>
    </w:p>
    <w:tbl>
      <w:tblPr>
        <w:tblW w:w="936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50"/>
        <w:gridCol w:w="3000"/>
        <w:gridCol w:w="3510"/>
      </w:tblGrid>
      <w:tr>
        <w:trPr>
          <w:tblHeader/>
        </w:trPr>
        <w:tc>
          <w:tcPr>
            <w:tcW w:w="285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Tabla</w:t>
            </w:r>
          </w:p>
        </w:tc>
        <w:tc>
          <w:tcPr>
            <w:tcW w:w="30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Campos</w:t>
            </w:r>
          </w:p>
        </w:tc>
        <w:tc>
          <w:tcPr>
            <w:tcW w:w="351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Llaves y restricciones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analytics_demand_forecast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product_id, forecast_date, horizon, predicted_qty, model_version,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FK product_id a products; horizon vale 7 o 30 días; índice (product_id, horizon)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analytics_market_basket_rules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antecedent, consequent, support, confidence, lift,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sin FK: antecedente y consecuente guardan los nombres de los productos; solo reglas con lift &gt; 1,2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analytics_customer_segments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customer_id, recency, frequency, monetary, cluster, segment_label,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FK customer_id a customers (indexada); etiquetas Campeones, Leales, En riesgo y Perdidos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users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username, password_hash, is_admin, created_at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username único; contraseña con hash bcrypt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rFonts w:ascii="Consolas" w:hAnsi="Consolas"/>
                <w:sz w:val="16"/>
              </w:rPr>
              <w:t xml:space="preserve">etl_runs</w:t>
            </w:r>
          </w:p>
        </w:tc>
        <w:tc>
          <w:tcPr>
            <w:tcW w:w="30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id, started_at, finished_at, status, watermark, rows_extracted, metrics, error</w:t>
            </w:r>
          </w:p>
        </w:tc>
        <w:tc>
          <w:tcPr>
            <w:tcW w:w="351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PK id; watermark = fecha de la última venta procesada; status RUNNING, SUCCESS, SIN_CAMBIOS o FAILED; metrics en JSON</w:t>
            </w:r>
          </w:p>
        </w:tc>
      </w:tr>
    </w:tbl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Las tablas analíticas se reemplazan completas en cada corrida del ETL. Elaboración propia.</w:t>
      </w:r>
    </w:p>
    <w:p>
      <w:pPr>
        <w:pStyle w:val="Ttulo2"/>
        <w:jc w:val="both"/>
      </w:pPr>
      <w:bookmarkStart w:id="118" w:name="_Toc90000118"/>
      <w:r>
        <w:t>Integridad, seguridad y flujo hacia lo analítico</w:t>
      </w:r>
      <w:bookmarkEnd w:id="118"/>
    </w:p>
    <w:p>
      <w:pPr>
        <w:jc w:val="both"/>
      </w:pPr>
      <w:r>
        <w:rPr>
          <w:b/>
        </w:rPr>
        <w:t xml:space="preserve">Integridad y transacciones.</w:t>
      </w:r>
      <w:r>
        <w:t xml:space="preserve"> Todas las tablas tienen llave primaria autoincremental y las relaciones usan llaves foráneas con índices en las consultas frecuentes. Registrar una venta es una sola operación: valida el stock, inserta la venta y sus líneas, descuenta el inventario y crea la salida en el kardex; si falta stock, la API responde con un error y no queda ningún efecto parcial.</w:t>
      </w:r>
    </w:p>
    <w:p>
      <w:pPr>
        <w:jc w:val="both"/>
      </w:pPr>
      <w:r>
        <w:rPr>
          <w:b/>
        </w:rPr>
        <w:t xml:space="preserve">Seguridad y flujo analítico.</w:t>
      </w:r>
      <w:r>
        <w:t xml:space="preserve"> El correo y el teléfono se cifran con Fernet (AES-128-CBC) y la API los devuelve enmascarados; las contraseñas usan bcrypt y el acceso usa tokens JWT. El ETL lee solo el esquema transaccional, consulta la marca de agua de etl_runs para saber si hay ventas nuevas y reemplaza por completo las tablas analytics_*; la interfaz consulta esos resultados ya calculados.</w:t>
      </w:r>
    </w:p>
    <w:p>
      <w:pPr>
        <w:pStyle w:val="Ttulo1"/>
        <w:jc w:val="both"/>
      </w:pPr>
      <w:bookmarkStart w:id="119" w:name="_Toc90000119"/>
      <w:r>
        <w:t>Cronograma de actividades</w:t>
      </w:r>
      <w:bookmarkEnd w:id="119"/>
    </w:p>
    <w:p>
      <w:pPr>
        <w:jc w:val="both"/>
      </w:pPr>
      <w:r>
        <w:t xml:space="preserve">La Tabla 5 muestra las actividades por semana y su estado al 23 de octubre de 2026.</w:t>
      </w:r>
    </w:p>
    <w:p>
      <w:pPr>
        <w:keepNext/>
        <w:ind w:firstLine="0"/>
        <w:jc w:val="both"/>
      </w:pPr>
      <w:r>
        <w:rPr>
          <w:b/>
        </w:rPr>
        <w:t>Tabla 5</w:t>
      </w:r>
    </w:p>
    <w:p>
      <w:pPr>
        <w:keepNext/>
        <w:ind w:firstLine="0"/>
        <w:jc w:val="both"/>
      </w:pPr>
      <w:r>
        <w:rPr>
          <w:i/>
        </w:rPr>
        <w:t>Cronograma de actividades</w:t>
      </w:r>
    </w:p>
    <w:tbl>
      <w:tblPr>
        <w:tblW w:w="936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3760"/>
        <w:gridCol w:w="1900"/>
        <w:gridCol w:w="1500"/>
      </w:tblGrid>
      <w:tr>
        <w:trPr>
          <w:tblHeader/>
        </w:trPr>
        <w:tc>
          <w:tcPr>
            <w:tcW w:w="7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Semana</w:t>
            </w: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Fechas (2026)</w:t>
            </w:r>
          </w:p>
        </w:tc>
        <w:tc>
          <w:tcPr>
            <w:tcW w:w="376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Actividad</w:t>
            </w:r>
          </w:p>
        </w:tc>
        <w:tc>
          <w:tcPr>
            <w:tcW w:w="19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Rol líder</w:t>
            </w: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19 – 25 oct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Especificación técnica y plan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Todo el equipo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Terminado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26 oct – 1 nov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Backend: dominio, persistencia, cifrado, ventas y KPIs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Ingeniero de datos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Terminado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2 – 8 nov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ETL y modelos (XGBoost, Apriori, K-Means)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Científico de datos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Terminado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9 – 15 nov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Interfaz React, asesor y lanzador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Analista de decisiones e IA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Terminado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16 – 22 nov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Importación del caso real Red Rooster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Ingeniero de datos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Terminado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23 – 29 nov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Calibración de los modelos con datos reales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Científico de datos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30 nov – 6 dic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Asesor con Gemini en vivo y revisión de la interfaz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Analista de decisiones e IA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7 – 13 dic</w:t>
            </w:r>
          </w:p>
        </w:tc>
        <w:tc>
          <w:tcPr>
            <w:tcW w:w="37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Documento final y sustentación</w:t>
            </w:r>
          </w:p>
        </w:tc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Todo el equipo</w:t>
            </w:r>
          </w:p>
        </w:tc>
        <w:tc>
          <w:tcPr>
            <w:tcW w:w="15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Pendiente</w:t>
            </w:r>
          </w:p>
        </w:tc>
      </w:tr>
    </w:tbl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Las semanas 2 a 5 se adelantaron y quedaron terminadas el 23 de octubre de 2026.</w:t>
      </w:r>
    </w:p>
    <w:p>
      <w:pPr>
        <w:pStyle w:val="Ttulo1"/>
        <w:jc w:val="both"/>
      </w:pPr>
      <w:bookmarkStart w:id="120" w:name="_Toc90000120"/>
      <w:r>
        <w:t>Resultados</w:t>
      </w:r>
      <w:bookmarkEnd w:id="120"/>
    </w:p>
    <w:p>
      <w:pPr>
        <w:pStyle w:val="Ttulo2"/>
        <w:jc w:val="both"/>
      </w:pPr>
      <w:bookmarkStart w:id="121" w:name="_Toc90000121"/>
      <w:r>
        <w:t>Modelos sobre datos sintéticos y reales</w:t>
      </w:r>
      <w:bookmarkEnd w:id="121"/>
    </w:p>
    <w:p>
      <w:pPr>
        <w:jc w:val="both"/>
      </w:pPr>
      <w:r>
        <w:t xml:space="preserve">La Tabla 6 compara la primera corrida de los tres modelos con datos sintéticos y con los datos reales de Red Rooster (2.810 pedidos, 44 productos y 116 clientes anónimos), con la configuración por defecto.</w:t>
      </w:r>
    </w:p>
    <w:p>
      <w:pPr>
        <w:keepNext/>
        <w:ind w:firstLine="0"/>
        <w:jc w:val="both"/>
      </w:pPr>
      <w:r>
        <w:rPr>
          <w:b/>
        </w:rPr>
        <w:t>Tabla 6</w:t>
      </w:r>
    </w:p>
    <w:p>
      <w:pPr>
        <w:keepNext/>
        <w:ind w:firstLine="0"/>
        <w:jc w:val="both"/>
      </w:pPr>
      <w:r>
        <w:rPr>
          <w:i/>
        </w:rPr>
        <w:t>Primera corrida de los modelos: datos sintéticos frente a datos reales</w:t>
      </w:r>
    </w:p>
    <w:tbl>
      <w:tblPr>
        <w:tblW w:w="936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2100"/>
        <w:gridCol w:w="3260"/>
      </w:tblGrid>
      <w:tr>
        <w:trPr>
          <w:tblHeader/>
        </w:trPr>
        <w:tc>
          <w:tcPr>
            <w:tcW w:w="19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Modelo</w:t>
            </w:r>
          </w:p>
        </w:tc>
        <w:tc>
          <w:tcPr>
            <w:tcW w:w="21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Datos sintéticos</w:t>
            </w:r>
          </w:p>
        </w:tc>
        <w:tc>
          <w:tcPr>
            <w:tcW w:w="210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Red Rooster</w:t>
            </w:r>
          </w:p>
        </w:tc>
        <w:tc>
          <w:tcPr>
            <w:tcW w:w="3260" w:type="dxa"/>
            <w:tcBorders>
              <w:bottom w:val="single" w:sz="8" w:space="0" w:color="000000"/>
            </w:tcBorders>
          </w:tcPr>
          <w:p>
            <w:pPr>
              <w:pStyle w:val="Sinespaciado"/>
              <w:spacing w:line="240" w:lineRule="auto"/>
              <w:jc w:val="left"/>
            </w:pPr>
            <w:r>
              <w:rPr>
                <w:b/>
                <w:sz w:val="20"/>
              </w:rPr>
              <w:t xml:space="preserve">Lectura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XGBoost (demanda por producto)</w:t>
            </w:r>
          </w:p>
        </w:tc>
        <w:tc>
          <w:tcPr>
            <w:tcW w:w="21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MAE 1,27 / R² 0,32 (línea base: 1,59 / −0,16)</w:t>
            </w:r>
          </w:p>
        </w:tc>
        <w:tc>
          <w:tcPr>
            <w:tcW w:w="21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MAE 0,52 / R² 0,52 (línea base: 0,56 / 0,24)</w:t>
            </w:r>
          </w:p>
        </w:tc>
        <w:tc>
          <w:tcPr>
            <w:tcW w:w="32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Supera la línea base en ambos casos; en el restaurante la mayoría de platos vende 0 a 2 unidades al día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Apriori (venta cruzada)</w:t>
            </w:r>
          </w:p>
        </w:tc>
        <w:tc>
          <w:tcPr>
            <w:tcW w:w="21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36 reglas (lift máximo 21,7)</w:t>
            </w:r>
          </w:p>
        </w:tc>
        <w:tc>
          <w:tcPr>
            <w:tcW w:w="21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0 reglas</w:t>
            </w:r>
          </w:p>
        </w:tc>
        <w:tc>
          <w:tcPr>
            <w:tcW w:w="32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Los combos reales tienen soporte de 0,6 a 0,7 %, por debajo del mínimo de 2 %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K-Means sobre RFM</w:t>
            </w:r>
          </w:p>
        </w:tc>
        <w:tc>
          <w:tcPr>
            <w:tcW w:w="21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Silueta 0,35 (k = 4)</w:t>
            </w:r>
          </w:p>
        </w:tc>
        <w:tc>
          <w:tcPr>
            <w:tcW w:w="210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Silueta 0,44 (k = 5)</w:t>
            </w:r>
          </w:p>
        </w:tc>
        <w:tc>
          <w:tcPr>
            <w:tcW w:w="3260" w:type="dxa"/>
          </w:tcPr>
          <w:p>
            <w:pPr>
              <w:pStyle w:val="Sinespaciado"/>
              <w:spacing w:line="240" w:lineRule="auto"/>
              <w:jc w:val="left"/>
            </w:pPr>
            <w:r>
              <w:rPr>
                <w:sz w:val="20"/>
              </w:rPr>
              <w:t xml:space="preserve">La recencia se mide hasta hoy, pero los domicilios se suspendieron el 30 de agosto: muchos clientes salen como perdidos por esa razón</w:t>
            </w:r>
          </w:p>
        </w:tc>
      </w:tr>
    </w:tbl>
    <w:p>
      <w:pPr>
        <w:spacing w:after="240" w:line="240" w:lineRule="auto"/>
        <w:ind w:firstLine="0"/>
        <w:jc w:val="both"/>
      </w:pPr>
      <w:r>
        <w:rPr>
          <w:i/>
          <w:sz w:val="20"/>
        </w:rPr>
        <w:t>Nota.</w:t>
      </w:r>
      <w:r>
        <w:rPr>
          <w:sz w:val="20"/>
        </w:rPr>
        <w:t xml:space="preserve"> Corrida del 23 de octubre de 2026. En los datos sintéticos los segmentos fueron Campeones (44), Leales (115), En riesgo (105) y Perdidos (28). Elaboración propia.</w:t>
      </w:r>
    </w:p>
    <w:p>
      <w:pPr>
        <w:jc w:val="both"/>
      </w:pPr>
      <w:r>
        <w:rPr>
          <w:b/>
        </w:rPr>
        <w:t xml:space="preserve">Calidad y pendientes.</w:t>
      </w:r>
      <w:r>
        <w:t xml:space="preserve"> El backend suma 184 pruebas automáticas en verde, más 86 verificaciones estáticas de la interfaz y 95 de extremo a extremo contra la API. Quedan pendientes hacer configurables por fuente los umbrales de Apriori (con datos reales funciona un soporte de 0,5 %), dar al RFM una fecha de referencia propia y probar el asesor con Gemini en vivo.</w:t>
      </w:r>
    </w:p>
    <w:p>
      <w:pPr>
        <w:pStyle w:val="Ttulo1"/>
        <w:jc w:val="both"/>
      </w:pPr>
      <w:bookmarkStart w:id="122" w:name="_Toc90000122"/>
      <w:r>
        <w:t>Análisis de resultados</w:t>
      </w:r>
      <w:bookmarkEnd w:id="122"/>
    </w:p>
    <w:p>
      <w:pPr>
        <w:jc w:val="both"/>
      </w:pPr>
      <w:r>
        <w:t xml:space="preserve">Con datos controlados los tres modelos encontraron los patrones plantados y superaron sus líneas base, lo que valida la implementación pero no garantiza el desempeño real. Con el restaurante, la configuración por defecto no halló reglas de asociación y el RFM confundió la suspensión de un servicio con abandono de clientes; ninguno de los dos problemas aparecía en las pruebas, por eso la validación con datos reales es parte del diseño.</w:t>
      </w:r>
    </w:p>
    <w:p>
      <w:pPr>
        <w:jc w:val="both"/>
      </w:pPr>
      <w:r>
        <w:t xml:space="preserve">La arquitectura hexagonal facilitó el cambio: incorporar el caso real solo requirió un adaptador de entrada y una variable de configuración, sin tocar el dominio. La división en tres roles respondió a riesgos reales: la calidad del dato determinó qué se podía importar, las líneas base mostraron cuándo un modelo aporta y los controles del asesor evitan recomendaciones sin respaldo.</w:t>
      </w:r>
    </w:p>
    <w:p>
      <w:pPr>
        <w:pStyle w:val="Ttulo1"/>
        <w:jc w:val="both"/>
      </w:pPr>
      <w:bookmarkStart w:id="123" w:name="_Toc90000123"/>
      <w:r>
        <w:t>Conclusiones</w:t>
      </w:r>
      <w:bookmarkEnd w:id="123"/>
    </w:p>
    <w:p>
      <w:pPr>
        <w:jc w:val="both"/>
      </w:pPr>
      <w:r>
        <w:t xml:space="preserve">Se construyó un sistema modular que integra la operación de un micronegocio (ventas, inventario y clientes) y su analítica (ETL, tres modelos y un asesor generativo), con datos personales cifrados y visualización nativa. Su modelo de datos separa el esquema transaccional del analítico, de modo que entrenar los modelos no afecta la operación diaria.</w:t>
      </w:r>
    </w:p>
    <w:p>
      <w:pPr>
        <w:jc w:val="both"/>
      </w:pPr>
      <w:r>
        <w:t xml:space="preserve">Sobre datos sintéticos los modelos superan sus líneas base; sobre datos reales, los umbrales y las fechas de referencia deben adaptarse a cada negocio, una lección central para una plataforma que pretende servir a micronegocios distintos.</w:t>
      </w:r>
    </w:p>
    <w:p>
      <w:pPr>
        <w:jc w:val="both"/>
      </w:pPr>
      <w:r>
        <w:t xml:space="preserve">Quedan pendientes la calibración de los modelos por fuente de datos, la prueba del asesor con Gemini en vivo y la revisión de la interfaz con usuarios reales.</w:t>
      </w:r>
    </w:p>
    <w:p>
      <w:pPr>
        <w:pStyle w:val="Ttulo1"/>
        <w:jc w:val="both"/>
      </w:pPr>
      <w:bookmarkStart w:id="124" w:name="_Toc90000124"/>
      <w:r>
        <w:t>Referencias bibliográficas</w:t>
      </w:r>
      <w:bookmarkEnd w:id="124"/>
    </w:p>
    <w:p w14:paraId="7354EAD2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de-DE"/>
        </w:rPr>
      </w:pPr>
      <w:r>
        <w:t xml:space="preserve">Agrawal, R., &amp; </w:t>
      </w:r>
      <w:proofErr w:type="spellStart"/>
      <w:r>
        <w:t>Srikant</w:t>
      </w:r>
      <w:proofErr w:type="spellEnd"/>
      <w:r>
        <w:t xml:space="preserve">, R. (1994). </w:t>
      </w:r>
      <w:r w:rsidRPr="004827A6">
        <w:rPr>
          <w:lang w:val="en-US"/>
        </w:rPr>
        <w:t xml:space="preserve">Fast algorithms for mining association rules. En </w:t>
      </w:r>
      <w:r w:rsidRPr="004827A6">
        <w:rPr>
          <w:i/>
          <w:lang w:val="en-US"/>
        </w:rPr>
        <w:t>Proceedings of the 20th International Conference on Very Large Data Bases</w:t>
      </w:r>
      <w:r w:rsidRPr="004827A6">
        <w:rPr>
          <w:lang w:val="en-US"/>
        </w:rPr>
        <w:t xml:space="preserve"> (pp. 487–499). </w:t>
      </w:r>
      <w:r w:rsidRPr="004827A6">
        <w:rPr>
          <w:lang w:val="de-DE"/>
        </w:rPr>
        <w:t>Morgan Kaufmann.</w:t>
      </w:r>
    </w:p>
    <w:p w14:paraId="1BC16703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de-DE"/>
        </w:rPr>
        <w:t xml:space="preserve">Chapman, P., Clinton, J., Kerber, R., Khabaza, T., Reinartz, T., Shearer, C., &amp; Wirth, R. (2000). </w:t>
      </w:r>
      <w:r w:rsidRPr="004827A6">
        <w:rPr>
          <w:i/>
          <w:lang w:val="en-US"/>
        </w:rPr>
        <w:t>CRISP-DM 1.0: Step-by-step data mining guide</w:t>
      </w:r>
      <w:r w:rsidRPr="004827A6">
        <w:rPr>
          <w:lang w:val="en-US"/>
        </w:rPr>
        <w:t>. SPSS.</w:t>
      </w:r>
    </w:p>
    <w:p w14:paraId="6599A725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Chen, T., &amp; </w:t>
      </w:r>
      <w:proofErr w:type="spellStart"/>
      <w:r w:rsidRPr="004827A6">
        <w:rPr>
          <w:lang w:val="en-US"/>
        </w:rPr>
        <w:t>Guestrin</w:t>
      </w:r>
      <w:proofErr w:type="spellEnd"/>
      <w:r w:rsidRPr="004827A6">
        <w:rPr>
          <w:lang w:val="en-US"/>
        </w:rPr>
        <w:t xml:space="preserve">, C. (2016). </w:t>
      </w:r>
      <w:proofErr w:type="spellStart"/>
      <w:r w:rsidRPr="004827A6">
        <w:rPr>
          <w:lang w:val="en-US"/>
        </w:rPr>
        <w:t>XGBoost</w:t>
      </w:r>
      <w:proofErr w:type="spellEnd"/>
      <w:r w:rsidRPr="004827A6">
        <w:rPr>
          <w:lang w:val="en-US"/>
        </w:rPr>
        <w:t xml:space="preserve">: A scalable tree boosting system. En </w:t>
      </w:r>
      <w:r w:rsidRPr="004827A6">
        <w:rPr>
          <w:i/>
          <w:lang w:val="en-US"/>
        </w:rPr>
        <w:t>Proceedings of the 22nd ACM SIGKDD International Conference on Knowledge Discovery and Data Mining</w:t>
      </w:r>
      <w:r w:rsidRPr="004827A6">
        <w:rPr>
          <w:lang w:val="en-US"/>
        </w:rPr>
        <w:t xml:space="preserve"> (pp. 785–794). ACM. https://doi.org/10.1145/2939672.2939785</w:t>
      </w:r>
    </w:p>
    <w:p w14:paraId="52AE141A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Cockburn, A. (2005). </w:t>
      </w:r>
      <w:r w:rsidRPr="004827A6">
        <w:rPr>
          <w:i/>
          <w:lang w:val="en-US"/>
        </w:rPr>
        <w:t>Hexagonal architecture</w:t>
      </w:r>
      <w:r w:rsidRPr="004827A6">
        <w:rPr>
          <w:lang w:val="en-US"/>
        </w:rPr>
        <w:t>. https://alistair.cockburn.us/hexagonal-architecture/</w:t>
      </w:r>
    </w:p>
    <w:p w14:paraId="7B46053B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>
        <w:lastRenderedPageBreak/>
        <w:t xml:space="preserve">Congreso de la República de Colombia. (2012, 17 de octubre). </w:t>
      </w:r>
      <w:r>
        <w:rPr>
          <w:i/>
        </w:rPr>
        <w:t>Ley Estatutaria 1581 de 2012, por la cual se dictan disposiciones generales para la protección de datos personales</w:t>
      </w:r>
      <w:r>
        <w:t xml:space="preserve">. </w:t>
      </w:r>
      <w:r w:rsidRPr="004827A6">
        <w:rPr>
          <w:lang w:val="en-US"/>
        </w:rPr>
        <w:t xml:space="preserve">Diario </w:t>
      </w:r>
      <w:proofErr w:type="spellStart"/>
      <w:r w:rsidRPr="004827A6">
        <w:rPr>
          <w:lang w:val="en-US"/>
        </w:rPr>
        <w:t>Oficial</w:t>
      </w:r>
      <w:proofErr w:type="spellEnd"/>
      <w:r w:rsidRPr="004827A6">
        <w:rPr>
          <w:lang w:val="en-US"/>
        </w:rPr>
        <w:t xml:space="preserve"> No. 48.587.</w:t>
      </w:r>
    </w:p>
    <w:p w14:paraId="484395D4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Hughes, A. M. (1994). </w:t>
      </w:r>
      <w:r w:rsidRPr="004827A6">
        <w:rPr>
          <w:i/>
          <w:lang w:val="en-US"/>
        </w:rPr>
        <w:t>Strategic database marketing</w:t>
      </w:r>
      <w:r w:rsidRPr="004827A6">
        <w:rPr>
          <w:lang w:val="en-US"/>
        </w:rPr>
        <w:t>. Probus Publishing.</w:t>
      </w:r>
    </w:p>
    <w:p w14:paraId="63D7C758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Hyndman, R. J., &amp; Athanasopoulos, G. (2021). </w:t>
      </w:r>
      <w:r w:rsidRPr="004827A6">
        <w:rPr>
          <w:i/>
          <w:lang w:val="en-US"/>
        </w:rPr>
        <w:t>Forecasting: Principles and practice</w:t>
      </w:r>
      <w:r w:rsidRPr="004827A6">
        <w:rPr>
          <w:lang w:val="en-US"/>
        </w:rPr>
        <w:t xml:space="preserve"> (3.ª ed.). </w:t>
      </w:r>
      <w:proofErr w:type="spellStart"/>
      <w:r w:rsidRPr="004827A6">
        <w:rPr>
          <w:lang w:val="en-US"/>
        </w:rPr>
        <w:t>OTexts</w:t>
      </w:r>
      <w:proofErr w:type="spellEnd"/>
      <w:r w:rsidRPr="004827A6">
        <w:rPr>
          <w:lang w:val="en-US"/>
        </w:rPr>
        <w:t>. https://otexts.com/fpp3/</w:t>
      </w:r>
    </w:p>
    <w:p w14:paraId="6807794C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MacQueen, J. (1967). Some methods for classification and analysis of multivariate observations. En </w:t>
      </w:r>
      <w:r w:rsidRPr="004827A6">
        <w:rPr>
          <w:i/>
          <w:lang w:val="en-US"/>
        </w:rPr>
        <w:t>Proceedings of the Fifth Berkeley Symposium on Mathematical Statistics and Probability</w:t>
      </w:r>
      <w:r w:rsidRPr="004827A6">
        <w:rPr>
          <w:lang w:val="en-US"/>
        </w:rPr>
        <w:t xml:space="preserve"> (Vol. 1, pp. 281–297). University of California Press.</w:t>
      </w:r>
    </w:p>
    <w:p w14:paraId="01C53BE5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McKinney, W. (2010). Data structures for statistical computing in Python. En </w:t>
      </w:r>
      <w:r w:rsidRPr="004827A6">
        <w:rPr>
          <w:i/>
          <w:lang w:val="en-US"/>
        </w:rPr>
        <w:t>Proceedings of the 9th Python in Science Conference</w:t>
      </w:r>
      <w:r w:rsidRPr="004827A6">
        <w:rPr>
          <w:lang w:val="en-US"/>
        </w:rPr>
        <w:t xml:space="preserve"> (pp. 56–61). https://doi.org/10.25080/Majora-92bf1922-00a</w:t>
      </w:r>
    </w:p>
    <w:p w14:paraId="06976728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Pedregosa, F., </w:t>
      </w:r>
      <w:proofErr w:type="spellStart"/>
      <w:r w:rsidRPr="004827A6">
        <w:rPr>
          <w:lang w:val="en-US"/>
        </w:rPr>
        <w:t>Varoquaux</w:t>
      </w:r>
      <w:proofErr w:type="spellEnd"/>
      <w:r w:rsidRPr="004827A6">
        <w:rPr>
          <w:lang w:val="en-US"/>
        </w:rPr>
        <w:t xml:space="preserve">, G., </w:t>
      </w:r>
      <w:proofErr w:type="spellStart"/>
      <w:r w:rsidRPr="004827A6">
        <w:rPr>
          <w:lang w:val="en-US"/>
        </w:rPr>
        <w:t>Gramfort</w:t>
      </w:r>
      <w:proofErr w:type="spellEnd"/>
      <w:r w:rsidRPr="004827A6">
        <w:rPr>
          <w:lang w:val="en-US"/>
        </w:rPr>
        <w:t xml:space="preserve">, A., Michel, V., Thirion, B., Grisel, O., Blondel, M., </w:t>
      </w:r>
      <w:proofErr w:type="spellStart"/>
      <w:r w:rsidRPr="004827A6">
        <w:rPr>
          <w:lang w:val="en-US"/>
        </w:rPr>
        <w:t>Prettenhofer</w:t>
      </w:r>
      <w:proofErr w:type="spellEnd"/>
      <w:r w:rsidRPr="004827A6">
        <w:rPr>
          <w:lang w:val="en-US"/>
        </w:rPr>
        <w:t xml:space="preserve">, P., Weiss, R., Dubourg, V., Vanderplas, J., Passos, A., </w:t>
      </w:r>
      <w:proofErr w:type="spellStart"/>
      <w:r w:rsidRPr="004827A6">
        <w:rPr>
          <w:lang w:val="en-US"/>
        </w:rPr>
        <w:t>Cournapeau</w:t>
      </w:r>
      <w:proofErr w:type="spellEnd"/>
      <w:r w:rsidRPr="004827A6">
        <w:rPr>
          <w:lang w:val="en-US"/>
        </w:rPr>
        <w:t xml:space="preserve">, D., Brucher, M., Perrot, M., &amp; Duchesnay, É. (2011). Scikit-learn: Machine learning in Python. </w:t>
      </w:r>
      <w:r w:rsidRPr="004827A6">
        <w:rPr>
          <w:i/>
          <w:lang w:val="en-US"/>
        </w:rPr>
        <w:t>Journal of Machine Learning Research, 12</w:t>
      </w:r>
      <w:r w:rsidRPr="004827A6">
        <w:rPr>
          <w:lang w:val="en-US"/>
        </w:rPr>
        <w:t>, 2825–2830.</w:t>
      </w:r>
    </w:p>
    <w:p w14:paraId="795D2E64" w14:textId="77777777" w:rsidR="00E10B54" w:rsidRPr="004827A6" w:rsidRDefault="00BA7FB4" w:rsidP="004827A6">
      <w:pPr>
        <w:pStyle w:val="Bibliografa"/>
        <w:ind w:left="709" w:hanging="709"/>
        <w:jc w:val="both"/>
        <w:rPr>
          <w:lang w:val="en-US"/>
        </w:rPr>
      </w:pPr>
      <w:r w:rsidRPr="004827A6">
        <w:rPr>
          <w:lang w:val="en-US"/>
        </w:rPr>
        <w:t xml:space="preserve">Raschka, S. (2018). </w:t>
      </w:r>
      <w:proofErr w:type="spellStart"/>
      <w:r w:rsidRPr="004827A6">
        <w:rPr>
          <w:lang w:val="en-US"/>
        </w:rPr>
        <w:t>MLxtend</w:t>
      </w:r>
      <w:proofErr w:type="spellEnd"/>
      <w:r w:rsidRPr="004827A6">
        <w:rPr>
          <w:lang w:val="en-US"/>
        </w:rPr>
        <w:t xml:space="preserve">: Providing machine learning and data science utilities and extensions to Python's scientific computing stack. </w:t>
      </w:r>
      <w:r w:rsidRPr="004827A6">
        <w:rPr>
          <w:i/>
          <w:lang w:val="en-US"/>
        </w:rPr>
        <w:t xml:space="preserve">Journal of </w:t>
      </w:r>
      <w:proofErr w:type="gramStart"/>
      <w:r w:rsidRPr="004827A6">
        <w:rPr>
          <w:i/>
          <w:lang w:val="en-US"/>
        </w:rPr>
        <w:t>Open Source</w:t>
      </w:r>
      <w:proofErr w:type="gramEnd"/>
      <w:r w:rsidRPr="004827A6">
        <w:rPr>
          <w:i/>
          <w:lang w:val="en-US"/>
        </w:rPr>
        <w:t xml:space="preserve"> Software, 3</w:t>
      </w:r>
      <w:r w:rsidRPr="004827A6">
        <w:rPr>
          <w:lang w:val="en-US"/>
        </w:rPr>
        <w:t>(24), 638. https://doi.org/10.21105/joss.00638</w:t>
      </w:r>
    </w:p>
    <w:p w14:paraId="06C9A064" w14:textId="77777777" w:rsidR="00E10B54" w:rsidRDefault="00BA7FB4" w:rsidP="004827A6">
      <w:pPr>
        <w:pStyle w:val="Bibliografa"/>
        <w:ind w:left="709" w:hanging="709"/>
        <w:jc w:val="both"/>
      </w:pPr>
      <w:proofErr w:type="spellStart"/>
      <w:r w:rsidRPr="004827A6">
        <w:rPr>
          <w:lang w:val="en-US"/>
        </w:rPr>
        <w:t>Rousseeuw</w:t>
      </w:r>
      <w:proofErr w:type="spellEnd"/>
      <w:r w:rsidRPr="004827A6">
        <w:rPr>
          <w:lang w:val="en-US"/>
        </w:rPr>
        <w:t xml:space="preserve">, P. J. (1987). Silhouettes: A graphical aid to the interpretation and validation of cluster analysis.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Computational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Applied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Mathematics</w:t>
      </w:r>
      <w:proofErr w:type="spellEnd"/>
      <w:r>
        <w:rPr>
          <w:i/>
        </w:rPr>
        <w:t>, 20</w:t>
      </w:r>
      <w:r>
        <w:t>, 53–65. https://doi.org/10.1016/0377-0427(87)90125-7</w:t>
      </w:r>
    </w:p>
    <w:sectPr w:rsidR="00E10B54" w:rsidSect="004174B3">
      <w:headerReference w:type="default" r:id="rId11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44DD" w14:textId="77777777" w:rsidR="00DF4803" w:rsidRDefault="00DF4803" w:rsidP="002E2FAC">
      <w:pPr>
        <w:spacing w:line="240" w:lineRule="auto"/>
      </w:pPr>
      <w:r>
        <w:separator/>
      </w:r>
    </w:p>
  </w:endnote>
  <w:endnote w:type="continuationSeparator" w:id="0">
    <w:p w14:paraId="0D3B6D1A" w14:textId="77777777" w:rsidR="00DF4803" w:rsidRDefault="00DF4803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E81D" w14:textId="77777777" w:rsidR="00DF4803" w:rsidRDefault="00DF4803" w:rsidP="002E2FAC">
      <w:pPr>
        <w:spacing w:line="240" w:lineRule="auto"/>
      </w:pPr>
      <w:r>
        <w:separator/>
      </w:r>
    </w:p>
  </w:footnote>
  <w:footnote w:type="continuationSeparator" w:id="0">
    <w:p w14:paraId="5485C5E2" w14:textId="77777777" w:rsidR="00DF4803" w:rsidRDefault="00DF4803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32D6A3BE" w14:textId="77777777" w:rsidR="00BA7AB7" w:rsidRDefault="003C6104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F547C39" w14:textId="77777777" w:rsidR="00012D38" w:rsidRDefault="00B068A6" w:rsidP="00012D38">
    <w:pPr>
      <w:pStyle w:val="Encabezado"/>
      <w:ind w:firstLine="0"/>
      <w:jc w:val="center"/>
    </w:pPr>
    <w:r w:rsidRPr="00B068A6">
      <w:rPr>
        <w:noProof/>
      </w:rPr>
      <w:drawing>
        <wp:inline distT="0" distB="0" distL="0" distR="0" wp14:anchorId="319EA4AB" wp14:editId="507993CF">
          <wp:extent cx="2114550" cy="550098"/>
          <wp:effectExtent l="0" t="0" r="0" b="254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4562" cy="5631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2E8C7F" w14:textId="77777777" w:rsidR="00012D38" w:rsidRDefault="00012D38" w:rsidP="00012D38">
    <w:pPr>
      <w:pStyle w:val="Encabezado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4A65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A20EE0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7D26A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9804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3682A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8681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CCC4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CA2A9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7859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306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176805">
    <w:abstractNumId w:val="11"/>
  </w:num>
  <w:num w:numId="2" w16cid:durableId="548802962">
    <w:abstractNumId w:val="10"/>
  </w:num>
  <w:num w:numId="3" w16cid:durableId="826625571">
    <w:abstractNumId w:val="13"/>
  </w:num>
  <w:num w:numId="4" w16cid:durableId="579800687">
    <w:abstractNumId w:val="12"/>
  </w:num>
  <w:num w:numId="5" w16cid:durableId="379132538">
    <w:abstractNumId w:val="8"/>
  </w:num>
  <w:num w:numId="6" w16cid:durableId="1130050717">
    <w:abstractNumId w:val="3"/>
  </w:num>
  <w:num w:numId="7" w16cid:durableId="1308440601">
    <w:abstractNumId w:val="2"/>
  </w:num>
  <w:num w:numId="8" w16cid:durableId="2065323268">
    <w:abstractNumId w:val="1"/>
  </w:num>
  <w:num w:numId="9" w16cid:durableId="1448232856">
    <w:abstractNumId w:val="0"/>
  </w:num>
  <w:num w:numId="10" w16cid:durableId="440416336">
    <w:abstractNumId w:val="9"/>
  </w:num>
  <w:num w:numId="11" w16cid:durableId="310906066">
    <w:abstractNumId w:val="7"/>
  </w:num>
  <w:num w:numId="12" w16cid:durableId="46029391">
    <w:abstractNumId w:val="6"/>
  </w:num>
  <w:num w:numId="13" w16cid:durableId="1007707056">
    <w:abstractNumId w:val="5"/>
  </w:num>
  <w:num w:numId="14" w16cid:durableId="568342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02670"/>
    <w:rsid w:val="00012D38"/>
    <w:rsid w:val="00022079"/>
    <w:rsid w:val="00023126"/>
    <w:rsid w:val="000334E7"/>
    <w:rsid w:val="0007110B"/>
    <w:rsid w:val="00074DD2"/>
    <w:rsid w:val="00092ED0"/>
    <w:rsid w:val="000A2FEE"/>
    <w:rsid w:val="000C3D55"/>
    <w:rsid w:val="000C70FF"/>
    <w:rsid w:val="000F5D7D"/>
    <w:rsid w:val="0011606F"/>
    <w:rsid w:val="00143F13"/>
    <w:rsid w:val="001472BA"/>
    <w:rsid w:val="00155494"/>
    <w:rsid w:val="00155A90"/>
    <w:rsid w:val="00196EE5"/>
    <w:rsid w:val="001A18E6"/>
    <w:rsid w:val="001A2840"/>
    <w:rsid w:val="001B2638"/>
    <w:rsid w:val="001C7E42"/>
    <w:rsid w:val="001E197E"/>
    <w:rsid w:val="001E4B08"/>
    <w:rsid w:val="002130BC"/>
    <w:rsid w:val="00230520"/>
    <w:rsid w:val="00241916"/>
    <w:rsid w:val="00243736"/>
    <w:rsid w:val="002647AF"/>
    <w:rsid w:val="00266600"/>
    <w:rsid w:val="002820CB"/>
    <w:rsid w:val="002860CE"/>
    <w:rsid w:val="002D4355"/>
    <w:rsid w:val="002D43DF"/>
    <w:rsid w:val="002D7F52"/>
    <w:rsid w:val="002E0AEC"/>
    <w:rsid w:val="002E19EF"/>
    <w:rsid w:val="002E2FAC"/>
    <w:rsid w:val="002F31D6"/>
    <w:rsid w:val="002F63CE"/>
    <w:rsid w:val="0030114A"/>
    <w:rsid w:val="0030684F"/>
    <w:rsid w:val="00317A5D"/>
    <w:rsid w:val="00321A89"/>
    <w:rsid w:val="00323335"/>
    <w:rsid w:val="003404C0"/>
    <w:rsid w:val="00340613"/>
    <w:rsid w:val="003529BA"/>
    <w:rsid w:val="003642C7"/>
    <w:rsid w:val="00374AC6"/>
    <w:rsid w:val="00376960"/>
    <w:rsid w:val="00381C3E"/>
    <w:rsid w:val="00383475"/>
    <w:rsid w:val="00385501"/>
    <w:rsid w:val="0038691B"/>
    <w:rsid w:val="00394262"/>
    <w:rsid w:val="003949CC"/>
    <w:rsid w:val="003A640E"/>
    <w:rsid w:val="003B7258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827A6"/>
    <w:rsid w:val="00492258"/>
    <w:rsid w:val="00493E78"/>
    <w:rsid w:val="00497B50"/>
    <w:rsid w:val="004A4761"/>
    <w:rsid w:val="004B5257"/>
    <w:rsid w:val="004B7845"/>
    <w:rsid w:val="004C6414"/>
    <w:rsid w:val="004D4E18"/>
    <w:rsid w:val="004D71F1"/>
    <w:rsid w:val="004E6D4E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2375"/>
    <w:rsid w:val="00724132"/>
    <w:rsid w:val="00733F14"/>
    <w:rsid w:val="0074338C"/>
    <w:rsid w:val="007434E0"/>
    <w:rsid w:val="00750341"/>
    <w:rsid w:val="0075426B"/>
    <w:rsid w:val="00765972"/>
    <w:rsid w:val="00797686"/>
    <w:rsid w:val="007B7329"/>
    <w:rsid w:val="007C09B8"/>
    <w:rsid w:val="007F214F"/>
    <w:rsid w:val="007F5677"/>
    <w:rsid w:val="008014E5"/>
    <w:rsid w:val="00802AF6"/>
    <w:rsid w:val="00832253"/>
    <w:rsid w:val="008555C6"/>
    <w:rsid w:val="00892F0C"/>
    <w:rsid w:val="008B5A65"/>
    <w:rsid w:val="008E2E35"/>
    <w:rsid w:val="009063F1"/>
    <w:rsid w:val="0091058C"/>
    <w:rsid w:val="009653C7"/>
    <w:rsid w:val="00996121"/>
    <w:rsid w:val="00996F5A"/>
    <w:rsid w:val="009A06F1"/>
    <w:rsid w:val="009B35FF"/>
    <w:rsid w:val="009B366E"/>
    <w:rsid w:val="009C5946"/>
    <w:rsid w:val="009D47E0"/>
    <w:rsid w:val="009E4F86"/>
    <w:rsid w:val="00A04D12"/>
    <w:rsid w:val="00A06F9A"/>
    <w:rsid w:val="00A0714D"/>
    <w:rsid w:val="00A16A5E"/>
    <w:rsid w:val="00A170F7"/>
    <w:rsid w:val="00A475F0"/>
    <w:rsid w:val="00A51723"/>
    <w:rsid w:val="00A77703"/>
    <w:rsid w:val="00A864B1"/>
    <w:rsid w:val="00AB27F5"/>
    <w:rsid w:val="00AB5D8E"/>
    <w:rsid w:val="00AD731C"/>
    <w:rsid w:val="00AE5335"/>
    <w:rsid w:val="00B068A6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A3AA2"/>
    <w:rsid w:val="00BA510D"/>
    <w:rsid w:val="00BA7AB7"/>
    <w:rsid w:val="00BA7FB4"/>
    <w:rsid w:val="00BB6973"/>
    <w:rsid w:val="00BD3907"/>
    <w:rsid w:val="00BE29FA"/>
    <w:rsid w:val="00BF21C9"/>
    <w:rsid w:val="00BF52AB"/>
    <w:rsid w:val="00C0457F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D3CF2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57A5"/>
    <w:rsid w:val="00D968E7"/>
    <w:rsid w:val="00DA244A"/>
    <w:rsid w:val="00DA3CE2"/>
    <w:rsid w:val="00DC4CE1"/>
    <w:rsid w:val="00DC6E25"/>
    <w:rsid w:val="00DD0FF9"/>
    <w:rsid w:val="00DF4803"/>
    <w:rsid w:val="00E10B54"/>
    <w:rsid w:val="00E162CC"/>
    <w:rsid w:val="00E236F9"/>
    <w:rsid w:val="00E33322"/>
    <w:rsid w:val="00E41D0A"/>
    <w:rsid w:val="00E42A5E"/>
    <w:rsid w:val="00E42B2E"/>
    <w:rsid w:val="00E537A2"/>
    <w:rsid w:val="00E61407"/>
    <w:rsid w:val="00E722B5"/>
    <w:rsid w:val="00E72F54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072F4"/>
    <w:rsid w:val="00F53FEC"/>
    <w:rsid w:val="00F67928"/>
    <w:rsid w:val="00FA4082"/>
    <w:rsid w:val="00FB6FA4"/>
    <w:rsid w:val="00FD17DB"/>
    <w:rsid w:val="00FE733F"/>
    <w:rsid w:val="06576FF8"/>
    <w:rsid w:val="112391BB"/>
    <w:rsid w:val="15537F1D"/>
    <w:rsid w:val="34BC7D2D"/>
    <w:rsid w:val="35747FA8"/>
    <w:rsid w:val="39844FA2"/>
    <w:rsid w:val="41C381CD"/>
    <w:rsid w:val="463E8C1C"/>
    <w:rsid w:val="4D9BEE8F"/>
    <w:rsid w:val="676012DF"/>
    <w:rsid w:val="71DAD2DD"/>
    <w:rsid w:val="7A13A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5E5FF0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184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D16184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6184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184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8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8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A04D12"/>
    <w:pPr>
      <w:tabs>
        <w:tab w:val="right" w:leader="dot" w:pos="9394"/>
      </w:tabs>
      <w:spacing w:before="120" w:line="240" w:lineRule="auto"/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DA244A"/>
    <w:pPr>
      <w:tabs>
        <w:tab w:val="right" w:leader="dot" w:pos="9350"/>
      </w:tabs>
      <w:spacing w:line="240" w:lineRule="auto"/>
      <w:ind w:left="360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401AEB"/>
    <w:pPr>
      <w:spacing w:line="240" w:lineRule="auto"/>
      <w:ind w:left="720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16184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D1618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4174B3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184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8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845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D16184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90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71D72-3C01-48C9-9677-BD7858B3E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3867</Words>
  <Characters>21274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Hernandez</dc:creator>
  <cp:keywords/>
  <dc:description/>
  <cp:lastModifiedBy>Cristian Orlando Avila Rivera</cp:lastModifiedBy>
  <cp:revision>5</cp:revision>
  <cp:lastPrinted>2026-10-24T01:17:00Z</cp:lastPrinted>
  <dcterms:created xsi:type="dcterms:W3CDTF">2026-10-20T00:16:00Z</dcterms:created>
  <dcterms:modified xsi:type="dcterms:W3CDTF">2026-10-24T02:01:00Z</dcterms:modified>
</cp:coreProperties>
</file>