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A6CD" w14:textId="5B42725D" w:rsidR="002A097E" w:rsidRDefault="00333DE3">
      <w:r>
        <w:t>Summary on Food Waste Research</w:t>
      </w:r>
    </w:p>
    <w:p w14:paraId="32B4BFA8" w14:textId="5CBC9B52" w:rsidR="00333DE3" w:rsidRPr="00D6087F" w:rsidRDefault="00A25486">
      <w:pPr>
        <w:rPr>
          <w:b/>
          <w:bCs/>
        </w:rPr>
      </w:pPr>
      <w:r w:rsidRPr="00D6087F">
        <w:rPr>
          <w:b/>
          <w:bCs/>
        </w:rPr>
        <w:t>https://schoolnutrition.org/journal/spring-2024-strategies-to-address-food-waste-in-k-12-schools-a-narrative-review/</w:t>
      </w:r>
      <w:r w:rsidRPr="00D6087F">
        <w:rPr>
          <w:b/>
          <w:bCs/>
        </w:rPr>
        <w:t xml:space="preserve"> </w:t>
      </w:r>
    </w:p>
    <w:p w14:paraId="6536570B" w14:textId="4AF0EB2A" w:rsidR="00A25486" w:rsidRDefault="00A25486" w:rsidP="00A25486">
      <w:pPr>
        <w:ind w:left="720"/>
      </w:pPr>
      <w:r w:rsidRPr="00A25486">
        <w:t>The United States (US) has pledged to reduce food waste by half by 2030 (United States Department of Agriculture [USDA], 2021) to help achieve the UN’s sustainable development goal to reduce food loss and ensure sustainable consumption and production patterns (UN Department of Economic and Social Affairs, 2015).</w:t>
      </w:r>
    </w:p>
    <w:p w14:paraId="6A8EDAB4" w14:textId="77777777" w:rsidR="00A25486" w:rsidRPr="00A25486" w:rsidRDefault="00A25486" w:rsidP="00A25486">
      <w:pPr>
        <w:ind w:left="720"/>
      </w:pPr>
      <w:r w:rsidRPr="00A25486">
        <w:t xml:space="preserve">The National School Lunch Program (NSLP) and the School Breakfast Program (SBP) provide a unique consumer-level opportunity to reduce food waste in schools (Byker Shanks et al., 2017; </w:t>
      </w:r>
      <w:proofErr w:type="spellStart"/>
      <w:r w:rsidRPr="00A25486">
        <w:t>Elnakib</w:t>
      </w:r>
      <w:proofErr w:type="spellEnd"/>
      <w:r w:rsidRPr="00A25486">
        <w:t xml:space="preserve"> et al., 2020; USDA, 2017a). The NSLP is the largest school lunch source in the US, with 99% of public schools participating in the program, providing lunch to over 30 million students nationwide (USDA, 2017b). A 2019 report found that food thrown away in school cafeterias amounted to 530,000 tons or costs over 1.7 billion dollars per school year (World Wildlife Fund, 2019).</w:t>
      </w:r>
    </w:p>
    <w:p w14:paraId="05691797" w14:textId="77777777" w:rsidR="00A25486" w:rsidRPr="00A25486" w:rsidRDefault="00A25486" w:rsidP="00A25486">
      <w:pPr>
        <w:ind w:left="720"/>
      </w:pPr>
      <w:r w:rsidRPr="00A25486">
        <w:t>There have been several systematic reviews of interventions focused on the NSLP and/or interventions to the cafeteria environment included nudging, changes in cafeteria arrangement, food presentation, and food choice; however, they do not focus on food waste as a primary outcome, and most did not include the SBP (Cohen et al., 2021; Marcano-Olivier et al., 2020; Meiklejohn et al., 2016; Metcalfe et al., 2020; Mumby et al., 2018). Typically, researchers measure consumption by subtracting the ounces or grams of food left on a student’s tray from the amount of food the student was served (Cohen et al., 2015; Hubbard et al., 2015; Miller et al., 2015; Williamson et al., 2013). Many of these studies only report consumption data without clearly identifying how much food was selected or wasted; thus, making it difficult for food waste study comparisons.</w:t>
      </w:r>
    </w:p>
    <w:p w14:paraId="16192AF1" w14:textId="357CDD39" w:rsidR="00A25486" w:rsidRPr="00D6087F" w:rsidRDefault="00D6087F" w:rsidP="00D6087F">
      <w:pPr>
        <w:rPr>
          <w:b/>
          <w:bCs/>
        </w:rPr>
      </w:pPr>
      <w:r w:rsidRPr="00D6087F">
        <w:rPr>
          <w:b/>
          <w:bCs/>
        </w:rPr>
        <w:t>https://thefern.org/2024/06/the-cafeteria-as-classroom/</w:t>
      </w:r>
    </w:p>
    <w:p w14:paraId="787CFB6F" w14:textId="77777777" w:rsidR="00D6087F" w:rsidRPr="00D6087F" w:rsidRDefault="00D6087F" w:rsidP="00D6087F">
      <w:pPr>
        <w:ind w:left="720"/>
      </w:pPr>
      <w:r w:rsidRPr="00D6087F">
        <w:t>About 530,000 tons of food and 45 million gallons of milk is wasted in U.S. school cafeterias each year, </w:t>
      </w:r>
      <w:hyperlink r:id="rId5" w:history="1">
        <w:r w:rsidRPr="00D6087F">
          <w:rPr>
            <w:rStyle w:val="Hyperlink"/>
          </w:rPr>
          <w:t>the World Wildlife Fund estimates</w:t>
        </w:r>
      </w:hyperlink>
      <w:r w:rsidRPr="00D6087F">
        <w:t>, which translates into about $1.7 billion worth of uneaten food. </w:t>
      </w:r>
    </w:p>
    <w:p w14:paraId="6DC6BF8B" w14:textId="77777777" w:rsidR="00D6087F" w:rsidRPr="00D6087F" w:rsidRDefault="00D6087F" w:rsidP="00D6087F">
      <w:pPr>
        <w:ind w:left="720"/>
      </w:pPr>
      <w:r w:rsidRPr="00D6087F">
        <w:t xml:space="preserve">Dumping food in landfills releases methane, a greenhouse gas more potent than carbon dioxide. And wasting food indirectly drives extinction; agriculture is the leading cause of </w:t>
      </w:r>
      <w:proofErr w:type="gramStart"/>
      <w:r w:rsidRPr="00D6087F">
        <w:t>biodiversity loss</w:t>
      </w:r>
      <w:proofErr w:type="gramEnd"/>
      <w:r w:rsidRPr="00D6087F">
        <w:t xml:space="preserve"> around the world — converting wild lands to cropland, diverting or polluting rivers and lakes, and pesticide use destroys habitats that wildlife need to survive. To tackle the environmental toll of landfilling all that </w:t>
      </w:r>
      <w:r w:rsidRPr="00D6087F">
        <w:lastRenderedPageBreak/>
        <w:t>food, environmental groups, like the World Wildlife Fund, have been working for about a decade with nearly 250 schools nationwide, including Lovin Elementary, to reduce waste but also to educate kids about the broader connection between the food they eat and issues like climate change and biodiversity loss. </w:t>
      </w:r>
    </w:p>
    <w:p w14:paraId="01F80362" w14:textId="79D49D82" w:rsidR="00D6087F" w:rsidRDefault="00D6087F" w:rsidP="00A25486">
      <w:pPr>
        <w:ind w:left="720"/>
      </w:pPr>
      <w:r w:rsidRPr="00D6087F">
        <w:t xml:space="preserve">After Lovin Elementary’s first food audit, students started delivering PSAs during the morning announcements; one of their big messages was that taking milk at lunch isn’t mandatory, a common misconception that creates a lot of waste. They began feeding leftovers from the teachers’ salad bar to the school’s chickens. And </w:t>
      </w:r>
      <w:proofErr w:type="spellStart"/>
      <w:r w:rsidRPr="00D6087F">
        <w:t>Hennebaul</w:t>
      </w:r>
      <w:proofErr w:type="spellEnd"/>
      <w:r w:rsidRPr="00D6087F">
        <w:t xml:space="preserve"> set up a share table, where kids deposit unpeeled fruits and unopened packaged food, like granola bars. There’s a fridge for milk and baby carrots. Throughout the day, kids take and leave things from the table. Every morning it starts off empty, fills up, and then ends up empty again, </w:t>
      </w:r>
      <w:proofErr w:type="spellStart"/>
      <w:r w:rsidRPr="00D6087F">
        <w:t>Hennebaul</w:t>
      </w:r>
      <w:proofErr w:type="spellEnd"/>
      <w:r w:rsidRPr="00D6087F">
        <w:t xml:space="preserve"> says.</w:t>
      </w:r>
    </w:p>
    <w:p w14:paraId="39B1EFB2" w14:textId="77777777" w:rsidR="00D6087F" w:rsidRPr="00D6087F" w:rsidRDefault="00D6087F" w:rsidP="00D6087F">
      <w:pPr>
        <w:ind w:left="720"/>
      </w:pPr>
      <w:r w:rsidRPr="00D6087F">
        <w:t xml:space="preserve">And in Maine, four public elementary schools of varying sizes took part in a pilot program last year, led by University of Maine researchers, that began with a waste audit and included sharing baskets for uneaten food and educational components. Kids watched a </w:t>
      </w:r>
      <w:proofErr w:type="gramStart"/>
      <w:r w:rsidRPr="00D6087F">
        <w:t>slideshow</w:t>
      </w:r>
      <w:proofErr w:type="gramEnd"/>
      <w:r w:rsidRPr="00D6087F">
        <w:t>, for instance, that explained what they did and did not have to take in the cafeteria line, and that made explicit the links between food and the environment. One slide, titled “What happens when food goes in the trash?”, showed a photo of a polar bear clinging to a fragment of ice and a truck dumping garbage into a landfill. </w:t>
      </w:r>
    </w:p>
    <w:p w14:paraId="7A455527" w14:textId="77777777" w:rsidR="00D6087F" w:rsidRPr="00D6087F" w:rsidRDefault="00D6087F" w:rsidP="00D6087F">
      <w:pPr>
        <w:ind w:left="720"/>
      </w:pPr>
      <w:r w:rsidRPr="00D6087F">
        <w:t xml:space="preserve">Over the nine-week course of the pilot, the schools cut waste by about 14 percent, saving a </w:t>
      </w:r>
      <w:proofErr w:type="gramStart"/>
      <w:r w:rsidRPr="00D6087F">
        <w:t>quarter-ton</w:t>
      </w:r>
      <w:proofErr w:type="gramEnd"/>
      <w:r w:rsidRPr="00D6087F">
        <w:t xml:space="preserve"> of food. Based on these results, the researchers estimated that putting a similar program in place statewide could reduce food waste by up to 325 tons, saving 4,263 tons of carbon dioxide equivalent per year — about as much as taking 1,000 cars off the road.</w:t>
      </w:r>
    </w:p>
    <w:p w14:paraId="6F039825" w14:textId="6084173A" w:rsidR="00D6087F" w:rsidRPr="00040174" w:rsidRDefault="00040174" w:rsidP="00040174">
      <w:pPr>
        <w:rPr>
          <w:b/>
          <w:bCs/>
        </w:rPr>
      </w:pPr>
      <w:r w:rsidRPr="00040174">
        <w:rPr>
          <w:b/>
          <w:bCs/>
        </w:rPr>
        <w:t>https://pmc.ncbi.nlm.nih.gov/articles/PMC10271748/</w:t>
      </w:r>
    </w:p>
    <w:p w14:paraId="549EDED6" w14:textId="7BBD0A7E" w:rsidR="00040174" w:rsidRDefault="00040174" w:rsidP="00A25486">
      <w:pPr>
        <w:ind w:left="720"/>
      </w:pPr>
      <w:r w:rsidRPr="00040174">
        <w:t>Previous research suggests that food waste in US public schools is substantial in magnitude and value</w:t>
      </w:r>
      <w:r w:rsidRPr="00040174">
        <w:rPr>
          <w:vertAlign w:val="superscript"/>
        </w:rPr>
        <w:t>(</w:t>
      </w:r>
      <w:r w:rsidRPr="00040174">
        <w:t> </w:t>
      </w:r>
      <w:hyperlink r:id="rId6" w:anchor="ref8" w:history="1">
        <w:r w:rsidRPr="00040174">
          <w:rPr>
            <w:rStyle w:val="Hyperlink"/>
            <w:vertAlign w:val="superscript"/>
          </w:rPr>
          <w:t>8</w:t>
        </w:r>
        <w:r w:rsidRPr="00040174">
          <w:rPr>
            <w:rStyle w:val="Hyperlink"/>
          </w:rPr>
          <w:t> </w:t>
        </w:r>
      </w:hyperlink>
      <w:r w:rsidRPr="00040174">
        <w:rPr>
          <w:vertAlign w:val="superscript"/>
        </w:rPr>
        <w:t>,</w:t>
      </w:r>
      <w:r w:rsidRPr="00040174">
        <w:t> </w:t>
      </w:r>
      <w:hyperlink r:id="rId7" w:anchor="ref16" w:history="1">
        <w:r w:rsidRPr="00040174">
          <w:rPr>
            <w:rStyle w:val="Hyperlink"/>
            <w:vertAlign w:val="superscript"/>
          </w:rPr>
          <w:t>16</w:t>
        </w:r>
        <w:r w:rsidRPr="00040174">
          <w:rPr>
            <w:rStyle w:val="Hyperlink"/>
          </w:rPr>
          <w:t> </w:t>
        </w:r>
      </w:hyperlink>
      <w:r w:rsidRPr="00040174">
        <w:rPr>
          <w:vertAlign w:val="superscript"/>
        </w:rPr>
        <w:t>,</w:t>
      </w:r>
      <w:r w:rsidRPr="00040174">
        <w:t> </w:t>
      </w:r>
      <w:hyperlink r:id="rId8" w:anchor="ref17" w:history="1">
        <w:r w:rsidRPr="00040174">
          <w:rPr>
            <w:rStyle w:val="Hyperlink"/>
            <w:vertAlign w:val="superscript"/>
          </w:rPr>
          <w:t>17</w:t>
        </w:r>
        <w:r w:rsidRPr="00040174">
          <w:rPr>
            <w:rStyle w:val="Hyperlink"/>
          </w:rPr>
          <w:t> </w:t>
        </w:r>
      </w:hyperlink>
      <w:r w:rsidRPr="00040174">
        <w:rPr>
          <w:vertAlign w:val="superscript"/>
        </w:rPr>
        <w:t>)</w:t>
      </w:r>
      <w:r w:rsidRPr="00040174">
        <w:t>. The NSLP has been the subject of the majority of related studies</w:t>
      </w:r>
      <w:r w:rsidRPr="00040174">
        <w:rPr>
          <w:vertAlign w:val="superscript"/>
        </w:rPr>
        <w:t>(</w:t>
      </w:r>
      <w:r w:rsidRPr="00040174">
        <w:t> </w:t>
      </w:r>
      <w:hyperlink r:id="rId9" w:anchor="ref16" w:history="1">
        <w:r w:rsidRPr="00040174">
          <w:rPr>
            <w:rStyle w:val="Hyperlink"/>
            <w:vertAlign w:val="superscript"/>
          </w:rPr>
          <w:t>16</w:t>
        </w:r>
        <w:r w:rsidRPr="00040174">
          <w:rPr>
            <w:rStyle w:val="Hyperlink"/>
          </w:rPr>
          <w:t> </w:t>
        </w:r>
      </w:hyperlink>
      <w:r w:rsidRPr="00040174">
        <w:rPr>
          <w:vertAlign w:val="superscript"/>
        </w:rPr>
        <w:t>,</w:t>
      </w:r>
      <w:r w:rsidRPr="00040174">
        <w:t> </w:t>
      </w:r>
      <w:hyperlink r:id="rId10" w:anchor="ref18" w:history="1">
        <w:r w:rsidRPr="00040174">
          <w:rPr>
            <w:rStyle w:val="Hyperlink"/>
            <w:vertAlign w:val="superscript"/>
          </w:rPr>
          <w:t>18</w:t>
        </w:r>
        <w:r w:rsidRPr="00040174">
          <w:rPr>
            <w:rStyle w:val="Hyperlink"/>
          </w:rPr>
          <w:t> </w:t>
        </w:r>
      </w:hyperlink>
      <w:r w:rsidRPr="00040174">
        <w:rPr>
          <w:vertAlign w:val="superscript"/>
        </w:rPr>
        <w:t>–</w:t>
      </w:r>
      <w:r w:rsidRPr="00040174">
        <w:t> </w:t>
      </w:r>
      <w:hyperlink r:id="rId11" w:anchor="ref28" w:history="1">
        <w:r w:rsidRPr="00040174">
          <w:rPr>
            <w:rStyle w:val="Hyperlink"/>
            <w:vertAlign w:val="superscript"/>
          </w:rPr>
          <w:t>28</w:t>
        </w:r>
        <w:r w:rsidRPr="00040174">
          <w:rPr>
            <w:rStyle w:val="Hyperlink"/>
          </w:rPr>
          <w:t> </w:t>
        </w:r>
      </w:hyperlink>
      <w:r w:rsidRPr="00040174">
        <w:rPr>
          <w:vertAlign w:val="superscript"/>
        </w:rPr>
        <w:t>)</w:t>
      </w:r>
      <w:r w:rsidRPr="00040174">
        <w:t>. Comparatively little research has considered food waste in the SBP. The School Breakfast Program Pilot Project (SBPP) compared six school districts randomized to a universal free SBP treatment condition with matched control districts operating under a traditional three-tiered meal pricing structure (full, reduced, free) over a 3-year period</w:t>
      </w:r>
      <w:r w:rsidRPr="00040174">
        <w:rPr>
          <w:vertAlign w:val="superscript"/>
        </w:rPr>
        <w:t>(</w:t>
      </w:r>
      <w:r w:rsidRPr="00040174">
        <w:t> </w:t>
      </w:r>
      <w:hyperlink r:id="rId12" w:anchor="ref29" w:history="1">
        <w:r w:rsidRPr="00040174">
          <w:rPr>
            <w:rStyle w:val="Hyperlink"/>
            <w:vertAlign w:val="superscript"/>
          </w:rPr>
          <w:t>29</w:t>
        </w:r>
        <w:r w:rsidRPr="00040174">
          <w:rPr>
            <w:rStyle w:val="Hyperlink"/>
          </w:rPr>
          <w:t> </w:t>
        </w:r>
      </w:hyperlink>
      <w:r w:rsidRPr="00040174">
        <w:rPr>
          <w:vertAlign w:val="superscript"/>
        </w:rPr>
        <w:t>,</w:t>
      </w:r>
      <w:r w:rsidRPr="00040174">
        <w:t> </w:t>
      </w:r>
      <w:hyperlink r:id="rId13" w:anchor="ref30" w:history="1">
        <w:r w:rsidRPr="00040174">
          <w:rPr>
            <w:rStyle w:val="Hyperlink"/>
            <w:vertAlign w:val="superscript"/>
          </w:rPr>
          <w:t>30</w:t>
        </w:r>
        <w:r w:rsidRPr="00040174">
          <w:rPr>
            <w:rStyle w:val="Hyperlink"/>
          </w:rPr>
          <w:t> </w:t>
        </w:r>
      </w:hyperlink>
      <w:r w:rsidRPr="00040174">
        <w:rPr>
          <w:vertAlign w:val="superscript"/>
        </w:rPr>
        <w:t>)</w:t>
      </w:r>
      <w:r w:rsidRPr="00040174">
        <w:t xml:space="preserve">. Treatment schools </w:t>
      </w:r>
      <w:proofErr w:type="gramStart"/>
      <w:r w:rsidRPr="00040174">
        <w:t>served</w:t>
      </w:r>
      <w:proofErr w:type="gramEnd"/>
      <w:r w:rsidRPr="00040174">
        <w:t xml:space="preserve"> breakfast in either the classroom or cafeteria. At the end of the first and third years, a greater proportion of cafeteria managers in treatment schools reported an increase in plate </w:t>
      </w:r>
      <w:r w:rsidRPr="00040174">
        <w:lastRenderedPageBreak/>
        <w:t>waste compared with control schools. Furthermore, among treatment schools, a greater proportion of cafeteria managers serving Breakfast in the Classroom (BIC) reported an increase in plate waste compared with those serving breakfast in the cafeteria. Treatment schools reporting a decline in plate waste in the final year only included those serving breakfast in the cafeteria. In a regional study in Milwaukee, WI, the quantity of food waste in a universal free BIC model of the SBP was observed, revealing that about half (52 %) of selected food items were fully consumed and that younger children disposed of greater quantities of food than older children</w:t>
      </w:r>
      <w:r w:rsidRPr="00040174">
        <w:rPr>
          <w:vertAlign w:val="superscript"/>
        </w:rPr>
        <w:t>(</w:t>
      </w:r>
      <w:r w:rsidRPr="00040174">
        <w:t> </w:t>
      </w:r>
      <w:hyperlink r:id="rId14" w:anchor="ref31" w:history="1">
        <w:r w:rsidRPr="00040174">
          <w:rPr>
            <w:rStyle w:val="Hyperlink"/>
            <w:vertAlign w:val="superscript"/>
          </w:rPr>
          <w:t>31</w:t>
        </w:r>
        <w:r w:rsidRPr="00040174">
          <w:rPr>
            <w:rStyle w:val="Hyperlink"/>
          </w:rPr>
          <w:t> </w:t>
        </w:r>
      </w:hyperlink>
      <w:r w:rsidRPr="00040174">
        <w:rPr>
          <w:vertAlign w:val="superscript"/>
        </w:rPr>
        <w:t>)</w:t>
      </w:r>
      <w:r w:rsidRPr="00040174">
        <w:t>. These studies provide evidence of food waste within the SBP, but neither explored stakeholders’ perspectives about the waste.</w:t>
      </w:r>
    </w:p>
    <w:p w14:paraId="1D99C601" w14:textId="7941BAB9" w:rsidR="00040174" w:rsidRPr="00040174" w:rsidRDefault="00040174" w:rsidP="00040174">
      <w:pPr>
        <w:rPr>
          <w:b/>
          <w:bCs/>
        </w:rPr>
      </w:pPr>
      <w:r w:rsidRPr="00040174">
        <w:rPr>
          <w:b/>
          <w:bCs/>
        </w:rPr>
        <w:t>https://www.usda.gov/foodlossandwaste/schools</w:t>
      </w:r>
    </w:p>
    <w:p w14:paraId="7A5FBF25" w14:textId="77777777" w:rsidR="00040174" w:rsidRPr="00040174" w:rsidRDefault="00040174" w:rsidP="00040174">
      <w:pPr>
        <w:numPr>
          <w:ilvl w:val="0"/>
          <w:numId w:val="2"/>
        </w:numPr>
      </w:pPr>
      <w:hyperlink r:id="rId15" w:history="1">
        <w:r w:rsidRPr="00040174">
          <w:rPr>
            <w:rStyle w:val="Hyperlink"/>
          </w:rPr>
          <w:t>Offer-versus-serve (OVS)</w:t>
        </w:r>
      </w:hyperlink>
      <w:r w:rsidRPr="00040174">
        <w:t> – Allows students to decline some components of a reimbursable meal as a way of providing choice and reducing waste. OVS is mandatory in high schools, but optional for elementary and middle schools (81 percent of all elementary and middle schools used OVS at lunch).</w:t>
      </w:r>
    </w:p>
    <w:p w14:paraId="4634E2F4" w14:textId="77777777" w:rsidR="00040174" w:rsidRPr="00040174" w:rsidRDefault="00040174" w:rsidP="00040174">
      <w:pPr>
        <w:numPr>
          <w:ilvl w:val="0"/>
          <w:numId w:val="2"/>
        </w:numPr>
      </w:pPr>
      <w:hyperlink r:id="rId16" w:history="1">
        <w:r w:rsidRPr="00040174">
          <w:rPr>
            <w:rStyle w:val="Hyperlink"/>
          </w:rPr>
          <w:t>Market your meals</w:t>
        </w:r>
      </w:hyperlink>
      <w:r w:rsidRPr="00040174">
        <w:t> – Highlight new foods on your menus and serving lines. Consider holding taste tests and recipe competitions or creating a student advisory committee to provide feedback on food acceptability and recipe names.</w:t>
      </w:r>
    </w:p>
    <w:p w14:paraId="75F395DC" w14:textId="77777777" w:rsidR="00040174" w:rsidRPr="00040174" w:rsidRDefault="00040174" w:rsidP="00040174">
      <w:pPr>
        <w:numPr>
          <w:ilvl w:val="0"/>
          <w:numId w:val="2"/>
        </w:numPr>
      </w:pPr>
      <w:r w:rsidRPr="00040174">
        <w:t>Extend lunch from 20 to 30 minutes – In a </w:t>
      </w:r>
      <w:hyperlink r:id="rId17" w:tgtFrame="_blank" w:tooltip="(opens in a new window)" w:history="1">
        <w:r w:rsidRPr="00040174">
          <w:rPr>
            <w:rStyle w:val="Hyperlink"/>
          </w:rPr>
          <w:t>poll by NPR and the Harvard School of Public Health</w:t>
        </w:r>
      </w:hyperlink>
      <w:r w:rsidRPr="00040174">
        <w:t> (PDF, 1 MB), 20 percent of parents of students from kindergarten through fifth grade surveyed said their child only gets 15 minutes or less to eat. Extending the lunch period can improve dietary intake and reduce food waste.</w:t>
      </w:r>
    </w:p>
    <w:p w14:paraId="1CC9165B" w14:textId="77777777" w:rsidR="00040174" w:rsidRPr="00040174" w:rsidRDefault="00040174" w:rsidP="00040174">
      <w:pPr>
        <w:numPr>
          <w:ilvl w:val="0"/>
          <w:numId w:val="2"/>
        </w:numPr>
      </w:pPr>
      <w:r w:rsidRPr="00040174">
        <w:t>Create share tables – Share tables are designated stations where children may return whole and/or unopened food or beverage items they choose not to eat. These items are then made available to other children who may want another serving during or after the meal service. USDA encourages the use of share tables and offers </w:t>
      </w:r>
      <w:hyperlink r:id="rId18" w:history="1">
        <w:r w:rsidRPr="00040174">
          <w:rPr>
            <w:rStyle w:val="Hyperlink"/>
          </w:rPr>
          <w:t>implementation guidance</w:t>
        </w:r>
      </w:hyperlink>
      <w:r w:rsidRPr="00040174">
        <w:t>.</w:t>
      </w:r>
    </w:p>
    <w:p w14:paraId="696B573B" w14:textId="77777777" w:rsidR="00040174" w:rsidRPr="00040174" w:rsidRDefault="00040174" w:rsidP="00040174">
      <w:pPr>
        <w:numPr>
          <w:ilvl w:val="0"/>
          <w:numId w:val="2"/>
        </w:numPr>
      </w:pPr>
      <w:hyperlink r:id="rId19" w:history="1">
        <w:r w:rsidRPr="00040174">
          <w:rPr>
            <w:rStyle w:val="Hyperlink"/>
          </w:rPr>
          <w:t>Saving food items</w:t>
        </w:r>
      </w:hyperlink>
      <w:r w:rsidRPr="00040174">
        <w:t> – Students who may not have time to finish their meal during the designated lunch period may save certain meal components for later in the day. For food safety reasons, this practice should be limited to food items that do not require cooling or heating.</w:t>
      </w:r>
    </w:p>
    <w:p w14:paraId="57E0FECA" w14:textId="3B713D62" w:rsidR="00040174" w:rsidRPr="00040174" w:rsidRDefault="00040174" w:rsidP="00040174">
      <w:pPr>
        <w:ind w:left="360"/>
        <w:rPr>
          <w:b/>
          <w:bCs/>
        </w:rPr>
      </w:pPr>
      <w:r w:rsidRPr="00040174">
        <w:rPr>
          <w:b/>
          <w:bCs/>
        </w:rPr>
        <w:t>https://www.psu.edu/news/research/story/us-school-cafeterias-waste-more-food-those-other-developed-countries</w:t>
      </w:r>
    </w:p>
    <w:p w14:paraId="6EFE4892" w14:textId="77777777" w:rsidR="00040174" w:rsidRPr="00040174" w:rsidRDefault="00040174" w:rsidP="00040174">
      <w:pPr>
        <w:ind w:left="720"/>
      </w:pPr>
      <w:r w:rsidRPr="00040174">
        <w:lastRenderedPageBreak/>
        <w:t>In findings recently published in the Journal of Cleaner Production, the amount of plate waste per food category is analogous to other studies conducted at other U.S. school cafeterias. Students, in all grades, waste vegetables and fruit the most, representing more than 50% of their plate waste. In comparison, faculty members waste about 43% of these categories.</w:t>
      </w:r>
    </w:p>
    <w:p w14:paraId="2C330CFD" w14:textId="77777777" w:rsidR="00040174" w:rsidRPr="00040174" w:rsidRDefault="00040174" w:rsidP="00040174">
      <w:pPr>
        <w:ind w:left="720"/>
      </w:pPr>
      <w:r w:rsidRPr="00040174">
        <w:t>Because they are most highly wasted, understanding the extent to which fruit and vegetable offerings in school lunches are likely to be accepted by children has important implications for school meal policies and children’s health, Costello and co-authors pointed out. Eggs and poultry, the researchers found, were the least-wasted food category.</w:t>
      </w:r>
    </w:p>
    <w:p w14:paraId="02652E43" w14:textId="77777777" w:rsidR="00040174" w:rsidRDefault="00040174" w:rsidP="00A25486">
      <w:pPr>
        <w:ind w:left="720"/>
      </w:pPr>
    </w:p>
    <w:sectPr w:rsidR="00040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178F2"/>
    <w:multiLevelType w:val="multilevel"/>
    <w:tmpl w:val="D15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EA6349"/>
    <w:multiLevelType w:val="multilevel"/>
    <w:tmpl w:val="415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478637">
    <w:abstractNumId w:val="0"/>
  </w:num>
  <w:num w:numId="2" w16cid:durableId="1194927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DE3"/>
    <w:rsid w:val="00040174"/>
    <w:rsid w:val="002A097E"/>
    <w:rsid w:val="00333DE3"/>
    <w:rsid w:val="00392FD6"/>
    <w:rsid w:val="00A25486"/>
    <w:rsid w:val="00D6087F"/>
    <w:rsid w:val="00DF3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7A6C"/>
  <w15:chartTrackingRefBased/>
  <w15:docId w15:val="{3169226A-EA49-40A1-B94D-AA9C902C3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DE3"/>
    <w:rPr>
      <w:rFonts w:eastAsiaTheme="majorEastAsia" w:cstheme="majorBidi"/>
      <w:color w:val="272727" w:themeColor="text1" w:themeTint="D8"/>
    </w:rPr>
  </w:style>
  <w:style w:type="paragraph" w:styleId="Title">
    <w:name w:val="Title"/>
    <w:basedOn w:val="Normal"/>
    <w:next w:val="Normal"/>
    <w:link w:val="TitleChar"/>
    <w:uiPriority w:val="10"/>
    <w:qFormat/>
    <w:rsid w:val="00333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DE3"/>
    <w:pPr>
      <w:spacing w:before="160"/>
      <w:jc w:val="center"/>
    </w:pPr>
    <w:rPr>
      <w:i/>
      <w:iCs/>
      <w:color w:val="404040" w:themeColor="text1" w:themeTint="BF"/>
    </w:rPr>
  </w:style>
  <w:style w:type="character" w:customStyle="1" w:styleId="QuoteChar">
    <w:name w:val="Quote Char"/>
    <w:basedOn w:val="DefaultParagraphFont"/>
    <w:link w:val="Quote"/>
    <w:uiPriority w:val="29"/>
    <w:rsid w:val="00333DE3"/>
    <w:rPr>
      <w:i/>
      <w:iCs/>
      <w:color w:val="404040" w:themeColor="text1" w:themeTint="BF"/>
    </w:rPr>
  </w:style>
  <w:style w:type="paragraph" w:styleId="ListParagraph">
    <w:name w:val="List Paragraph"/>
    <w:basedOn w:val="Normal"/>
    <w:uiPriority w:val="34"/>
    <w:qFormat/>
    <w:rsid w:val="00333DE3"/>
    <w:pPr>
      <w:ind w:left="720"/>
      <w:contextualSpacing/>
    </w:pPr>
  </w:style>
  <w:style w:type="character" w:styleId="IntenseEmphasis">
    <w:name w:val="Intense Emphasis"/>
    <w:basedOn w:val="DefaultParagraphFont"/>
    <w:uiPriority w:val="21"/>
    <w:qFormat/>
    <w:rsid w:val="00333DE3"/>
    <w:rPr>
      <w:i/>
      <w:iCs/>
      <w:color w:val="0F4761" w:themeColor="accent1" w:themeShade="BF"/>
    </w:rPr>
  </w:style>
  <w:style w:type="paragraph" w:styleId="IntenseQuote">
    <w:name w:val="Intense Quote"/>
    <w:basedOn w:val="Normal"/>
    <w:next w:val="Normal"/>
    <w:link w:val="IntenseQuoteChar"/>
    <w:uiPriority w:val="30"/>
    <w:qFormat/>
    <w:rsid w:val="00333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DE3"/>
    <w:rPr>
      <w:i/>
      <w:iCs/>
      <w:color w:val="0F4761" w:themeColor="accent1" w:themeShade="BF"/>
    </w:rPr>
  </w:style>
  <w:style w:type="character" w:styleId="IntenseReference">
    <w:name w:val="Intense Reference"/>
    <w:basedOn w:val="DefaultParagraphFont"/>
    <w:uiPriority w:val="32"/>
    <w:qFormat/>
    <w:rsid w:val="00333DE3"/>
    <w:rPr>
      <w:b/>
      <w:bCs/>
      <w:smallCaps/>
      <w:color w:val="0F4761" w:themeColor="accent1" w:themeShade="BF"/>
      <w:spacing w:val="5"/>
    </w:rPr>
  </w:style>
  <w:style w:type="character" w:styleId="Hyperlink">
    <w:name w:val="Hyperlink"/>
    <w:basedOn w:val="DefaultParagraphFont"/>
    <w:uiPriority w:val="99"/>
    <w:unhideWhenUsed/>
    <w:rsid w:val="00D6087F"/>
    <w:rPr>
      <w:color w:val="467886" w:themeColor="hyperlink"/>
      <w:u w:val="single"/>
    </w:rPr>
  </w:style>
  <w:style w:type="character" w:styleId="UnresolvedMention">
    <w:name w:val="Unresolved Mention"/>
    <w:basedOn w:val="DefaultParagraphFont"/>
    <w:uiPriority w:val="99"/>
    <w:semiHidden/>
    <w:unhideWhenUsed/>
    <w:rsid w:val="00D60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271748/" TargetMode="External"/><Relationship Id="rId13" Type="http://schemas.openxmlformats.org/officeDocument/2006/relationships/hyperlink" Target="https://pmc.ncbi.nlm.nih.gov/articles/PMC10271748/" TargetMode="External"/><Relationship Id="rId18" Type="http://schemas.openxmlformats.org/officeDocument/2006/relationships/hyperlink" Target="https://www.fns.usda.gov/cn/use-share-tables-child-nutrition-program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mc.ncbi.nlm.nih.gov/articles/PMC10271748/" TargetMode="External"/><Relationship Id="rId12" Type="http://schemas.openxmlformats.org/officeDocument/2006/relationships/hyperlink" Target="https://pmc.ncbi.nlm.nih.gov/articles/PMC10271748/" TargetMode="External"/><Relationship Id="rId17" Type="http://schemas.openxmlformats.org/officeDocument/2006/relationships/hyperlink" Target="https://media.npr.org/documents/2013/dec/rwjf_npr_harvard_edpoll.pdf" TargetMode="External"/><Relationship Id="rId2" Type="http://schemas.openxmlformats.org/officeDocument/2006/relationships/styles" Target="styles.xml"/><Relationship Id="rId16" Type="http://schemas.openxmlformats.org/officeDocument/2006/relationships/hyperlink" Target="https://www.fns.usda.gov/tn/popular-events-idea-bookle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mc.ncbi.nlm.nih.gov/articles/PMC10271748/" TargetMode="External"/><Relationship Id="rId11" Type="http://schemas.openxmlformats.org/officeDocument/2006/relationships/hyperlink" Target="https://pmc.ncbi.nlm.nih.gov/articles/PMC10271748/" TargetMode="External"/><Relationship Id="rId5" Type="http://schemas.openxmlformats.org/officeDocument/2006/relationships/hyperlink" Target="https://c402277.ssl.cf1.rackcdn.com/publications/1271/files/original/FoodWasteWarriorR_CS_121819.pdf?1576689275" TargetMode="External"/><Relationship Id="rId15" Type="http://schemas.openxmlformats.org/officeDocument/2006/relationships/hyperlink" Target="https://www.fns.usda.gov/updated-offer-vs-serve-guidance-nslp-and-sbp-beginning-sy2015-16" TargetMode="External"/><Relationship Id="rId10" Type="http://schemas.openxmlformats.org/officeDocument/2006/relationships/hyperlink" Target="https://pmc.ncbi.nlm.nih.gov/articles/PMC10271748/" TargetMode="External"/><Relationship Id="rId19" Type="http://schemas.openxmlformats.org/officeDocument/2006/relationships/hyperlink" Target="https://www.fns.usda.gov/clarification-policy-food-consumption-outside-foodservice-area-and-whole-grain-rich-requirement" TargetMode="External"/><Relationship Id="rId4" Type="http://schemas.openxmlformats.org/officeDocument/2006/relationships/webSettings" Target="webSettings.xml"/><Relationship Id="rId9" Type="http://schemas.openxmlformats.org/officeDocument/2006/relationships/hyperlink" Target="https://pmc.ncbi.nlm.nih.gov/articles/PMC10271748/" TargetMode="External"/><Relationship Id="rId14" Type="http://schemas.openxmlformats.org/officeDocument/2006/relationships/hyperlink" Target="https://pmc.ncbi.nlm.nih.gov/articles/PMC102717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4</Pages>
  <Words>1454</Words>
  <Characters>8293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Kao</dc:creator>
  <cp:keywords/>
  <dc:description/>
  <cp:lastModifiedBy>Crystal Kao</cp:lastModifiedBy>
  <cp:revision>1</cp:revision>
  <dcterms:created xsi:type="dcterms:W3CDTF">2025-09-09T20:51:00Z</dcterms:created>
  <dcterms:modified xsi:type="dcterms:W3CDTF">2025-09-10T02:52:00Z</dcterms:modified>
</cp:coreProperties>
</file>