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0E56" w14:textId="223EE7D0" w:rsidR="005C3905" w:rsidRDefault="005C3905" w:rsidP="005C3905">
      <w:r>
        <w:t>Literature Review</w:t>
      </w:r>
    </w:p>
    <w:p w14:paraId="2C0C1C07" w14:textId="073F380C" w:rsidR="005C3905" w:rsidRDefault="005C3905" w:rsidP="005C3905">
      <w:pPr>
        <w:rPr>
          <w:b/>
          <w:bCs/>
        </w:rPr>
      </w:pPr>
      <w:r>
        <w:rPr>
          <w:b/>
          <w:bCs/>
        </w:rPr>
        <w:t>Addressing Challenges</w:t>
      </w:r>
    </w:p>
    <w:p w14:paraId="3A6008C3" w14:textId="3A0368EF" w:rsidR="005C3905" w:rsidRDefault="005C3905" w:rsidP="005C3905">
      <w:pPr>
        <w:rPr>
          <w:i/>
          <w:iCs/>
        </w:rPr>
      </w:pPr>
      <w:r>
        <w:rPr>
          <w:i/>
          <w:iCs/>
        </w:rPr>
        <w:t>Real-Time Implementation Challenges</w:t>
      </w:r>
    </w:p>
    <w:p w14:paraId="5B5FAE21" w14:textId="7A6E0250" w:rsidR="005C3905" w:rsidRDefault="005C3905" w:rsidP="005C3905">
      <w:pPr>
        <w:pStyle w:val="ListParagraph"/>
        <w:numPr>
          <w:ilvl w:val="0"/>
          <w:numId w:val="3"/>
        </w:numPr>
        <w:rPr>
          <w:i/>
          <w:iCs/>
        </w:rPr>
      </w:pPr>
      <w:r>
        <w:rPr>
          <w:i/>
          <w:iCs/>
        </w:rPr>
        <w:t>Risk: Operational deployment may face technical challenges with real-time data integration and system performance</w:t>
      </w:r>
    </w:p>
    <w:p w14:paraId="7BF4BBA8" w14:textId="185CBF53" w:rsidR="005C3905" w:rsidRDefault="005C3905" w:rsidP="005C3905">
      <w:pPr>
        <w:pStyle w:val="ListParagraph"/>
        <w:numPr>
          <w:ilvl w:val="0"/>
          <w:numId w:val="3"/>
        </w:numPr>
        <w:rPr>
          <w:i/>
          <w:iCs/>
        </w:rPr>
      </w:pPr>
      <w:r>
        <w:rPr>
          <w:i/>
          <w:iCs/>
        </w:rPr>
        <w:t>Mitigation: Design scalable architecture, implement efficient algorithms, develop offline backup systems, and create comprehensive testing protocols</w:t>
      </w:r>
    </w:p>
    <w:p w14:paraId="22E082BD" w14:textId="0D17B38B" w:rsidR="00A94B4F" w:rsidRDefault="00A94B4F" w:rsidP="00A94B4F">
      <w:pPr>
        <w:rPr>
          <w:i/>
          <w:iCs/>
        </w:rPr>
      </w:pPr>
      <w:r>
        <w:rPr>
          <w:i/>
          <w:iCs/>
        </w:rPr>
        <w:t>Student Privacy and Data Security</w:t>
      </w:r>
    </w:p>
    <w:p w14:paraId="46A51BAD" w14:textId="4AB56454" w:rsidR="00A94B4F" w:rsidRDefault="00A94B4F" w:rsidP="00A94B4F">
      <w:pPr>
        <w:pStyle w:val="ListParagraph"/>
        <w:numPr>
          <w:ilvl w:val="0"/>
          <w:numId w:val="3"/>
        </w:numPr>
        <w:rPr>
          <w:i/>
          <w:iCs/>
        </w:rPr>
      </w:pPr>
      <w:r>
        <w:rPr>
          <w:i/>
          <w:iCs/>
        </w:rPr>
        <w:t>Risk: Student-level data requires careful privacy protection and secure handling</w:t>
      </w:r>
    </w:p>
    <w:p w14:paraId="67F21F65" w14:textId="72F30C4E" w:rsidR="00A94B4F" w:rsidRDefault="00A94B4F" w:rsidP="00A94B4F">
      <w:pPr>
        <w:pStyle w:val="ListParagraph"/>
        <w:numPr>
          <w:ilvl w:val="0"/>
          <w:numId w:val="3"/>
        </w:numPr>
        <w:rPr>
          <w:i/>
          <w:iCs/>
        </w:rPr>
      </w:pPr>
      <w:r>
        <w:rPr>
          <w:i/>
          <w:iCs/>
        </w:rPr>
        <w:t>Mitigation: Implement data anonymization techniques, follow FERPA guidelines, use aggregated data where possible, and develop secure data handling protocols</w:t>
      </w:r>
    </w:p>
    <w:p w14:paraId="79A6EDE1" w14:textId="77777777" w:rsidR="001E4F49" w:rsidRDefault="001E4F49" w:rsidP="001E4F49">
      <w:pPr>
        <w:rPr>
          <w:i/>
          <w:iCs/>
        </w:rPr>
      </w:pPr>
    </w:p>
    <w:p w14:paraId="5C63EA88" w14:textId="7083B22B" w:rsidR="001E4F49" w:rsidRDefault="001E4F49" w:rsidP="001E4F49">
      <w:r>
        <w:t>Why is this important in terms of the User Interface?</w:t>
      </w:r>
    </w:p>
    <w:p w14:paraId="34013D55" w14:textId="5217A84B" w:rsidR="001E4F49" w:rsidRDefault="001E4F49" w:rsidP="001E4F49">
      <w:pPr>
        <w:pStyle w:val="ListParagraph"/>
        <w:numPr>
          <w:ilvl w:val="0"/>
          <w:numId w:val="3"/>
        </w:numPr>
      </w:pPr>
      <w:r>
        <w:t>Implementation of a user interface needs to consider the scale of the data. If the user interface fails or struggles to produce our findings to the audience, our message will not be effective and be deemed unprofessional.</w:t>
      </w:r>
    </w:p>
    <w:p w14:paraId="48A78E3E" w14:textId="58378E82" w:rsidR="001E4F49" w:rsidRDefault="001E4F49" w:rsidP="001E4F49">
      <w:pPr>
        <w:pStyle w:val="ListParagraph"/>
        <w:numPr>
          <w:ilvl w:val="0"/>
          <w:numId w:val="3"/>
        </w:numPr>
      </w:pPr>
      <w:r>
        <w:t xml:space="preserve">Handling student data is critical, these individuals are </w:t>
      </w:r>
      <w:r w:rsidR="00B479D8">
        <w:t>minors,</w:t>
      </w:r>
      <w:r>
        <w:t xml:space="preserve"> and their information is very sensitive and needs to be protected </w:t>
      </w:r>
    </w:p>
    <w:p w14:paraId="387B6997" w14:textId="77777777" w:rsidR="00512DDD" w:rsidRDefault="00512DDD" w:rsidP="00512DDD"/>
    <w:p w14:paraId="7CA5B33F" w14:textId="37C37B60" w:rsidR="00512DDD" w:rsidRDefault="00512DDD" w:rsidP="00512DDD">
      <w:pPr>
        <w:rPr>
          <w:u w:val="single"/>
        </w:rPr>
      </w:pPr>
      <w:r>
        <w:rPr>
          <w:u w:val="single"/>
        </w:rPr>
        <w:t>Literature</w:t>
      </w:r>
    </w:p>
    <w:p w14:paraId="77D7695A" w14:textId="77777777" w:rsidR="00512DDD" w:rsidRDefault="00512DDD" w:rsidP="00512DDD">
      <w:r>
        <w:t xml:space="preserve">Marjani, M., et al. (2017). “Big IoT Data Analytics: Architecture, Opportunities, and Open </w:t>
      </w:r>
    </w:p>
    <w:p w14:paraId="55C67560" w14:textId="0153CBC5" w:rsidR="00512DDD" w:rsidRDefault="00512DDD" w:rsidP="00512DDD">
      <w:pPr>
        <w:ind w:firstLine="720"/>
      </w:pPr>
      <w:r>
        <w:t xml:space="preserve">Research Challenges.” </w:t>
      </w:r>
      <w:r>
        <w:rPr>
          <w:i/>
          <w:iCs/>
        </w:rPr>
        <w:t xml:space="preserve">IEEE Access. </w:t>
      </w:r>
      <w:r>
        <w:t>Retrieved September 4, 2025</w:t>
      </w:r>
      <w:r w:rsidR="006C39D7">
        <w:t>,</w:t>
      </w:r>
      <w:r>
        <w:t xml:space="preserve"> from </w:t>
      </w:r>
    </w:p>
    <w:p w14:paraId="0E81745D" w14:textId="58DDE10B" w:rsidR="00512DDD" w:rsidRDefault="00512DDD" w:rsidP="00512DDD">
      <w:pPr>
        <w:ind w:firstLine="720"/>
      </w:pPr>
      <w:r>
        <w:t>https://researchoutput.csu.edu.au/files/403423473/403349952_published_article.</w:t>
      </w:r>
    </w:p>
    <w:p w14:paraId="5E175EF6" w14:textId="21171B5D" w:rsidR="00512DDD" w:rsidRDefault="00512DDD" w:rsidP="00512DDD">
      <w:pPr>
        <w:ind w:left="720"/>
      </w:pPr>
      <w:r w:rsidRPr="00512DDD">
        <w:t>pdf</w:t>
      </w:r>
    </w:p>
    <w:p w14:paraId="5BB5B944" w14:textId="374022CA" w:rsidR="00804C9D" w:rsidRDefault="00804C9D" w:rsidP="00804C9D">
      <w:pPr>
        <w:ind w:left="720"/>
        <w:rPr>
          <w:b/>
          <w:bCs/>
        </w:rPr>
      </w:pPr>
      <w:r>
        <w:rPr>
          <w:b/>
          <w:bCs/>
        </w:rPr>
        <w:t>Provides a comprehensive overview of architectural models for handling large volumes of Internet of Things data in real-time. It directly addresses your need for a scalable architecture and discusses the challenges of processing and integrating data from numerous sensors, which is central to a smart waste management system.</w:t>
      </w:r>
    </w:p>
    <w:p w14:paraId="06319430" w14:textId="3A956F20" w:rsidR="009F620B" w:rsidRDefault="009F620B" w:rsidP="00804C9D">
      <w:pPr>
        <w:ind w:left="720"/>
        <w:rPr>
          <w:i/>
          <w:iCs/>
        </w:rPr>
      </w:pPr>
      <w:r>
        <w:rPr>
          <w:i/>
          <w:iCs/>
        </w:rPr>
        <w:lastRenderedPageBreak/>
        <w:t>“Visualization is an important entity in big data analytics, particularly when dealing with IoT systems where data are generated enormously. Furthermore, conducting data visualization</w:t>
      </w:r>
      <w:r w:rsidR="00C45B30">
        <w:rPr>
          <w:i/>
          <w:iCs/>
        </w:rPr>
        <w:t xml:space="preserve"> is difficult because of the large size and high dimension of big data.”</w:t>
      </w:r>
    </w:p>
    <w:p w14:paraId="765B5FD4" w14:textId="77777777" w:rsidR="00C45B30" w:rsidRDefault="00C45B30" w:rsidP="00804C9D">
      <w:pPr>
        <w:ind w:left="720"/>
        <w:rPr>
          <w:i/>
          <w:iCs/>
        </w:rPr>
      </w:pPr>
      <w:r>
        <w:rPr>
          <w:i/>
          <w:iCs/>
        </w:rPr>
        <w:t>“Therefore, big data analytics and visualization should work seamlessly to obtain the best results from IoT applications in big data.”</w:t>
      </w:r>
    </w:p>
    <w:p w14:paraId="32FE0AB7" w14:textId="77777777" w:rsidR="00647EC6" w:rsidRDefault="00C45B30" w:rsidP="00804C9D">
      <w:pPr>
        <w:ind w:left="720"/>
        <w:rPr>
          <w:i/>
          <w:iCs/>
        </w:rPr>
      </w:pPr>
      <w:r>
        <w:rPr>
          <w:i/>
          <w:iCs/>
        </w:rPr>
        <w:t>“At present, most big data visualization tools used for IoT exhibit poor performance results in terms of functionality, scalability, and response time.”</w:t>
      </w:r>
    </w:p>
    <w:p w14:paraId="33BCAE5A" w14:textId="0C4FD22A" w:rsidR="00C45B30" w:rsidRPr="009F620B" w:rsidRDefault="00647EC6" w:rsidP="00804C9D">
      <w:pPr>
        <w:ind w:left="720"/>
        <w:rPr>
          <w:i/>
          <w:iCs/>
        </w:rPr>
      </w:pPr>
      <w:r>
        <w:rPr>
          <w:i/>
          <w:iCs/>
        </w:rPr>
        <w:t xml:space="preserve">“To provide effective uncertainty-aware visualization during the visual analytics </w:t>
      </w:r>
      <w:r w:rsidR="00672648">
        <w:rPr>
          <w:i/>
          <w:iCs/>
        </w:rPr>
        <w:t>process, avoiding uncertainty imposes a considerable challenge. Furthermore, several important issues are addressed, such as (a) visual noise – most data set objects are closely related to one another, and thus, users may perceive different results of the same type; (b) information loss – applying reduction methods to visible data sets can cause information loss; (c) large image observation</w:t>
      </w:r>
      <w:r w:rsidR="00FC0F9A">
        <w:rPr>
          <w:i/>
          <w:iCs/>
        </w:rPr>
        <w:t xml:space="preserve"> – data visualization tools have inherent problems with respect to aspect ratio, devise resolution, and physical perception limits; (d) frequently changing image – users will not notice rapid data changes in an output; and (e) high performance requirements – high performance requirements are imposed because data are generated dynamically in an IoT environment</w:t>
      </w:r>
      <w:r w:rsidR="00DD27C3">
        <w:rPr>
          <w:i/>
          <w:iCs/>
        </w:rPr>
        <w:t>.”</w:t>
      </w:r>
      <w:r w:rsidR="00C45B30">
        <w:rPr>
          <w:i/>
          <w:iCs/>
        </w:rPr>
        <w:t xml:space="preserve"> </w:t>
      </w:r>
    </w:p>
    <w:p w14:paraId="5D1E76EE" w14:textId="689CA012" w:rsidR="00AE049A" w:rsidRDefault="00AE049A" w:rsidP="00512DDD">
      <w:r>
        <w:t xml:space="preserve">U.S. Department of Education (2011). “Data Security and Management Training: Best </w:t>
      </w:r>
    </w:p>
    <w:p w14:paraId="54F40326" w14:textId="77777777" w:rsidR="00AE049A" w:rsidRDefault="00AE049A" w:rsidP="00AE049A">
      <w:pPr>
        <w:ind w:left="720"/>
      </w:pPr>
      <w:r>
        <w:t xml:space="preserve">Practice Considerations.” </w:t>
      </w:r>
      <w:r>
        <w:rPr>
          <w:i/>
          <w:iCs/>
        </w:rPr>
        <w:t xml:space="preserve">U.S. Department of Education. </w:t>
      </w:r>
      <w:r>
        <w:t xml:space="preserve">Retrieved September 4, </w:t>
      </w:r>
    </w:p>
    <w:p w14:paraId="4BEEFBF8" w14:textId="209E4F6E" w:rsidR="00AE049A" w:rsidRDefault="00AE049A" w:rsidP="00AE049A">
      <w:pPr>
        <w:ind w:left="720"/>
      </w:pPr>
      <w:r>
        <w:t>2025, from https://studentprivacy.ed.gov/resources/data-security-and-</w:t>
      </w:r>
    </w:p>
    <w:p w14:paraId="64E22BFF" w14:textId="3029BAC6" w:rsidR="00AE049A" w:rsidRDefault="00AE049A" w:rsidP="00AE049A">
      <w:pPr>
        <w:ind w:left="720"/>
      </w:pPr>
      <w:r w:rsidRPr="00AE049A">
        <w:t>management-training-best-practice-considerations</w:t>
      </w:r>
    </w:p>
    <w:p w14:paraId="67DAC951" w14:textId="7D006B6B" w:rsidR="00FF2EF8" w:rsidRDefault="00FF2EF8" w:rsidP="00AE049A">
      <w:pPr>
        <w:ind w:left="720"/>
        <w:rPr>
          <w:b/>
          <w:bCs/>
        </w:rPr>
      </w:pPr>
      <w:r>
        <w:rPr>
          <w:b/>
          <w:bCs/>
        </w:rPr>
        <w:t>Outlines the best practices for data security in educational settings. It serves as a practical guide for developing the secure data handling protocols you need and complements the formal FERPA guidelines</w:t>
      </w:r>
    </w:p>
    <w:p w14:paraId="795DA2C8" w14:textId="761AE246" w:rsidR="00F94CD2" w:rsidRDefault="00025250" w:rsidP="00AE049A">
      <w:pPr>
        <w:ind w:left="720"/>
        <w:rPr>
          <w:i/>
          <w:iCs/>
        </w:rPr>
      </w:pPr>
      <w:r>
        <w:rPr>
          <w:i/>
          <w:iCs/>
        </w:rPr>
        <w:t>Best Practice concepts that should be addressed in a security program include:</w:t>
      </w:r>
    </w:p>
    <w:p w14:paraId="1F9E85B5" w14:textId="0B900941" w:rsidR="00025250" w:rsidRDefault="00025250" w:rsidP="00AE049A">
      <w:pPr>
        <w:ind w:left="720"/>
        <w:rPr>
          <w:i/>
          <w:iCs/>
        </w:rPr>
      </w:pPr>
      <w:r>
        <w:rPr>
          <w:i/>
          <w:iCs/>
        </w:rPr>
        <w:t>- Awareness first, and then training</w:t>
      </w:r>
    </w:p>
    <w:p w14:paraId="6B098762" w14:textId="7D6B073C" w:rsidR="00025250" w:rsidRDefault="00025250" w:rsidP="00AE049A">
      <w:pPr>
        <w:ind w:left="720"/>
        <w:rPr>
          <w:i/>
          <w:iCs/>
        </w:rPr>
      </w:pPr>
      <w:r>
        <w:rPr>
          <w:i/>
          <w:iCs/>
        </w:rPr>
        <w:t>- Make sure all employees are trained</w:t>
      </w:r>
    </w:p>
    <w:p w14:paraId="6DAF22A0" w14:textId="1DAB83AB" w:rsidR="00025250" w:rsidRDefault="00025250" w:rsidP="00AE049A">
      <w:pPr>
        <w:ind w:left="720"/>
        <w:rPr>
          <w:i/>
          <w:iCs/>
        </w:rPr>
      </w:pPr>
      <w:r>
        <w:rPr>
          <w:i/>
          <w:iCs/>
        </w:rPr>
        <w:t>- Integrate data security training within the context of broader employee education efforts</w:t>
      </w:r>
    </w:p>
    <w:p w14:paraId="50A6028C" w14:textId="47A9D188" w:rsidR="00025250" w:rsidRDefault="00025250" w:rsidP="00AE049A">
      <w:pPr>
        <w:ind w:left="720"/>
        <w:rPr>
          <w:i/>
          <w:iCs/>
        </w:rPr>
      </w:pPr>
      <w:r>
        <w:rPr>
          <w:i/>
          <w:iCs/>
        </w:rPr>
        <w:t>- Develop role-based training courses</w:t>
      </w:r>
    </w:p>
    <w:p w14:paraId="772DEED3" w14:textId="4875370D" w:rsidR="00025250" w:rsidRDefault="00025250" w:rsidP="00AE049A">
      <w:pPr>
        <w:ind w:left="720"/>
        <w:rPr>
          <w:i/>
          <w:iCs/>
        </w:rPr>
      </w:pPr>
      <w:r>
        <w:rPr>
          <w:i/>
          <w:iCs/>
        </w:rPr>
        <w:lastRenderedPageBreak/>
        <w:t>- Incorporate breach detection and escalation in training</w:t>
      </w:r>
    </w:p>
    <w:p w14:paraId="167C675C" w14:textId="7D4632C8" w:rsidR="00025250" w:rsidRDefault="00025250" w:rsidP="00AE049A">
      <w:pPr>
        <w:ind w:left="720"/>
        <w:rPr>
          <w:i/>
          <w:iCs/>
        </w:rPr>
      </w:pPr>
      <w:r>
        <w:rPr>
          <w:i/>
          <w:iCs/>
        </w:rPr>
        <w:t>- Include data security messages in all employee communication channels</w:t>
      </w:r>
    </w:p>
    <w:p w14:paraId="56AFAE88" w14:textId="66992265" w:rsidR="00025250" w:rsidRPr="00F94CD2" w:rsidRDefault="00025250" w:rsidP="00AE049A">
      <w:pPr>
        <w:ind w:left="720"/>
        <w:rPr>
          <w:i/>
          <w:iCs/>
        </w:rPr>
      </w:pPr>
      <w:r>
        <w:rPr>
          <w:i/>
          <w:iCs/>
        </w:rPr>
        <w:t>- Create a culture of security in the organization</w:t>
      </w:r>
    </w:p>
    <w:p w14:paraId="51A49202" w14:textId="3A40D96E" w:rsidR="00512DDD" w:rsidRDefault="00512DDD" w:rsidP="00512DDD">
      <w:r>
        <w:t xml:space="preserve">U.S. Department of Education (2014). “Family Educational Rights and Privacy Act (FERPA).” </w:t>
      </w:r>
    </w:p>
    <w:p w14:paraId="6DE975AD" w14:textId="1A67206E" w:rsidR="00512DDD" w:rsidRDefault="00512DDD" w:rsidP="00512DDD">
      <w:pPr>
        <w:ind w:left="720"/>
      </w:pPr>
      <w:r>
        <w:rPr>
          <w:i/>
          <w:iCs/>
        </w:rPr>
        <w:t xml:space="preserve">U.S. Department of Education. </w:t>
      </w:r>
      <w:r>
        <w:t>Retrieved September 4, 2025</w:t>
      </w:r>
      <w:r w:rsidR="006C39D7">
        <w:t>,</w:t>
      </w:r>
      <w:r>
        <w:t xml:space="preserve"> from </w:t>
      </w:r>
    </w:p>
    <w:p w14:paraId="314E2310" w14:textId="02DE3651" w:rsidR="00512DDD" w:rsidRDefault="00512DDD" w:rsidP="00512DDD">
      <w:pPr>
        <w:ind w:left="720"/>
      </w:pPr>
      <w:r>
        <w:t>https://studentprivacy.ed.gov/resources/family-educational-rights-and-privacy-act-</w:t>
      </w:r>
    </w:p>
    <w:p w14:paraId="0C7DB9D2" w14:textId="30546908" w:rsidR="00512DDD" w:rsidRDefault="00512DDD" w:rsidP="00512DDD">
      <w:pPr>
        <w:ind w:left="720"/>
      </w:pPr>
      <w:r w:rsidRPr="00512DDD">
        <w:t>guidance-sharing-information-community-based</w:t>
      </w:r>
    </w:p>
    <w:p w14:paraId="673CB09B" w14:textId="614B3DF5" w:rsidR="00956DEC" w:rsidRDefault="00956DEC" w:rsidP="00956DEC">
      <w:pPr>
        <w:ind w:left="720"/>
        <w:rPr>
          <w:b/>
          <w:bCs/>
        </w:rPr>
      </w:pPr>
      <w:r>
        <w:rPr>
          <w:b/>
          <w:bCs/>
        </w:rPr>
        <w:t>Primary source document for FERPA guidelines. Understanding the federal regulations ensures legal compliance when handling any data that could be linked to students. Forms the foundation of secure data handling protocols.</w:t>
      </w:r>
    </w:p>
    <w:p w14:paraId="19900879" w14:textId="02AC1A8F" w:rsidR="00025250" w:rsidRDefault="007F0239" w:rsidP="00902CC9">
      <w:pPr>
        <w:ind w:left="720"/>
        <w:rPr>
          <w:i/>
          <w:iCs/>
        </w:rPr>
      </w:pPr>
      <w:r w:rsidRPr="00902CC9">
        <w:rPr>
          <w:i/>
          <w:iCs/>
          <w:u w:val="single"/>
        </w:rPr>
        <w:t>What is FERPA?</w:t>
      </w:r>
      <w:r>
        <w:rPr>
          <w:i/>
          <w:iCs/>
        </w:rPr>
        <w:t xml:space="preserve"> </w:t>
      </w:r>
      <w:r w:rsidR="00902CC9" w:rsidRPr="00902CC9">
        <w:rPr>
          <w:i/>
          <w:iCs/>
        </w:rPr>
        <w:t>Federal law that protects the privacy of student education records and gives</w:t>
      </w:r>
      <w:r w:rsidR="00902CC9">
        <w:rPr>
          <w:i/>
          <w:iCs/>
        </w:rPr>
        <w:t xml:space="preserve"> </w:t>
      </w:r>
      <w:r w:rsidR="00902CC9" w:rsidRPr="00902CC9">
        <w:rPr>
          <w:i/>
          <w:iCs/>
        </w:rPr>
        <w:t>parents certain rights with respect to their children’s education records, including the</w:t>
      </w:r>
      <w:r w:rsidR="00902CC9">
        <w:rPr>
          <w:i/>
          <w:iCs/>
        </w:rPr>
        <w:t xml:space="preserve"> </w:t>
      </w:r>
      <w:r w:rsidR="00902CC9" w:rsidRPr="00902CC9">
        <w:rPr>
          <w:i/>
          <w:iCs/>
        </w:rPr>
        <w:t>right to inspect and review them</w:t>
      </w:r>
      <w:r w:rsidR="00902CC9">
        <w:rPr>
          <w:i/>
          <w:iCs/>
        </w:rPr>
        <w:t>.</w:t>
      </w:r>
    </w:p>
    <w:p w14:paraId="154E5330" w14:textId="48A3DF38" w:rsidR="00902CC9" w:rsidRDefault="00902CC9" w:rsidP="00902CC9">
      <w:pPr>
        <w:ind w:left="720"/>
        <w:rPr>
          <w:i/>
          <w:iCs/>
        </w:rPr>
      </w:pPr>
      <w:r>
        <w:rPr>
          <w:i/>
          <w:iCs/>
          <w:u w:val="single"/>
        </w:rPr>
        <w:t>What are Education Records?</w:t>
      </w:r>
      <w:r>
        <w:rPr>
          <w:i/>
          <w:iCs/>
        </w:rPr>
        <w:t xml:space="preserve"> </w:t>
      </w:r>
      <w:r w:rsidRPr="00902CC9">
        <w:rPr>
          <w:i/>
          <w:iCs/>
        </w:rPr>
        <w:t>defined as those records that are: (1) directly related to a</w:t>
      </w:r>
      <w:r>
        <w:rPr>
          <w:i/>
          <w:iCs/>
        </w:rPr>
        <w:t xml:space="preserve"> </w:t>
      </w:r>
      <w:r w:rsidRPr="00902CC9">
        <w:rPr>
          <w:i/>
          <w:iCs/>
        </w:rPr>
        <w:t>student; and (2) maintained by an educational agency or institution, or by a party acting</w:t>
      </w:r>
      <w:r>
        <w:rPr>
          <w:i/>
          <w:iCs/>
        </w:rPr>
        <w:t xml:space="preserve"> </w:t>
      </w:r>
      <w:r w:rsidRPr="00902CC9">
        <w:rPr>
          <w:i/>
          <w:iCs/>
        </w:rPr>
        <w:t>for the agency or institution</w:t>
      </w:r>
      <w:r>
        <w:rPr>
          <w:i/>
          <w:iCs/>
        </w:rPr>
        <w:t>.</w:t>
      </w:r>
    </w:p>
    <w:p w14:paraId="007A20A9" w14:textId="33A79391" w:rsidR="00902CC9" w:rsidRPr="007F0239" w:rsidRDefault="00902CC9" w:rsidP="00E42871">
      <w:pPr>
        <w:ind w:left="720"/>
        <w:rPr>
          <w:i/>
          <w:iCs/>
        </w:rPr>
      </w:pPr>
      <w:r>
        <w:rPr>
          <w:i/>
          <w:iCs/>
          <w:u w:val="single"/>
        </w:rPr>
        <w:t>What is “personally identifiable information”?</w:t>
      </w:r>
      <w:r>
        <w:rPr>
          <w:i/>
          <w:iCs/>
        </w:rPr>
        <w:t xml:space="preserve"> </w:t>
      </w:r>
      <w:r w:rsidR="00E42871">
        <w:rPr>
          <w:i/>
          <w:iCs/>
        </w:rPr>
        <w:t>O</w:t>
      </w:r>
      <w:r w:rsidRPr="00902CC9">
        <w:rPr>
          <w:i/>
          <w:iCs/>
        </w:rPr>
        <w:t>ther information that, alone or in combination, is linked</w:t>
      </w:r>
      <w:r>
        <w:rPr>
          <w:i/>
          <w:iCs/>
        </w:rPr>
        <w:t xml:space="preserve"> </w:t>
      </w:r>
      <w:r w:rsidRPr="00902CC9">
        <w:rPr>
          <w:i/>
          <w:iCs/>
        </w:rPr>
        <w:t>or linkable to a specific student that would allow a reasonable person in the school</w:t>
      </w:r>
      <w:r>
        <w:rPr>
          <w:i/>
          <w:iCs/>
        </w:rPr>
        <w:t xml:space="preserve"> </w:t>
      </w:r>
      <w:r w:rsidRPr="00902CC9">
        <w:rPr>
          <w:i/>
          <w:iCs/>
        </w:rPr>
        <w:t>community, who does not have personal knowledge of the relevant circumstances, to</w:t>
      </w:r>
      <w:r w:rsidR="00E42871">
        <w:rPr>
          <w:i/>
          <w:iCs/>
        </w:rPr>
        <w:t xml:space="preserve"> </w:t>
      </w:r>
      <w:r w:rsidRPr="00902CC9">
        <w:rPr>
          <w:i/>
          <w:iCs/>
        </w:rPr>
        <w:t>identify the student with reasonable certainty. In some cases, there may not even be a</w:t>
      </w:r>
      <w:r w:rsidR="00E42871">
        <w:rPr>
          <w:i/>
          <w:iCs/>
        </w:rPr>
        <w:t xml:space="preserve"> </w:t>
      </w:r>
      <w:r w:rsidRPr="00902CC9">
        <w:rPr>
          <w:i/>
          <w:iCs/>
        </w:rPr>
        <w:t>direct or even an indirect identifier in an education record, but, for example, because of</w:t>
      </w:r>
      <w:r w:rsidR="00E42871">
        <w:rPr>
          <w:i/>
          <w:iCs/>
        </w:rPr>
        <w:t xml:space="preserve"> </w:t>
      </w:r>
      <w:r w:rsidRPr="00902CC9">
        <w:rPr>
          <w:i/>
          <w:iCs/>
        </w:rPr>
        <w:t>publicity, if the school disclosed the education record, even redacted, the school may</w:t>
      </w:r>
      <w:r w:rsidR="00E42871">
        <w:rPr>
          <w:i/>
          <w:iCs/>
        </w:rPr>
        <w:t xml:space="preserve"> </w:t>
      </w:r>
      <w:r w:rsidRPr="00902CC9">
        <w:rPr>
          <w:i/>
          <w:iCs/>
        </w:rPr>
        <w:t>have disclosed PII in violation of FERPA</w:t>
      </w:r>
    </w:p>
    <w:p w14:paraId="3249817F" w14:textId="2ABF4699" w:rsidR="00D87222" w:rsidRDefault="00D87222" w:rsidP="00D87222">
      <w:proofErr w:type="spellStart"/>
      <w:r>
        <w:t>Boonchieng</w:t>
      </w:r>
      <w:proofErr w:type="spellEnd"/>
      <w:r>
        <w:t xml:space="preserve">, W., et al. (2023). “Development of a School-based Intervention Program for </w:t>
      </w:r>
    </w:p>
    <w:p w14:paraId="797BACE3" w14:textId="77777777" w:rsidR="006F0B14" w:rsidRDefault="00D87222" w:rsidP="00D87222">
      <w:pPr>
        <w:ind w:firstLine="720"/>
        <w:rPr>
          <w:i/>
          <w:iCs/>
        </w:rPr>
      </w:pPr>
      <w:r>
        <w:t xml:space="preserve">Waste Management in a Rural School in Northern Thailand.” </w:t>
      </w:r>
      <w:r w:rsidR="006F0B14">
        <w:rPr>
          <w:i/>
          <w:iCs/>
        </w:rPr>
        <w:t xml:space="preserve">The Open Public Health </w:t>
      </w:r>
    </w:p>
    <w:p w14:paraId="7A369421" w14:textId="77777777" w:rsidR="006F0B14" w:rsidRDefault="006F0B14" w:rsidP="00D87222">
      <w:pPr>
        <w:ind w:firstLine="720"/>
      </w:pPr>
      <w:r>
        <w:rPr>
          <w:i/>
          <w:iCs/>
        </w:rPr>
        <w:t xml:space="preserve">Journal. </w:t>
      </w:r>
      <w:r>
        <w:t xml:space="preserve">Retrieved September 5, 2025, from </w:t>
      </w:r>
    </w:p>
    <w:p w14:paraId="60192659" w14:textId="207E2D7A" w:rsidR="00D87222" w:rsidRDefault="006F0B14" w:rsidP="00C12757">
      <w:pPr>
        <w:ind w:firstLine="720"/>
      </w:pPr>
      <w:r w:rsidRPr="006F0B14">
        <w:t>https://openpublichealthjournal.com/VOLUME/16/ELOCATOR/e187494452307180/</w:t>
      </w:r>
    </w:p>
    <w:p w14:paraId="1F21B29B" w14:textId="77777777" w:rsidR="00597061" w:rsidRDefault="00597061" w:rsidP="00C12757">
      <w:pPr>
        <w:rPr>
          <w:b/>
          <w:bCs/>
        </w:rPr>
      </w:pPr>
      <w:r>
        <w:tab/>
      </w:r>
      <w:r>
        <w:rPr>
          <w:b/>
          <w:bCs/>
        </w:rPr>
        <w:t xml:space="preserve">Tells how data was collected, handled, and used to track outcomes – gives a </w:t>
      </w:r>
    </w:p>
    <w:p w14:paraId="0C6A9B63" w14:textId="4A6BA83B" w:rsidR="00597061" w:rsidRPr="00597061" w:rsidRDefault="00597061" w:rsidP="00597061">
      <w:pPr>
        <w:ind w:firstLine="720"/>
        <w:rPr>
          <w:b/>
          <w:bCs/>
        </w:rPr>
      </w:pPr>
      <w:r>
        <w:rPr>
          <w:b/>
          <w:bCs/>
        </w:rPr>
        <w:t>framework for UI dashboarding</w:t>
      </w:r>
    </w:p>
    <w:p w14:paraId="6F31AF4B" w14:textId="40C2CE21" w:rsidR="00C12757" w:rsidRDefault="00C12757" w:rsidP="00C12757">
      <w:r>
        <w:lastRenderedPageBreak/>
        <w:t xml:space="preserve">Boyle, C. S. (2023). “Designing A Comprehensive Waste Management Plan For K-12 Public </w:t>
      </w:r>
    </w:p>
    <w:p w14:paraId="0922DC3C" w14:textId="77777777" w:rsidR="00C12757" w:rsidRDefault="00C12757" w:rsidP="00C12757">
      <w:pPr>
        <w:ind w:firstLine="720"/>
        <w:rPr>
          <w:i/>
          <w:iCs/>
        </w:rPr>
      </w:pPr>
      <w:r>
        <w:t xml:space="preserve">School Systems: Ridgefield High School Zero-Waste Initiative Case Study.” </w:t>
      </w:r>
      <w:r>
        <w:rPr>
          <w:i/>
          <w:iCs/>
        </w:rPr>
        <w:t xml:space="preserve">Fordham </w:t>
      </w:r>
    </w:p>
    <w:p w14:paraId="7821DC50" w14:textId="77777777" w:rsidR="00C12757" w:rsidRDefault="00C12757" w:rsidP="00C12757">
      <w:pPr>
        <w:ind w:firstLine="720"/>
      </w:pPr>
      <w:r>
        <w:rPr>
          <w:i/>
          <w:iCs/>
        </w:rPr>
        <w:t>University.</w:t>
      </w:r>
      <w:r>
        <w:t xml:space="preserve"> Retrieved September 5, 2025, from </w:t>
      </w:r>
    </w:p>
    <w:p w14:paraId="6BC995E9" w14:textId="548E74C0" w:rsidR="00C12757" w:rsidRDefault="00C12757" w:rsidP="00C12757">
      <w:pPr>
        <w:ind w:firstLine="720"/>
      </w:pPr>
      <w:r w:rsidRPr="00C12757">
        <w:t>https://research.library.fordham.edu/environ_2015/136/</w:t>
      </w:r>
    </w:p>
    <w:p w14:paraId="06D5524B" w14:textId="77777777" w:rsidR="00597061" w:rsidRDefault="00597061" w:rsidP="00C12757">
      <w:pPr>
        <w:ind w:firstLine="720"/>
        <w:rPr>
          <w:b/>
          <w:bCs/>
        </w:rPr>
      </w:pPr>
      <w:r>
        <w:rPr>
          <w:b/>
          <w:bCs/>
        </w:rPr>
        <w:t xml:space="preserve">Grounds UI in narrative plus with tangible numbers, could serve as a template </w:t>
      </w:r>
    </w:p>
    <w:p w14:paraId="16ED057B" w14:textId="6933E497" w:rsidR="00597061" w:rsidRDefault="00597061" w:rsidP="00C12757">
      <w:pPr>
        <w:ind w:firstLine="720"/>
        <w:rPr>
          <w:b/>
          <w:bCs/>
        </w:rPr>
      </w:pPr>
      <w:r>
        <w:rPr>
          <w:b/>
          <w:bCs/>
        </w:rPr>
        <w:t>for combining charts and timeline</w:t>
      </w:r>
    </w:p>
    <w:p w14:paraId="63840E6B" w14:textId="77777777" w:rsidR="002911F6" w:rsidRDefault="002911F6" w:rsidP="002911F6">
      <w:pPr>
        <w:rPr>
          <w:i/>
          <w:iCs/>
        </w:rPr>
      </w:pPr>
      <w:proofErr w:type="spellStart"/>
      <w:r>
        <w:t>Mertenat</w:t>
      </w:r>
      <w:proofErr w:type="spellEnd"/>
      <w:r>
        <w:t xml:space="preserve">, A., </w:t>
      </w:r>
      <w:proofErr w:type="spellStart"/>
      <w:r>
        <w:t>Zurbr</w:t>
      </w:r>
      <w:r w:rsidRPr="002911F6">
        <w:t>ügg</w:t>
      </w:r>
      <w:proofErr w:type="spellEnd"/>
      <w:r>
        <w:t xml:space="preserve">, C. (2023). “Planning For Zero-Waste </w:t>
      </w:r>
      <w:proofErr w:type="gramStart"/>
      <w:r>
        <w:t>At</w:t>
      </w:r>
      <w:proofErr w:type="gramEnd"/>
      <w:r>
        <w:t xml:space="preserve"> Schools – A toolkit.” </w:t>
      </w:r>
      <w:proofErr w:type="spellStart"/>
      <w:r>
        <w:rPr>
          <w:i/>
          <w:iCs/>
        </w:rPr>
        <w:t>Eawag</w:t>
      </w:r>
      <w:proofErr w:type="spellEnd"/>
      <w:r>
        <w:rPr>
          <w:i/>
          <w:iCs/>
        </w:rPr>
        <w:t xml:space="preserve"> </w:t>
      </w:r>
    </w:p>
    <w:p w14:paraId="79C4900D" w14:textId="77777777" w:rsidR="002911F6" w:rsidRDefault="002911F6" w:rsidP="002911F6">
      <w:pPr>
        <w:ind w:firstLine="720"/>
        <w:rPr>
          <w:i/>
          <w:iCs/>
        </w:rPr>
      </w:pPr>
      <w:r>
        <w:rPr>
          <w:i/>
          <w:iCs/>
        </w:rPr>
        <w:t xml:space="preserve">Aquatic Research. </w:t>
      </w:r>
    </w:p>
    <w:p w14:paraId="4A584267" w14:textId="77777777" w:rsidR="002911F6" w:rsidRPr="002911F6" w:rsidRDefault="002911F6" w:rsidP="002911F6">
      <w:pPr>
        <w:ind w:firstLine="720"/>
      </w:pPr>
      <w:r w:rsidRPr="002911F6">
        <w:t>https://www.eawag.ch/fileadmin/Domain1/Abteilungen/sandec/publikationen/SW</w:t>
      </w:r>
    </w:p>
    <w:p w14:paraId="687D10EF" w14:textId="7175AC19" w:rsidR="002911F6" w:rsidRPr="002911F6" w:rsidRDefault="002911F6" w:rsidP="002911F6">
      <w:pPr>
        <w:ind w:firstLine="720"/>
      </w:pPr>
      <w:r w:rsidRPr="002911F6">
        <w:t>M/</w:t>
      </w:r>
      <w:proofErr w:type="spellStart"/>
      <w:r w:rsidRPr="002911F6">
        <w:t>Zero_Waste</w:t>
      </w:r>
      <w:proofErr w:type="spellEnd"/>
      <w:r w:rsidRPr="002911F6">
        <w:t>/Toolkit/Complete_Toolkit.pdf</w:t>
      </w:r>
    </w:p>
    <w:p w14:paraId="4E348516" w14:textId="0F2FEC80" w:rsidR="002911F6" w:rsidRDefault="002911F6" w:rsidP="002911F6">
      <w:pPr>
        <w:ind w:firstLine="720"/>
        <w:rPr>
          <w:b/>
          <w:bCs/>
        </w:rPr>
      </w:pPr>
      <w:r>
        <w:rPr>
          <w:b/>
          <w:bCs/>
        </w:rPr>
        <w:t>Provides guidance on how to present, contextualize, and layer data</w:t>
      </w:r>
    </w:p>
    <w:p w14:paraId="4DF6397E" w14:textId="60A27B30" w:rsidR="00F6656D" w:rsidRDefault="00F6656D" w:rsidP="00F6656D">
      <w:pPr>
        <w:ind w:left="720"/>
        <w:rPr>
          <w:i/>
          <w:iCs/>
        </w:rPr>
      </w:pPr>
      <w:r>
        <w:rPr>
          <w:i/>
          <w:iCs/>
        </w:rPr>
        <w:t xml:space="preserve">“Applying [the waste management hierarchy] concept at school level, this translates into innovative school policies regarding use and consumption of materials at the school (e.g. by limiting/prohibiting the use of single-use items, reducing food waste, etc.), making sure to stop harmful practices for the environment, </w:t>
      </w:r>
      <w:proofErr w:type="gramStart"/>
      <w:r>
        <w:rPr>
          <w:i/>
          <w:iCs/>
        </w:rPr>
        <w:t>… ,</w:t>
      </w:r>
      <w:proofErr w:type="gramEnd"/>
      <w:r>
        <w:rPr>
          <w:i/>
          <w:iCs/>
        </w:rPr>
        <w:t xml:space="preserve"> while fostering recycling practices</w:t>
      </w:r>
      <w:r w:rsidR="00433F1B">
        <w:rPr>
          <w:i/>
          <w:iCs/>
        </w:rPr>
        <w:t>.”</w:t>
      </w:r>
    </w:p>
    <w:p w14:paraId="6F16BA7A" w14:textId="71396BFB" w:rsidR="00C4029F" w:rsidRPr="00F6656D" w:rsidRDefault="00C4029F" w:rsidP="00F6656D">
      <w:pPr>
        <w:ind w:left="720"/>
        <w:rPr>
          <w:i/>
          <w:iCs/>
        </w:rPr>
      </w:pPr>
      <w:r>
        <w:rPr>
          <w:i/>
          <w:iCs/>
        </w:rPr>
        <w:t xml:space="preserve">“An assessment always generates a lot of data. Yet, tools exist to visualize your data and help you transform data into valuable information. The way you present your data depends on: Who your audience is, as presentation style and visuals must be neat, clear, and tailored to the needs of your audience; What information you want to highlight, as different tools exist to convey different types of information. Among the many visualization tools available, the most useful to present waste related data </w:t>
      </w:r>
      <w:proofErr w:type="gramStart"/>
      <w:r>
        <w:rPr>
          <w:i/>
          <w:iCs/>
        </w:rPr>
        <w:t>include:</w:t>
      </w:r>
      <w:proofErr w:type="gramEnd"/>
      <w:r>
        <w:rPr>
          <w:i/>
          <w:iCs/>
        </w:rPr>
        <w:t xml:space="preserve"> Pie, Bar, Stacked Bar charts: Helps representing percentages and frequency of a given answer</w:t>
      </w:r>
      <w:r w:rsidR="00EB160F">
        <w:rPr>
          <w:i/>
          <w:iCs/>
        </w:rPr>
        <w:t>; Material Flow charts and Sankey Diagram: Helps representing what happens to the waste; and Traffic Light systems: Helps identifying what works well and what does not work well”</w:t>
      </w:r>
    </w:p>
    <w:p w14:paraId="6ECC7611" w14:textId="77777777" w:rsidR="00A82B61" w:rsidRDefault="00A82B61" w:rsidP="00A82B61">
      <w:r>
        <w:t xml:space="preserve">Crudu, A., et al. (2025). “Powerful Strategies and Tools for Successful Visualization of </w:t>
      </w:r>
    </w:p>
    <w:p w14:paraId="377B1C3A" w14:textId="77777777" w:rsidR="00A82B61" w:rsidRDefault="00A82B61" w:rsidP="00A82B61">
      <w:pPr>
        <w:ind w:firstLine="720"/>
      </w:pPr>
      <w:r>
        <w:t xml:space="preserve">Waste Data Insights.” </w:t>
      </w:r>
      <w:proofErr w:type="spellStart"/>
      <w:r>
        <w:rPr>
          <w:i/>
          <w:iCs/>
        </w:rPr>
        <w:t>MoldStud</w:t>
      </w:r>
      <w:proofErr w:type="spellEnd"/>
      <w:r>
        <w:rPr>
          <w:i/>
          <w:iCs/>
        </w:rPr>
        <w:t xml:space="preserve">. </w:t>
      </w:r>
      <w:r>
        <w:t xml:space="preserve">Retrieved September 6, 2025, from </w:t>
      </w:r>
    </w:p>
    <w:p w14:paraId="05400F5F" w14:textId="77777777" w:rsidR="00A82B61" w:rsidRDefault="00A82B61" w:rsidP="00A82B61">
      <w:pPr>
        <w:ind w:firstLine="720"/>
      </w:pPr>
      <w:r w:rsidRPr="00A82B61">
        <w:t>https://moldstud.com/articles/p-powerful-strategies-and-tools-for-successful-</w:t>
      </w:r>
    </w:p>
    <w:p w14:paraId="08F0D800" w14:textId="7D356A68" w:rsidR="00A82B61" w:rsidRDefault="00A82B61" w:rsidP="00A82B61">
      <w:pPr>
        <w:ind w:firstLine="720"/>
      </w:pPr>
      <w:r w:rsidRPr="00A82B61">
        <w:t>visualization-of-waste-data-insights</w:t>
      </w:r>
    </w:p>
    <w:p w14:paraId="4D2CB0A6" w14:textId="3830FF45" w:rsidR="00A82B61" w:rsidRDefault="00A82B61" w:rsidP="00A82B61">
      <w:pPr>
        <w:ind w:firstLine="720"/>
        <w:rPr>
          <w:b/>
          <w:bCs/>
        </w:rPr>
      </w:pPr>
      <w:r>
        <w:rPr>
          <w:b/>
          <w:bCs/>
        </w:rPr>
        <w:lastRenderedPageBreak/>
        <w:t>Outlines visualization approaches tailored to waste datasets</w:t>
      </w:r>
    </w:p>
    <w:p w14:paraId="7FECB8E1" w14:textId="1A87BF4A" w:rsidR="002C69BD" w:rsidRPr="002C69BD" w:rsidRDefault="002C69BD" w:rsidP="002C69BD">
      <w:pPr>
        <w:ind w:left="720"/>
        <w:rPr>
          <w:i/>
          <w:iCs/>
          <w:color w:val="000000" w:themeColor="text1"/>
          <w:shd w:val="clear" w:color="auto" w:fill="FFFFFF"/>
        </w:rPr>
      </w:pPr>
      <w:r w:rsidRPr="002C69BD">
        <w:rPr>
          <w:i/>
          <w:iCs/>
          <w:color w:val="000000" w:themeColor="text1"/>
        </w:rPr>
        <w:t>“</w:t>
      </w:r>
      <w:r w:rsidRPr="002C69BD">
        <w:rPr>
          <w:i/>
          <w:iCs/>
          <w:color w:val="000000" w:themeColor="text1"/>
          <w:shd w:val="clear" w:color="auto" w:fill="FFFFFF"/>
        </w:rPr>
        <w:t>Notably, the use of graphical representations not only enhances comprehension but can also drive accountability among teams. When members visualize the impact of their actions on waste management, it fosters a sense of ownership. Research indicates that organizations employing strong visual metrics can improve operational efficiencies by 24%</w:t>
      </w:r>
      <w:r w:rsidRPr="002C69BD">
        <w:rPr>
          <w:i/>
          <w:iCs/>
          <w:color w:val="000000" w:themeColor="text1"/>
          <w:shd w:val="clear" w:color="auto" w:fill="FFFFFF"/>
        </w:rPr>
        <w:t>”</w:t>
      </w:r>
    </w:p>
    <w:p w14:paraId="51B6DA8A" w14:textId="712459A5" w:rsidR="002C69BD" w:rsidRDefault="002C69BD" w:rsidP="002C69BD">
      <w:pPr>
        <w:ind w:left="720"/>
        <w:rPr>
          <w:i/>
          <w:iCs/>
        </w:rPr>
      </w:pPr>
      <w:r w:rsidRPr="002C69BD">
        <w:rPr>
          <w:i/>
          <w:iCs/>
        </w:rPr>
        <w:t>“</w:t>
      </w:r>
      <w:r w:rsidRPr="002C69BD">
        <w:rPr>
          <w:i/>
          <w:iCs/>
        </w:rPr>
        <w:t>Ultimately, the clearer the information is presented, the more capable organizations become in addressing waste challenges. Adopting innovative representations not only simplifies complexity but also inspires action. With the right approach, stakeholders can unlock a clearer vision of their impact, paving the way for sustainable practices.</w:t>
      </w:r>
      <w:r>
        <w:rPr>
          <w:i/>
          <w:iCs/>
        </w:rPr>
        <w:t>”</w:t>
      </w:r>
    </w:p>
    <w:p w14:paraId="1FB97D32" w14:textId="45023E2C" w:rsidR="002C69BD" w:rsidRDefault="002C69BD" w:rsidP="002C69BD">
      <w:pPr>
        <w:ind w:left="720"/>
        <w:rPr>
          <w:i/>
          <w:iCs/>
        </w:rPr>
      </w:pPr>
      <w:r>
        <w:rPr>
          <w:i/>
          <w:iCs/>
        </w:rPr>
        <w:t>“</w:t>
      </w:r>
      <w:r w:rsidRPr="002C69BD">
        <w:rPr>
          <w:i/>
          <w:iCs/>
        </w:rPr>
        <w:t>Moreover, visual communication helps bridge gaps between technical and non-technical teams. When everyone understands the metrics, collaboration flourishes. It’s not uncommon for departments to work at cross-purposes due to misunderstandings. Effective representations facilitate communication, reducing the likelihood of errors and misinterpretations. This, in turn, allows for a more cohesive approach toward achieving common objectives, which is critical for long-term success.</w:t>
      </w:r>
      <w:r>
        <w:rPr>
          <w:i/>
          <w:iCs/>
        </w:rPr>
        <w:t>”</w:t>
      </w:r>
    </w:p>
    <w:p w14:paraId="1753388A" w14:textId="53720D34" w:rsidR="0011402F" w:rsidRDefault="0011402F" w:rsidP="002C69BD">
      <w:pPr>
        <w:ind w:left="720"/>
        <w:rPr>
          <w:i/>
          <w:iCs/>
        </w:rPr>
      </w:pPr>
      <w:r>
        <w:rPr>
          <w:i/>
          <w:iCs/>
        </w:rPr>
        <w:t>Top Visualization Software</w:t>
      </w:r>
    </w:p>
    <w:p w14:paraId="0805AC7E" w14:textId="49DC0815" w:rsidR="0011402F" w:rsidRPr="0011402F" w:rsidRDefault="0011402F" w:rsidP="0011402F">
      <w:pPr>
        <w:ind w:left="720"/>
        <w:rPr>
          <w:i/>
          <w:iCs/>
        </w:rPr>
      </w:pPr>
      <w:r w:rsidRPr="0011402F">
        <w:rPr>
          <w:i/>
          <w:iCs/>
        </w:rPr>
        <w:t>Tableau stands out as a popular choice among specialists. It offers powerful features that allow for deep dives into analytics. Users can create interactive dashboards and generate reports seamlessly. Its intuitive interface appeals to both technical and non-technical staff.</w:t>
      </w:r>
    </w:p>
    <w:p w14:paraId="78D5369F" w14:textId="192EFA6D" w:rsidR="0011402F" w:rsidRPr="0011402F" w:rsidRDefault="0011402F" w:rsidP="0011402F">
      <w:pPr>
        <w:ind w:left="720"/>
        <w:rPr>
          <w:i/>
          <w:iCs/>
        </w:rPr>
      </w:pPr>
      <w:r w:rsidRPr="0011402F">
        <w:rPr>
          <w:i/>
          <w:iCs/>
        </w:rPr>
        <w:t>Microsoft Power BI is another leading platform. It integrates well with existing Microsoft services, making adoption easier. This software is known for its robust data handling capabilities. Users can visualize their findings through comprehensive charts and graphs.</w:t>
      </w:r>
    </w:p>
    <w:p w14:paraId="011E6300" w14:textId="3A49F78C" w:rsidR="0011402F" w:rsidRPr="0011402F" w:rsidRDefault="0011402F" w:rsidP="0011402F">
      <w:pPr>
        <w:ind w:left="720"/>
        <w:rPr>
          <w:i/>
          <w:iCs/>
        </w:rPr>
      </w:pPr>
      <w:r w:rsidRPr="0011402F">
        <w:rPr>
          <w:i/>
          <w:iCs/>
        </w:rPr>
        <w:t>Qlik Sense provides a unique associative analytics engine. This characteristic makes it possible to uncover hidden connections in data. Its user-friendly design allows for easy exploration and discovery. Professionals can share insights quickly with their teams.</w:t>
      </w:r>
    </w:p>
    <w:p w14:paraId="71169336" w14:textId="05C89B1F" w:rsidR="0011402F" w:rsidRPr="002C69BD" w:rsidRDefault="0011402F" w:rsidP="0011402F">
      <w:pPr>
        <w:ind w:left="720"/>
        <w:rPr>
          <w:i/>
          <w:iCs/>
        </w:rPr>
      </w:pPr>
      <w:r w:rsidRPr="0011402F">
        <w:rPr>
          <w:i/>
          <w:iCs/>
        </w:rPr>
        <w:t xml:space="preserve">Finally, ArcGIS offers mapping capabilities tailored for spatial data analysis. This is essential when tracking waste collection routes. Integrating geographic information </w:t>
      </w:r>
      <w:r w:rsidRPr="0011402F">
        <w:rPr>
          <w:i/>
          <w:iCs/>
        </w:rPr>
        <w:lastRenderedPageBreak/>
        <w:t>can lead to optimized operations. With visual context, decision-makers can identify areas for improvement more efficiently.</w:t>
      </w:r>
    </w:p>
    <w:p w14:paraId="1E7D53A4" w14:textId="07E7F29C" w:rsidR="0011402F" w:rsidRDefault="002B45B7" w:rsidP="00755CE5">
      <w:r>
        <w:t xml:space="preserve">EXTRA - </w:t>
      </w:r>
      <w:r w:rsidR="00755CE5">
        <w:t>FCPS Budgets</w:t>
      </w:r>
      <w:r w:rsidR="0011402F">
        <w:t xml:space="preserve"> - </w:t>
      </w:r>
      <w:r w:rsidR="0011402F" w:rsidRPr="0011402F">
        <w:t>https://www.fcps.edu/about-fcps/budget#budget-documents</w:t>
      </w:r>
    </w:p>
    <w:p w14:paraId="2A1DC0EC" w14:textId="7540386A" w:rsidR="0011402F" w:rsidRDefault="0011402F" w:rsidP="0011402F">
      <w:pPr>
        <w:ind w:left="720"/>
      </w:pPr>
      <w:r>
        <w:t>Looking through the FCPS budgets can help us see how revenues and expenses flow and allows us to recommend actions from our findings based on what the budget was proposed</w:t>
      </w:r>
    </w:p>
    <w:p w14:paraId="6A8A88DA" w14:textId="23DDE8C9" w:rsidR="005241A2" w:rsidRDefault="005241A2" w:rsidP="00755CE5">
      <w:r>
        <w:rPr>
          <w:noProof/>
        </w:rPr>
        <w:drawing>
          <wp:inline distT="0" distB="0" distL="0" distR="0" wp14:anchorId="13382AFC" wp14:editId="2A1154BA">
            <wp:extent cx="5943600" cy="3060700"/>
            <wp:effectExtent l="0" t="0" r="0" b="0"/>
            <wp:docPr id="458196872" name="Picture 3" descr="A close-up of a financial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6872" name="Picture 3" descr="A close-up of a financial statemen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060700"/>
                    </a:xfrm>
                    <a:prstGeom prst="rect">
                      <a:avLst/>
                    </a:prstGeom>
                  </pic:spPr>
                </pic:pic>
              </a:graphicData>
            </a:graphic>
          </wp:inline>
        </w:drawing>
      </w:r>
    </w:p>
    <w:p w14:paraId="2FAD9602" w14:textId="77777777" w:rsidR="0011402F" w:rsidRDefault="0011402F" w:rsidP="00755CE5">
      <w:r>
        <w:rPr>
          <w:noProof/>
        </w:rPr>
        <w:drawing>
          <wp:inline distT="0" distB="0" distL="0" distR="0" wp14:anchorId="06B56807" wp14:editId="319EF1A7">
            <wp:extent cx="5943600" cy="3221355"/>
            <wp:effectExtent l="0" t="0" r="0" b="4445"/>
            <wp:docPr id="445201806" name="Picture 4"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1806" name="Picture 4" descr="A screenshot of a repo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221355"/>
                    </a:xfrm>
                    <a:prstGeom prst="rect">
                      <a:avLst/>
                    </a:prstGeom>
                  </pic:spPr>
                </pic:pic>
              </a:graphicData>
            </a:graphic>
          </wp:inline>
        </w:drawing>
      </w:r>
    </w:p>
    <w:p w14:paraId="2FA3DE30" w14:textId="634B63B5" w:rsidR="00755CE5" w:rsidRDefault="0011402F" w:rsidP="00755CE5">
      <w:r>
        <w:rPr>
          <w:noProof/>
        </w:rPr>
        <w:lastRenderedPageBreak/>
        <w:drawing>
          <wp:inline distT="0" distB="0" distL="0" distR="0" wp14:anchorId="5E3D0E90" wp14:editId="4CB6EC2B">
            <wp:extent cx="5943600" cy="3522980"/>
            <wp:effectExtent l="0" t="0" r="0" b="0"/>
            <wp:docPr id="949079748"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79748" name="Picture 5"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22980"/>
                    </a:xfrm>
                    <a:prstGeom prst="rect">
                      <a:avLst/>
                    </a:prstGeom>
                  </pic:spPr>
                </pic:pic>
              </a:graphicData>
            </a:graphic>
          </wp:inline>
        </w:drawing>
      </w:r>
      <w:r w:rsidR="00755CE5">
        <w:tab/>
      </w:r>
      <w:r w:rsidR="00755CE5">
        <w:rPr>
          <w:noProof/>
        </w:rPr>
        <w:drawing>
          <wp:inline distT="0" distB="0" distL="0" distR="0" wp14:anchorId="33D33223" wp14:editId="14A2F653">
            <wp:extent cx="5943600" cy="2712720"/>
            <wp:effectExtent l="0" t="0" r="0" b="5080"/>
            <wp:docPr id="13888251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5102" name="Picture 1"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712720"/>
                    </a:xfrm>
                    <a:prstGeom prst="rect">
                      <a:avLst/>
                    </a:prstGeom>
                  </pic:spPr>
                </pic:pic>
              </a:graphicData>
            </a:graphic>
          </wp:inline>
        </w:drawing>
      </w:r>
    </w:p>
    <w:p w14:paraId="59E4BFD9" w14:textId="2FBC57EE" w:rsidR="00755CE5" w:rsidRDefault="00755CE5" w:rsidP="00755CE5">
      <w:r>
        <w:rPr>
          <w:noProof/>
        </w:rPr>
        <w:lastRenderedPageBreak/>
        <w:drawing>
          <wp:inline distT="0" distB="0" distL="0" distR="0" wp14:anchorId="67861435" wp14:editId="52DD91C5">
            <wp:extent cx="5943600" cy="2847340"/>
            <wp:effectExtent l="0" t="0" r="0" b="0"/>
            <wp:docPr id="1523135920" name="Picture 2" descr="A close-up of a financi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5920" name="Picture 2" descr="A close-up of a financial repo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p>
    <w:p w14:paraId="1964C383" w14:textId="77777777" w:rsidR="00755CE5" w:rsidRPr="00755CE5" w:rsidRDefault="00755CE5" w:rsidP="00755CE5"/>
    <w:sectPr w:rsidR="00755CE5" w:rsidRPr="00755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4BF"/>
    <w:multiLevelType w:val="hybridMultilevel"/>
    <w:tmpl w:val="872AD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B2F99"/>
    <w:multiLevelType w:val="hybridMultilevel"/>
    <w:tmpl w:val="C93476A8"/>
    <w:lvl w:ilvl="0" w:tplc="CC9868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4607DD"/>
    <w:multiLevelType w:val="hybridMultilevel"/>
    <w:tmpl w:val="BA0E2A3E"/>
    <w:lvl w:ilvl="0" w:tplc="EF7E56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509570">
    <w:abstractNumId w:val="2"/>
  </w:num>
  <w:num w:numId="2" w16cid:durableId="142047755">
    <w:abstractNumId w:val="0"/>
  </w:num>
  <w:num w:numId="3" w16cid:durableId="1638608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05"/>
    <w:rsid w:val="00025250"/>
    <w:rsid w:val="0011402F"/>
    <w:rsid w:val="001925B1"/>
    <w:rsid w:val="001E4F49"/>
    <w:rsid w:val="002911F6"/>
    <w:rsid w:val="002B45B7"/>
    <w:rsid w:val="002C69BD"/>
    <w:rsid w:val="00433F1B"/>
    <w:rsid w:val="00477D4A"/>
    <w:rsid w:val="004940F3"/>
    <w:rsid w:val="00511811"/>
    <w:rsid w:val="00512DDD"/>
    <w:rsid w:val="005241A2"/>
    <w:rsid w:val="005676A0"/>
    <w:rsid w:val="00576DF2"/>
    <w:rsid w:val="00597061"/>
    <w:rsid w:val="005A5B9F"/>
    <w:rsid w:val="005C3905"/>
    <w:rsid w:val="00647EC6"/>
    <w:rsid w:val="00672648"/>
    <w:rsid w:val="006C39D7"/>
    <w:rsid w:val="006F0B14"/>
    <w:rsid w:val="00755CE5"/>
    <w:rsid w:val="007F0239"/>
    <w:rsid w:val="00804C9D"/>
    <w:rsid w:val="00817740"/>
    <w:rsid w:val="008466CC"/>
    <w:rsid w:val="00902CC9"/>
    <w:rsid w:val="0091414A"/>
    <w:rsid w:val="00956DEC"/>
    <w:rsid w:val="00961CE3"/>
    <w:rsid w:val="009F620B"/>
    <w:rsid w:val="00A82B61"/>
    <w:rsid w:val="00A94B4F"/>
    <w:rsid w:val="00AE049A"/>
    <w:rsid w:val="00B479D8"/>
    <w:rsid w:val="00C12757"/>
    <w:rsid w:val="00C4029F"/>
    <w:rsid w:val="00C45B30"/>
    <w:rsid w:val="00D87222"/>
    <w:rsid w:val="00DC7176"/>
    <w:rsid w:val="00DD27C3"/>
    <w:rsid w:val="00E42871"/>
    <w:rsid w:val="00EB160F"/>
    <w:rsid w:val="00F262CD"/>
    <w:rsid w:val="00F6656D"/>
    <w:rsid w:val="00F94CD2"/>
    <w:rsid w:val="00FC0F9A"/>
    <w:rsid w:val="00FF2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0778"/>
  <w15:chartTrackingRefBased/>
  <w15:docId w15:val="{2B8BDE92-7473-467F-87BE-D91F299CF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905"/>
    <w:rPr>
      <w:rFonts w:eastAsiaTheme="majorEastAsia" w:cstheme="majorBidi"/>
      <w:color w:val="272727" w:themeColor="text1" w:themeTint="D8"/>
    </w:rPr>
  </w:style>
  <w:style w:type="paragraph" w:styleId="Title">
    <w:name w:val="Title"/>
    <w:basedOn w:val="Normal"/>
    <w:next w:val="Normal"/>
    <w:link w:val="TitleChar"/>
    <w:uiPriority w:val="10"/>
    <w:qFormat/>
    <w:rsid w:val="005C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905"/>
    <w:pPr>
      <w:spacing w:before="160"/>
      <w:jc w:val="center"/>
    </w:pPr>
    <w:rPr>
      <w:i/>
      <w:iCs/>
      <w:color w:val="404040" w:themeColor="text1" w:themeTint="BF"/>
    </w:rPr>
  </w:style>
  <w:style w:type="character" w:customStyle="1" w:styleId="QuoteChar">
    <w:name w:val="Quote Char"/>
    <w:basedOn w:val="DefaultParagraphFont"/>
    <w:link w:val="Quote"/>
    <w:uiPriority w:val="29"/>
    <w:rsid w:val="005C3905"/>
    <w:rPr>
      <w:i/>
      <w:iCs/>
      <w:color w:val="404040" w:themeColor="text1" w:themeTint="BF"/>
    </w:rPr>
  </w:style>
  <w:style w:type="paragraph" w:styleId="ListParagraph">
    <w:name w:val="List Paragraph"/>
    <w:basedOn w:val="Normal"/>
    <w:uiPriority w:val="34"/>
    <w:qFormat/>
    <w:rsid w:val="005C3905"/>
    <w:pPr>
      <w:ind w:left="720"/>
      <w:contextualSpacing/>
    </w:pPr>
  </w:style>
  <w:style w:type="character" w:styleId="IntenseEmphasis">
    <w:name w:val="Intense Emphasis"/>
    <w:basedOn w:val="DefaultParagraphFont"/>
    <w:uiPriority w:val="21"/>
    <w:qFormat/>
    <w:rsid w:val="005C3905"/>
    <w:rPr>
      <w:i/>
      <w:iCs/>
      <w:color w:val="0F4761" w:themeColor="accent1" w:themeShade="BF"/>
    </w:rPr>
  </w:style>
  <w:style w:type="paragraph" w:styleId="IntenseQuote">
    <w:name w:val="Intense Quote"/>
    <w:basedOn w:val="Normal"/>
    <w:next w:val="Normal"/>
    <w:link w:val="IntenseQuoteChar"/>
    <w:uiPriority w:val="30"/>
    <w:qFormat/>
    <w:rsid w:val="005C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905"/>
    <w:rPr>
      <w:i/>
      <w:iCs/>
      <w:color w:val="0F4761" w:themeColor="accent1" w:themeShade="BF"/>
    </w:rPr>
  </w:style>
  <w:style w:type="character" w:styleId="IntenseReference">
    <w:name w:val="Intense Reference"/>
    <w:basedOn w:val="DefaultParagraphFont"/>
    <w:uiPriority w:val="32"/>
    <w:qFormat/>
    <w:rsid w:val="005C3905"/>
    <w:rPr>
      <w:b/>
      <w:bCs/>
      <w:smallCaps/>
      <w:color w:val="0F4761" w:themeColor="accent1" w:themeShade="BF"/>
      <w:spacing w:val="5"/>
    </w:rPr>
  </w:style>
  <w:style w:type="character" w:styleId="Hyperlink">
    <w:name w:val="Hyperlink"/>
    <w:basedOn w:val="DefaultParagraphFont"/>
    <w:uiPriority w:val="99"/>
    <w:unhideWhenUsed/>
    <w:rsid w:val="00512DDD"/>
    <w:rPr>
      <w:color w:val="467886" w:themeColor="hyperlink"/>
      <w:u w:val="single"/>
    </w:rPr>
  </w:style>
  <w:style w:type="character" w:styleId="UnresolvedMention">
    <w:name w:val="Unresolved Mention"/>
    <w:basedOn w:val="DefaultParagraphFont"/>
    <w:uiPriority w:val="99"/>
    <w:semiHidden/>
    <w:unhideWhenUsed/>
    <w:rsid w:val="00512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Romero</dc:creator>
  <cp:keywords/>
  <dc:description/>
  <cp:lastModifiedBy>Alonso Romero</cp:lastModifiedBy>
  <cp:revision>2</cp:revision>
  <dcterms:created xsi:type="dcterms:W3CDTF">2025-09-10T22:39:00Z</dcterms:created>
  <dcterms:modified xsi:type="dcterms:W3CDTF">2025-09-10T22:39:00Z</dcterms:modified>
</cp:coreProperties>
</file>