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green-tree-token-logo.png"/>
                    <pic:cNvPicPr/>
                  </pic:nvPicPr>
                  <pic:blipFill>
                    <a:blip r:embed="rId10"/>
                    <a:stretch>
                      <a:fillRect/>
                    </a:stretch>
                  </pic:blipFill>
                  <pic:spPr>
                    <a:xfrm>
                      <a:off x="0" y="0"/>
                      <a:ext cx="1417320" cy="1417320"/>
                    </a:xfrm>
                    <a:prstGeom prst="rect"/>
                  </pic:spPr>
                </pic:pic>
              </a:graphicData>
            </a:graphic>
          </wp:inline>
        </w:drawing>
      </w:r>
    </w:p>
    <w:p>
      <w:pPr>
        <w:jc w:val="center"/>
      </w:pPr>
      <w:r>
        <w:rPr>
          <w:rFonts w:ascii="Aptos Display" w:hAnsi="Aptos Display"/>
          <w:b/>
          <w:color w:val="1F6B48"/>
          <w:sz w:val="64"/>
        </w:rPr>
        <w:t>GREEN TREE</w:t>
      </w:r>
    </w:p>
    <w:p>
      <w:pPr>
        <w:jc w:val="center"/>
      </w:pPr>
      <w:r>
        <w:rPr>
          <w:b/>
          <w:color w:val="182D22"/>
          <w:sz w:val="34"/>
        </w:rPr>
        <w:t>WHITEPAPER</w:t>
      </w:r>
    </w:p>
    <w:p>
      <w:pPr>
        <w:jc w:val="center"/>
      </w:pPr>
      <w:r>
        <w:rPr>
          <w:color w:val="5A625D"/>
          <w:sz w:val="22"/>
        </w:rPr>
        <w:t>Version 2.0.0 - Open Market and Environmental Mission Edition</w:t>
      </w:r>
    </w:p>
    <w:p>
      <w:pPr>
        <w:spacing w:before="400"/>
        <w:jc w:val="center"/>
      </w:pPr>
      <w:r>
        <w:rPr>
          <w:i/>
          <w:color w:val="1F6B48"/>
          <w:sz w:val="32"/>
        </w:rPr>
        <w:t>Grow Together.</w:t>
      </w:r>
    </w:p>
    <w:p>
      <w:pPr>
        <w:spacing w:before="1000"/>
        <w:jc w:val="center"/>
      </w:pPr>
      <w:hyperlink r:id="rId11">
        <w:r>
          <w:rPr>
            <w:color w:val="1F6B48"/>
            <w:u w:val="single"/>
          </w:rPr>
          <w:t>https://gtree.land</w:t>
        </w:r>
      </w:hyperlink>
    </w:p>
    <w:p>
      <w:pPr>
        <w:jc w:val="center"/>
      </w:pPr>
      <w:r>
        <w:rPr>
          <w:color w:val="5A625D"/>
          <w:sz w:val="18"/>
        </w:rPr>
        <w:t>Publication date: 2026-07-14</w:t>
      </w:r>
    </w:p>
    <w:p>
      <w:r>
        <w:br w:type="page"/>
      </w:r>
    </w:p>
    <w:p>
      <w:pPr>
        <w:pStyle w:val="Heading1"/>
      </w:pPr>
      <w:r>
        <w:t>Document Status</w:t>
      </w:r>
    </w:p>
    <w:tbl>
      <w:tblPr>
        <w:tblStyle w:val="TableGrid"/>
        <w:tblW w:type="auto" w:w="0"/>
        <w:jc w:val="center"/>
        <w:tblLook w:firstColumn="1" w:firstRow="1" w:lastColumn="0" w:lastRow="0" w:noHBand="0" w:noVBand="1" w:val="04A0"/>
      </w:tblPr>
      <w:tblGrid>
        <w:gridCol w:w="4997"/>
        <w:gridCol w:w="4997"/>
      </w:tblGrid>
      <w:tr>
        <w:tc>
          <w:tcPr>
            <w:tcW w:type="dxa" w:w="4997"/>
            <w:shd w:fill="EAF4EE"/>
            <w:tcMar>
              <w:top w:w="100" w:type="dxa"/>
              <w:start w:w="120" w:type="dxa"/>
              <w:bottom w:w="100" w:type="dxa"/>
              <w:end w:w="120" w:type="dxa"/>
            </w:tcMar>
          </w:tcPr>
          <w:p>
            <w:r>
              <w:rPr>
                <w:b/>
                <w:sz w:val="18"/>
              </w:rPr>
              <w:t>Version</w:t>
            </w:r>
          </w:p>
        </w:tc>
        <w:tc>
          <w:tcPr>
            <w:tcW w:type="dxa" w:w="4997"/>
            <w:shd w:fill="EAF4EE"/>
            <w:tcMar>
              <w:top w:w="100" w:type="dxa"/>
              <w:start w:w="120" w:type="dxa"/>
              <w:bottom w:w="100" w:type="dxa"/>
              <w:end w:w="120" w:type="dxa"/>
            </w:tcMar>
          </w:tcPr>
          <w:p>
            <w:r>
              <w:rPr>
                <w:sz w:val="18"/>
              </w:rPr>
              <w:t>2.0.0</w:t>
            </w:r>
          </w:p>
        </w:tc>
      </w:tr>
      <w:tr>
        <w:tc>
          <w:tcPr>
            <w:tcW w:type="dxa" w:w="4997"/>
            <w:tcMar>
              <w:top w:w="100" w:type="dxa"/>
              <w:start w:w="120" w:type="dxa"/>
              <w:bottom w:w="100" w:type="dxa"/>
              <w:end w:w="120" w:type="dxa"/>
            </w:tcMar>
          </w:tcPr>
          <w:p>
            <w:r>
              <w:rPr>
                <w:b/>
                <w:sz w:val="18"/>
              </w:rPr>
              <w:t>Network</w:t>
            </w:r>
          </w:p>
        </w:tc>
        <w:tc>
          <w:tcPr>
            <w:tcW w:type="dxa" w:w="4997"/>
            <w:tcMar>
              <w:top w:w="100" w:type="dxa"/>
              <w:start w:w="120" w:type="dxa"/>
              <w:bottom w:w="100" w:type="dxa"/>
              <w:end w:w="120" w:type="dxa"/>
            </w:tcMar>
          </w:tcPr>
          <w:p>
            <w:r>
              <w:rPr>
                <w:sz w:val="18"/>
              </w:rPr>
              <w:t>Solana Mainnet</w:t>
            </w:r>
          </w:p>
        </w:tc>
      </w:tr>
      <w:tr>
        <w:tc>
          <w:tcPr>
            <w:tcW w:type="dxa" w:w="4997"/>
            <w:tcMar>
              <w:top w:w="100" w:type="dxa"/>
              <w:start w:w="120" w:type="dxa"/>
              <w:bottom w:w="100" w:type="dxa"/>
              <w:end w:w="120" w:type="dxa"/>
            </w:tcMar>
          </w:tcPr>
          <w:p>
            <w:r>
              <w:rPr>
                <w:b/>
                <w:sz w:val="18"/>
              </w:rPr>
              <w:t>Token</w:t>
            </w:r>
          </w:p>
        </w:tc>
        <w:tc>
          <w:tcPr>
            <w:tcW w:type="dxa" w:w="4997"/>
            <w:tcMar>
              <w:top w:w="100" w:type="dxa"/>
              <w:start w:w="120" w:type="dxa"/>
              <w:bottom w:w="100" w:type="dxa"/>
              <w:end w:w="120" w:type="dxa"/>
            </w:tcMar>
          </w:tcPr>
          <w:p>
            <w:r>
              <w:rPr>
                <w:sz w:val="18"/>
              </w:rPr>
              <w:t>GTREE - Classic SPL Token</w:t>
            </w:r>
          </w:p>
        </w:tc>
      </w:tr>
      <w:tr>
        <w:tc>
          <w:tcPr>
            <w:tcW w:type="dxa" w:w="4997"/>
            <w:tcMar>
              <w:top w:w="100" w:type="dxa"/>
              <w:start w:w="120" w:type="dxa"/>
              <w:bottom w:w="100" w:type="dxa"/>
              <w:end w:w="120" w:type="dxa"/>
            </w:tcMar>
          </w:tcPr>
          <w:p>
            <w:r>
              <w:rPr>
                <w:b/>
                <w:sz w:val="18"/>
              </w:rPr>
              <w:t>Launch model</w:t>
            </w:r>
          </w:p>
        </w:tc>
        <w:tc>
          <w:tcPr>
            <w:tcW w:type="dxa" w:w="4997"/>
            <w:tcMar>
              <w:top w:w="100" w:type="dxa"/>
              <w:start w:w="120" w:type="dxa"/>
              <w:bottom w:w="100" w:type="dxa"/>
              <w:end w:w="120" w:type="dxa"/>
            </w:tcMar>
          </w:tcPr>
          <w:p>
            <w:r>
              <w:rPr>
                <w:sz w:val="18"/>
              </w:rPr>
              <w:t>Open market, unrestricted transfer, no launch vesting</w:t>
            </w:r>
          </w:p>
        </w:tc>
      </w:tr>
    </w:tbl>
    <w:p>
      <w:r>
        <w:rPr>
          <w:b/>
        </w:rPr>
        <w:t xml:space="preserve">This edition replaces the former staged-presale and locked-balance launch model. </w:t>
      </w:r>
      <w:r>
        <w:t>GTREE is freely transferable from launch, website acquisition follows the public DEX market, and environmental impact is governed by a separate verification policy.</w:t>
      </w:r>
    </w:p>
    <w:p>
      <w:pPr>
        <w:pStyle w:val="Heading1"/>
      </w:pPr>
      <w:r>
        <w:t>Contents</w:t>
      </w:r>
    </w:p>
    <w:p>
      <w:pPr>
        <w:spacing w:after="20"/>
      </w:pPr>
      <w:r>
        <w:t>1. Executive Summary</w:t>
      </w:r>
    </w:p>
    <w:p>
      <w:pPr>
        <w:spacing w:after="20"/>
      </w:pPr>
      <w:r>
        <w:t>2. Vision</w:t>
      </w:r>
    </w:p>
    <w:p>
      <w:pPr>
        <w:spacing w:after="20"/>
      </w:pPr>
      <w:r>
        <w:t>3. Mission</w:t>
      </w:r>
    </w:p>
    <w:p>
      <w:pPr>
        <w:spacing w:after="20"/>
      </w:pPr>
      <w:r>
        <w:t>4. Why Solana</w:t>
      </w:r>
    </w:p>
    <w:p>
      <w:pPr>
        <w:spacing w:after="20"/>
      </w:pPr>
      <w:r>
        <w:t>5. Token Identity</w:t>
      </w:r>
    </w:p>
    <w:p>
      <w:pPr>
        <w:spacing w:after="20"/>
      </w:pPr>
      <w:r>
        <w:t>6. Transfer and Market Freedom</w:t>
      </w:r>
    </w:p>
    <w:p>
      <w:pPr>
        <w:spacing w:after="20"/>
      </w:pPr>
      <w:r>
        <w:t>7. Open Market Distribution</w:t>
      </w:r>
    </w:p>
    <w:p>
      <w:pPr>
        <w:spacing w:after="20"/>
      </w:pPr>
      <w:r>
        <w:t>8. Token Allocation</w:t>
      </w:r>
    </w:p>
    <w:p>
      <w:pPr>
        <w:spacing w:after="20"/>
      </w:pPr>
      <w:r>
        <w:t>9. Authority and Treasury Model</w:t>
      </w:r>
    </w:p>
    <w:p>
      <w:pPr>
        <w:spacing w:after="20"/>
      </w:pPr>
      <w:r>
        <w:t>10. Liquidity Strategy</w:t>
      </w:r>
    </w:p>
    <w:p>
      <w:pPr>
        <w:spacing w:after="20"/>
      </w:pPr>
      <w:r>
        <w:t>11. Environmental Commitment</w:t>
      </w:r>
    </w:p>
    <w:p>
      <w:pPr>
        <w:spacing w:after="20"/>
      </w:pPr>
      <w:r>
        <w:t>12. Mission Verification</w:t>
      </w:r>
    </w:p>
    <w:p>
      <w:pPr>
        <w:spacing w:after="20"/>
      </w:pPr>
      <w:r>
        <w:t>13. Transparency</w:t>
      </w:r>
    </w:p>
    <w:p>
      <w:pPr>
        <w:spacing w:after="20"/>
      </w:pPr>
      <w:r>
        <w:t>14. Future Development</w:t>
      </w:r>
    </w:p>
    <w:p>
      <w:pPr>
        <w:spacing w:after="20"/>
      </w:pPr>
      <w:r>
        <w:t>15. Risks</w:t>
      </w:r>
    </w:p>
    <w:p>
      <w:pPr>
        <w:spacing w:after="20"/>
      </w:pPr>
      <w:r>
        <w:t>16. Official Links</w:t>
      </w:r>
    </w:p>
    <w:p>
      <w:pPr>
        <w:spacing w:after="20"/>
      </w:pPr>
      <w:r>
        <w:t>17. Disclaimer</w:t>
      </w:r>
    </w:p>
    <w:p>
      <w:pPr>
        <w:spacing w:after="20"/>
      </w:pPr>
      <w:r>
        <w:t>18. Closing</w:t>
      </w:r>
    </w:p>
    <w:p>
      <w:r>
        <w:br w:type="page"/>
      </w:r>
    </w:p>
    <w:p>
      <w:pPr>
        <w:pStyle w:val="Heading1"/>
      </w:pPr>
      <w:r>
        <w:t>1. Executive Summary</w:t>
      </w:r>
    </w:p>
    <w:p>
      <w:r>
        <w:t>Green Tree is a community-driven Web3 ecosystem built on Solana and inspired by responsibility toward nature.</w:t>
      </w:r>
    </w:p>
    <w:p>
      <w:r>
        <w:t>GTREE launches as a freely transferable market token. From the moment the token is minted and distributed, holders may transfer, buy, sell, and swap GTREE through supported Solana wallets, decentralized exchanges, and the Green Tree website. The project does not impose a buyer lock, vesting schedule, staged release, transfer restriction, or private internal sale price at launch.</w:t>
      </w:r>
    </w:p>
    <w:p>
      <w:r>
        <w:t>The Green Tree website follows the live decentralized-market price. Website acquisition routes must use a market-derived quote, disclose slippage and network costs, and require the user's wallet signature.</w:t>
      </w:r>
    </w:p>
    <w:p>
      <w:r>
        <w:t>Green Tree intends to strengthen market liquidity as cumulative realized project proceeds grow and to organize more than ten substantial environmental missions per year with public verification.</w:t>
      </w:r>
    </w:p>
    <w:p>
      <w:pPr>
        <w:pStyle w:val="Heading1"/>
      </w:pPr>
      <w:r>
        <w:t>2. Vision</w:t>
      </w:r>
    </w:p>
    <w:p>
      <w:r>
        <w:t>To build a globally recognizable, transparent Web3 ecosystem in which open digital markets, community participation, and verified environmental action reinforce one another.</w:t>
      </w:r>
    </w:p>
    <w:p>
      <w:pPr>
        <w:pStyle w:val="Heading1"/>
      </w:pPr>
      <w:r>
        <w:t>3. Mission</w:t>
      </w:r>
    </w:p>
    <w:p>
      <w:pPr>
        <w:pStyle w:val="ListBullet"/>
        <w:spacing w:after="40"/>
      </w:pPr>
      <w:r>
        <w:t>Maintain a simple and accessible Solana token.</w:t>
      </w:r>
    </w:p>
    <w:p>
      <w:pPr>
        <w:pStyle w:val="ListBullet"/>
        <w:spacing w:after="40"/>
      </w:pPr>
      <w:r>
        <w:t>Enable unrestricted ownership and transfer from launch.</w:t>
      </w:r>
    </w:p>
    <w:p>
      <w:pPr>
        <w:pStyle w:val="ListBullet"/>
        <w:spacing w:after="40"/>
      </w:pPr>
      <w:r>
        <w:t>Build transparent liquidity and treasury practices.</w:t>
      </w:r>
    </w:p>
    <w:p>
      <w:pPr>
        <w:pStyle w:val="ListBullet"/>
        <w:spacing w:after="40"/>
      </w:pPr>
      <w:r>
        <w:t>Connect community growth with measurable environmental work.</w:t>
      </w:r>
    </w:p>
    <w:p>
      <w:pPr>
        <w:pStyle w:val="ListBullet"/>
        <w:spacing w:after="40"/>
      </w:pPr>
      <w:r>
        <w:t>Publish verifiable evidence for material project actions.</w:t>
      </w:r>
    </w:p>
    <w:p>
      <w:pPr>
        <w:pStyle w:val="ListBullet"/>
        <w:spacing w:after="40"/>
      </w:pPr>
      <w:r>
        <w:t>Develop future products without retroactively restricting existing GTREE holders.</w:t>
      </w:r>
    </w:p>
    <w:p>
      <w:pPr>
        <w:pStyle w:val="Heading1"/>
      </w:pPr>
      <w:r>
        <w:t>4. Why Solana</w:t>
      </w:r>
    </w:p>
    <w:p>
      <w:r>
        <w:t>Green Tree uses Solana for fast settlement, low transaction costs, broad wallet support, decentralized exchange infrastructure, and standard SPL Token compatibility.</w:t>
      </w:r>
    </w:p>
    <w:p>
      <w:r>
        <w:t>Phase 1 does not require a custom Green Tree program on Mainnet. Future protocol modules may be introduced separately, but they must not retroactively restrict GTREE already held by users.</w:t>
      </w:r>
    </w:p>
    <w:p>
      <w:pPr>
        <w:pStyle w:val="Heading1"/>
      </w:pPr>
      <w:r>
        <w:t>5. Token Identity</w:t>
      </w:r>
    </w:p>
    <w:tbl>
      <w:tblPr>
        <w:tblStyle w:val="TableGrid"/>
        <w:tblW w:type="auto" w:w="0"/>
        <w:jc w:val="center"/>
        <w:tblLook w:firstColumn="1" w:firstRow="1" w:lastColumn="0" w:lastRow="0" w:noHBand="0" w:noVBand="1" w:val="04A0"/>
      </w:tblPr>
      <w:tblGrid>
        <w:gridCol w:w="4997"/>
        <w:gridCol w:w="4997"/>
      </w:tblGrid>
      <w:tr>
        <w:tc>
          <w:tcPr>
            <w:tcW w:type="dxa" w:w="4997"/>
            <w:shd w:fill="DDEEE4"/>
            <w:vAlign w:val="center"/>
            <w:tcMar>
              <w:top w:w="100" w:type="dxa"/>
              <w:start w:w="120" w:type="dxa"/>
              <w:bottom w:w="100" w:type="dxa"/>
              <w:end w:w="120" w:type="dxa"/>
            </w:tcMar>
          </w:tcPr>
          <w:p>
            <w:r>
              <w:rPr>
                <w:b/>
                <w:color w:val="182D22"/>
                <w:sz w:val="18"/>
              </w:rPr>
              <w:t>Field</w:t>
            </w:r>
          </w:p>
        </w:tc>
        <w:tc>
          <w:tcPr>
            <w:tcW w:type="dxa" w:w="4997"/>
            <w:shd w:fill="DDEEE4"/>
            <w:vAlign w:val="center"/>
            <w:tcMar>
              <w:top w:w="100" w:type="dxa"/>
              <w:start w:w="120" w:type="dxa"/>
              <w:bottom w:w="100" w:type="dxa"/>
              <w:end w:w="120" w:type="dxa"/>
            </w:tcMar>
          </w:tcPr>
          <w:p>
            <w:r>
              <w:rPr>
                <w:b/>
                <w:color w:val="182D22"/>
                <w:sz w:val="18"/>
              </w:rPr>
              <w:t>Value</w:t>
            </w:r>
          </w:p>
        </w:tc>
      </w:tr>
      <w:tr>
        <w:tc>
          <w:tcPr>
            <w:tcW w:type="dxa" w:w="4997"/>
            <w:vAlign w:val="center"/>
            <w:tcMar>
              <w:top w:w="100" w:type="dxa"/>
              <w:start w:w="120" w:type="dxa"/>
              <w:bottom w:w="100" w:type="dxa"/>
              <w:end w:w="120" w:type="dxa"/>
            </w:tcMar>
          </w:tcPr>
          <w:p>
            <w:pPr>
              <w:spacing w:after="0"/>
            </w:pPr>
            <w:r>
              <w:rPr>
                <w:sz w:val="17"/>
              </w:rPr>
              <w:t>Name</w:t>
            </w:r>
          </w:p>
        </w:tc>
        <w:tc>
          <w:tcPr>
            <w:tcW w:type="dxa" w:w="4997"/>
            <w:vAlign w:val="center"/>
            <w:tcMar>
              <w:top w:w="100" w:type="dxa"/>
              <w:start w:w="120" w:type="dxa"/>
              <w:bottom w:w="100" w:type="dxa"/>
              <w:end w:w="120" w:type="dxa"/>
            </w:tcMar>
          </w:tcPr>
          <w:p>
            <w:pPr>
              <w:spacing w:after="0"/>
            </w:pPr>
            <w:r>
              <w:rPr>
                <w:sz w:val="17"/>
              </w:rPr>
              <w:t>Green Tree</w:t>
            </w:r>
          </w:p>
        </w:tc>
      </w:tr>
      <w:tr>
        <w:tc>
          <w:tcPr>
            <w:tcW w:type="dxa" w:w="4997"/>
            <w:vAlign w:val="center"/>
            <w:tcMar>
              <w:top w:w="100" w:type="dxa"/>
              <w:start w:w="120" w:type="dxa"/>
              <w:bottom w:w="100" w:type="dxa"/>
              <w:end w:w="120" w:type="dxa"/>
            </w:tcMar>
          </w:tcPr>
          <w:p>
            <w:pPr>
              <w:spacing w:after="0"/>
            </w:pPr>
            <w:r>
              <w:rPr>
                <w:sz w:val="17"/>
              </w:rPr>
              <w:t>Symbol</w:t>
            </w:r>
          </w:p>
        </w:tc>
        <w:tc>
          <w:tcPr>
            <w:tcW w:type="dxa" w:w="4997"/>
            <w:vAlign w:val="center"/>
            <w:tcMar>
              <w:top w:w="100" w:type="dxa"/>
              <w:start w:w="120" w:type="dxa"/>
              <w:bottom w:w="100" w:type="dxa"/>
              <w:end w:w="120" w:type="dxa"/>
            </w:tcMar>
          </w:tcPr>
          <w:p>
            <w:pPr>
              <w:spacing w:after="0"/>
            </w:pPr>
            <w:r>
              <w:rPr>
                <w:sz w:val="17"/>
              </w:rPr>
              <w:t>GTREE</w:t>
            </w:r>
          </w:p>
        </w:tc>
      </w:tr>
      <w:tr>
        <w:tc>
          <w:tcPr>
            <w:tcW w:type="dxa" w:w="4997"/>
            <w:vAlign w:val="center"/>
            <w:tcMar>
              <w:top w:w="100" w:type="dxa"/>
              <w:start w:w="120" w:type="dxa"/>
              <w:bottom w:w="100" w:type="dxa"/>
              <w:end w:w="120" w:type="dxa"/>
            </w:tcMar>
          </w:tcPr>
          <w:p>
            <w:pPr>
              <w:spacing w:after="0"/>
            </w:pPr>
            <w:r>
              <w:rPr>
                <w:sz w:val="17"/>
              </w:rPr>
              <w:t>Standard</w:t>
            </w:r>
          </w:p>
        </w:tc>
        <w:tc>
          <w:tcPr>
            <w:tcW w:type="dxa" w:w="4997"/>
            <w:vAlign w:val="center"/>
            <w:tcMar>
              <w:top w:w="100" w:type="dxa"/>
              <w:start w:w="120" w:type="dxa"/>
              <w:bottom w:w="100" w:type="dxa"/>
              <w:end w:w="120" w:type="dxa"/>
            </w:tcMar>
          </w:tcPr>
          <w:p>
            <w:pPr>
              <w:spacing w:after="0"/>
            </w:pPr>
            <w:r>
              <w:rPr>
                <w:sz w:val="17"/>
              </w:rPr>
              <w:t>Classic SPL Token</w:t>
            </w:r>
          </w:p>
        </w:tc>
      </w:tr>
      <w:tr>
        <w:tc>
          <w:tcPr>
            <w:tcW w:type="dxa" w:w="4997"/>
            <w:vAlign w:val="center"/>
            <w:tcMar>
              <w:top w:w="100" w:type="dxa"/>
              <w:start w:w="120" w:type="dxa"/>
              <w:bottom w:w="100" w:type="dxa"/>
              <w:end w:w="120" w:type="dxa"/>
            </w:tcMar>
          </w:tcPr>
          <w:p>
            <w:pPr>
              <w:spacing w:after="0"/>
            </w:pPr>
            <w:r>
              <w:rPr>
                <w:sz w:val="17"/>
              </w:rPr>
              <w:t>Decimals</w:t>
            </w:r>
          </w:p>
        </w:tc>
        <w:tc>
          <w:tcPr>
            <w:tcW w:type="dxa" w:w="4997"/>
            <w:vAlign w:val="center"/>
            <w:tcMar>
              <w:top w:w="100" w:type="dxa"/>
              <w:start w:w="120" w:type="dxa"/>
              <w:bottom w:w="100" w:type="dxa"/>
              <w:end w:w="120" w:type="dxa"/>
            </w:tcMar>
          </w:tcPr>
          <w:p>
            <w:pPr>
              <w:spacing w:after="0"/>
            </w:pPr>
            <w:r>
              <w:rPr>
                <w:sz w:val="17"/>
              </w:rPr>
              <w:t>9</w:t>
            </w:r>
          </w:p>
        </w:tc>
      </w:tr>
      <w:tr>
        <w:tc>
          <w:tcPr>
            <w:tcW w:type="dxa" w:w="4997"/>
            <w:vAlign w:val="center"/>
            <w:tcMar>
              <w:top w:w="100" w:type="dxa"/>
              <w:start w:w="120" w:type="dxa"/>
              <w:bottom w:w="100" w:type="dxa"/>
              <w:end w:w="120" w:type="dxa"/>
            </w:tcMar>
          </w:tcPr>
          <w:p>
            <w:pPr>
              <w:spacing w:after="0"/>
            </w:pPr>
            <w:r>
              <w:rPr>
                <w:sz w:val="17"/>
              </w:rPr>
              <w:t>Maximum supply</w:t>
            </w:r>
          </w:p>
        </w:tc>
        <w:tc>
          <w:tcPr>
            <w:tcW w:type="dxa" w:w="4997"/>
            <w:vAlign w:val="center"/>
            <w:tcMar>
              <w:top w:w="100" w:type="dxa"/>
              <w:start w:w="120" w:type="dxa"/>
              <w:bottom w:w="100" w:type="dxa"/>
              <w:end w:w="120" w:type="dxa"/>
            </w:tcMar>
          </w:tcPr>
          <w:p>
            <w:pPr>
              <w:spacing w:after="0"/>
            </w:pPr>
            <w:r>
              <w:rPr>
                <w:sz w:val="17"/>
              </w:rPr>
              <w:t>1,000,000,000 GTREE</w:t>
            </w:r>
          </w:p>
        </w:tc>
      </w:tr>
      <w:tr>
        <w:tc>
          <w:tcPr>
            <w:tcW w:type="dxa" w:w="4997"/>
            <w:vAlign w:val="center"/>
            <w:tcMar>
              <w:top w:w="100" w:type="dxa"/>
              <w:start w:w="120" w:type="dxa"/>
              <w:bottom w:w="100" w:type="dxa"/>
              <w:end w:w="120" w:type="dxa"/>
            </w:tcMar>
          </w:tcPr>
          <w:p>
            <w:pPr>
              <w:spacing w:after="0"/>
            </w:pPr>
            <w:r>
              <w:rPr>
                <w:sz w:val="17"/>
              </w:rPr>
              <w:t>Network</w:t>
            </w:r>
          </w:p>
        </w:tc>
        <w:tc>
          <w:tcPr>
            <w:tcW w:type="dxa" w:w="4997"/>
            <w:vAlign w:val="center"/>
            <w:tcMar>
              <w:top w:w="100" w:type="dxa"/>
              <w:start w:w="120" w:type="dxa"/>
              <w:bottom w:w="100" w:type="dxa"/>
              <w:end w:w="120" w:type="dxa"/>
            </w:tcMar>
          </w:tcPr>
          <w:p>
            <w:pPr>
              <w:spacing w:after="0"/>
            </w:pPr>
            <w:r>
              <w:rPr>
                <w:sz w:val="17"/>
              </w:rPr>
              <w:t>Solana Mainnet</w:t>
            </w:r>
          </w:p>
        </w:tc>
      </w:tr>
      <w:tr>
        <w:tc>
          <w:tcPr>
            <w:tcW w:type="dxa" w:w="4997"/>
            <w:vAlign w:val="center"/>
            <w:tcMar>
              <w:top w:w="100" w:type="dxa"/>
              <w:start w:w="120" w:type="dxa"/>
              <w:bottom w:w="100" w:type="dxa"/>
              <w:end w:w="120" w:type="dxa"/>
            </w:tcMar>
          </w:tcPr>
          <w:p>
            <w:pPr>
              <w:spacing w:after="0"/>
            </w:pPr>
            <w:r>
              <w:rPr>
                <w:sz w:val="17"/>
              </w:rPr>
              <w:t>Mint public key</w:t>
            </w:r>
          </w:p>
        </w:tc>
        <w:tc>
          <w:tcPr>
            <w:tcW w:type="dxa" w:w="4997"/>
            <w:vAlign w:val="center"/>
            <w:tcMar>
              <w:top w:w="100" w:type="dxa"/>
              <w:start w:w="120" w:type="dxa"/>
              <w:bottom w:w="100" w:type="dxa"/>
              <w:end w:w="120" w:type="dxa"/>
            </w:tcMar>
          </w:tcPr>
          <w:p>
            <w:pPr>
              <w:spacing w:after="0"/>
            </w:pPr>
            <w:r>
              <w:rPr>
                <w:sz w:val="17"/>
              </w:rPr>
              <w:t>AYJ2xXLxNrcJfx7ycgZA6FQnpTSoipdRcCvJPLMadpuJ</w:t>
            </w:r>
          </w:p>
        </w:tc>
      </w:tr>
      <w:tr>
        <w:tc>
          <w:tcPr>
            <w:tcW w:type="dxa" w:w="4997"/>
            <w:vAlign w:val="center"/>
            <w:tcMar>
              <w:top w:w="100" w:type="dxa"/>
              <w:start w:w="120" w:type="dxa"/>
              <w:bottom w:w="100" w:type="dxa"/>
              <w:end w:w="120" w:type="dxa"/>
            </w:tcMar>
          </w:tcPr>
          <w:p>
            <w:pPr>
              <w:spacing w:after="0"/>
            </w:pPr>
            <w:r>
              <w:rPr>
                <w:sz w:val="17"/>
              </w:rPr>
              <w:t>Metadata</w:t>
            </w:r>
          </w:p>
        </w:tc>
        <w:tc>
          <w:tcPr>
            <w:tcW w:type="dxa" w:w="4997"/>
            <w:vAlign w:val="center"/>
            <w:tcMar>
              <w:top w:w="100" w:type="dxa"/>
              <w:start w:w="120" w:type="dxa"/>
              <w:bottom w:w="100" w:type="dxa"/>
              <w:end w:w="120" w:type="dxa"/>
            </w:tcMar>
          </w:tcPr>
          <w:p>
            <w:pPr>
              <w:spacing w:after="0"/>
            </w:pPr>
            <w:r>
              <w:rPr>
                <w:sz w:val="17"/>
              </w:rPr>
              <w:t>https://gtree.land/assets/token/metadata.json</w:t>
            </w:r>
          </w:p>
        </w:tc>
      </w:tr>
      <w:tr>
        <w:tc>
          <w:tcPr>
            <w:tcW w:type="dxa" w:w="4997"/>
            <w:vAlign w:val="center"/>
            <w:tcMar>
              <w:top w:w="100" w:type="dxa"/>
              <w:start w:w="120" w:type="dxa"/>
              <w:bottom w:w="100" w:type="dxa"/>
              <w:end w:w="120" w:type="dxa"/>
            </w:tcMar>
          </w:tcPr>
          <w:p>
            <w:pPr>
              <w:spacing w:after="0"/>
            </w:pPr>
            <w:r>
              <w:rPr>
                <w:sz w:val="17"/>
              </w:rPr>
              <w:t>Image</w:t>
            </w:r>
          </w:p>
        </w:tc>
        <w:tc>
          <w:tcPr>
            <w:tcW w:type="dxa" w:w="4997"/>
            <w:vAlign w:val="center"/>
            <w:tcMar>
              <w:top w:w="100" w:type="dxa"/>
              <w:start w:w="120" w:type="dxa"/>
              <w:bottom w:w="100" w:type="dxa"/>
              <w:end w:w="120" w:type="dxa"/>
            </w:tcMar>
          </w:tcPr>
          <w:p>
            <w:pPr>
              <w:spacing w:after="0"/>
            </w:pPr>
            <w:r>
              <w:rPr>
                <w:sz w:val="17"/>
              </w:rPr>
              <w:t>https://gtree.land/assets/token/green-tree-token-logo.png</w:t>
            </w:r>
          </w:p>
        </w:tc>
      </w:tr>
    </w:tbl>
    <w:p>
      <w:pPr>
        <w:pStyle w:val="Heading1"/>
      </w:pPr>
      <w:r>
        <w:t>6. Transfer and Market Freedom</w:t>
      </w:r>
    </w:p>
    <w:p>
      <w:r>
        <w:t>GTREE is intended to be unrestricted from launch. The launch model contains no buyer lock, transfer lock, vesting schedule, staged unlock, claim period, administrator seizure of user balances, or private internal sale price.</w:t>
      </w:r>
    </w:p>
    <w:p>
      <w:r>
        <w:t>After the complete fixed supply is minted and allocation balances are verified, Mint Authority is permanently revoked. Freeze Authority is not retained for ordinary user-token control in the launch model.</w:t>
      </w:r>
    </w:p>
    <w:p>
      <w:pPr>
        <w:pStyle w:val="Heading1"/>
      </w:pPr>
      <w:r>
        <w:t>7. Open Market Distribution</w:t>
      </w:r>
    </w:p>
    <w:p>
      <w:r>
        <w:t>Green Tree does not use the former three-stage presale price curve in this launch model. GTREE acquisition occurs through the open Solana market.</w:t>
      </w:r>
    </w:p>
    <w:p>
      <w:r>
        <w:t>The website is an interface to the same public market. It must not create a hidden or preferential price.</w:t>
      </w:r>
    </w:p>
    <w:p>
      <w:pPr>
        <w:pStyle w:val="ListBullet"/>
        <w:spacing w:after="40"/>
      </w:pPr>
      <w:r>
        <w:t>Display the current market-derived GTREE price.</w:t>
      </w:r>
    </w:p>
    <w:p>
      <w:pPr>
        <w:pStyle w:val="ListBullet"/>
        <w:spacing w:after="40"/>
      </w:pPr>
      <w:r>
        <w:t>Show input and estimated output amounts.</w:t>
      </w:r>
    </w:p>
    <w:p>
      <w:pPr>
        <w:pStyle w:val="ListBullet"/>
        <w:spacing w:after="40"/>
      </w:pPr>
      <w:r>
        <w:t>Show route or liquidity source, price impact, slippage, and network fee.</w:t>
      </w:r>
    </w:p>
    <w:p>
      <w:pPr>
        <w:pStyle w:val="ListBullet"/>
        <w:spacing w:after="40"/>
      </w:pPr>
      <w:r>
        <w:t>Expire stale quotes.</w:t>
      </w:r>
    </w:p>
    <w:p>
      <w:pPr>
        <w:pStyle w:val="ListBullet"/>
        <w:spacing w:after="40"/>
      </w:pPr>
      <w:r>
        <w:t>Require the user to review and sign the final wallet transaction.</w:t>
      </w:r>
    </w:p>
    <w:p>
      <w:pPr>
        <w:pStyle w:val="Heading1"/>
      </w:pPr>
      <w:r>
        <w:t>8. Token Allocation</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DDEEE4"/>
            <w:vAlign w:val="center"/>
            <w:tcMar>
              <w:top w:w="100" w:type="dxa"/>
              <w:start w:w="120" w:type="dxa"/>
              <w:bottom w:w="100" w:type="dxa"/>
              <w:end w:w="120" w:type="dxa"/>
            </w:tcMar>
          </w:tcPr>
          <w:p>
            <w:r>
              <w:rPr>
                <w:b/>
                <w:color w:val="182D22"/>
                <w:sz w:val="18"/>
              </w:rPr>
              <w:t>Category</w:t>
            </w:r>
          </w:p>
        </w:tc>
        <w:tc>
          <w:tcPr>
            <w:tcW w:type="dxa" w:w="3331"/>
            <w:shd w:fill="DDEEE4"/>
            <w:vAlign w:val="center"/>
            <w:tcMar>
              <w:top w:w="100" w:type="dxa"/>
              <w:start w:w="120" w:type="dxa"/>
              <w:bottom w:w="100" w:type="dxa"/>
              <w:end w:w="120" w:type="dxa"/>
            </w:tcMar>
          </w:tcPr>
          <w:p>
            <w:r>
              <w:rPr>
                <w:b/>
                <w:color w:val="182D22"/>
                <w:sz w:val="18"/>
              </w:rPr>
              <w:t>Allocation</w:t>
            </w:r>
          </w:p>
        </w:tc>
        <w:tc>
          <w:tcPr>
            <w:tcW w:type="dxa" w:w="3331"/>
            <w:shd w:fill="DDEEE4"/>
            <w:vAlign w:val="center"/>
            <w:tcMar>
              <w:top w:w="100" w:type="dxa"/>
              <w:start w:w="120" w:type="dxa"/>
              <w:bottom w:w="100" w:type="dxa"/>
              <w:end w:w="120" w:type="dxa"/>
            </w:tcMar>
          </w:tcPr>
          <w:p>
            <w:r>
              <w:rPr>
                <w:b/>
                <w:color w:val="182D22"/>
                <w:sz w:val="18"/>
              </w:rPr>
              <w:t>GTREE</w:t>
            </w:r>
          </w:p>
        </w:tc>
      </w:tr>
      <w:tr>
        <w:tc>
          <w:tcPr>
            <w:tcW w:type="dxa" w:w="3331"/>
            <w:vAlign w:val="center"/>
            <w:tcMar>
              <w:top w:w="100" w:type="dxa"/>
              <w:start w:w="120" w:type="dxa"/>
              <w:bottom w:w="100" w:type="dxa"/>
              <w:end w:w="120" w:type="dxa"/>
            </w:tcMar>
          </w:tcPr>
          <w:p>
            <w:pPr>
              <w:spacing w:after="0"/>
            </w:pPr>
            <w:r>
              <w:rPr>
                <w:sz w:val="17"/>
              </w:rPr>
              <w:t>Public Distribution</w:t>
            </w:r>
          </w:p>
        </w:tc>
        <w:tc>
          <w:tcPr>
            <w:tcW w:type="dxa" w:w="3331"/>
            <w:vAlign w:val="center"/>
            <w:tcMar>
              <w:top w:w="100" w:type="dxa"/>
              <w:start w:w="120" w:type="dxa"/>
              <w:bottom w:w="100" w:type="dxa"/>
              <w:end w:w="120" w:type="dxa"/>
            </w:tcMar>
          </w:tcPr>
          <w:p>
            <w:pPr>
              <w:spacing w:after="0"/>
            </w:pPr>
            <w:r>
              <w:rPr>
                <w:sz w:val="17"/>
              </w:rPr>
              <w:t>12%</w:t>
            </w:r>
          </w:p>
        </w:tc>
        <w:tc>
          <w:tcPr>
            <w:tcW w:type="dxa" w:w="3331"/>
            <w:vAlign w:val="center"/>
            <w:tcMar>
              <w:top w:w="100" w:type="dxa"/>
              <w:start w:w="120" w:type="dxa"/>
              <w:bottom w:w="100" w:type="dxa"/>
              <w:end w:w="120" w:type="dxa"/>
            </w:tcMar>
          </w:tcPr>
          <w:p>
            <w:pPr>
              <w:spacing w:after="0"/>
            </w:pPr>
            <w:r>
              <w:rPr>
                <w:sz w:val="17"/>
              </w:rPr>
              <w:t>120,000,000</w:t>
            </w:r>
          </w:p>
        </w:tc>
      </w:tr>
      <w:tr>
        <w:tc>
          <w:tcPr>
            <w:tcW w:type="dxa" w:w="3331"/>
            <w:vAlign w:val="center"/>
            <w:tcMar>
              <w:top w:w="100" w:type="dxa"/>
              <w:start w:w="120" w:type="dxa"/>
              <w:bottom w:w="100" w:type="dxa"/>
              <w:end w:w="120" w:type="dxa"/>
            </w:tcMar>
          </w:tcPr>
          <w:p>
            <w:pPr>
              <w:spacing w:after="0"/>
            </w:pPr>
            <w:r>
              <w:rPr>
                <w:sz w:val="17"/>
              </w:rPr>
              <w:t>Seasonal Growth Fund</w:t>
            </w:r>
          </w:p>
        </w:tc>
        <w:tc>
          <w:tcPr>
            <w:tcW w:type="dxa" w:w="3331"/>
            <w:vAlign w:val="center"/>
            <w:tcMar>
              <w:top w:w="100" w:type="dxa"/>
              <w:start w:w="120" w:type="dxa"/>
              <w:bottom w:w="100" w:type="dxa"/>
              <w:end w:w="120" w:type="dxa"/>
            </w:tcMar>
          </w:tcPr>
          <w:p>
            <w:pPr>
              <w:spacing w:after="0"/>
            </w:pPr>
            <w:r>
              <w:rPr>
                <w:sz w:val="17"/>
              </w:rPr>
              <w:t>3%</w:t>
            </w:r>
          </w:p>
        </w:tc>
        <w:tc>
          <w:tcPr>
            <w:tcW w:type="dxa" w:w="3331"/>
            <w:vAlign w:val="center"/>
            <w:tcMar>
              <w:top w:w="100" w:type="dxa"/>
              <w:start w:w="120" w:type="dxa"/>
              <w:bottom w:w="100" w:type="dxa"/>
              <w:end w:w="120" w:type="dxa"/>
            </w:tcMar>
          </w:tcPr>
          <w:p>
            <w:pPr>
              <w:spacing w:after="0"/>
            </w:pPr>
            <w:r>
              <w:rPr>
                <w:sz w:val="17"/>
              </w:rPr>
              <w:t>30,000,000</w:t>
            </w:r>
          </w:p>
        </w:tc>
      </w:tr>
      <w:tr>
        <w:tc>
          <w:tcPr>
            <w:tcW w:type="dxa" w:w="3331"/>
            <w:vAlign w:val="center"/>
            <w:tcMar>
              <w:top w:w="100" w:type="dxa"/>
              <w:start w:w="120" w:type="dxa"/>
              <w:bottom w:w="100" w:type="dxa"/>
              <w:end w:w="120" w:type="dxa"/>
            </w:tcMar>
          </w:tcPr>
          <w:p>
            <w:pPr>
              <w:spacing w:after="0"/>
            </w:pPr>
            <w:r>
              <w:rPr>
                <w:sz w:val="17"/>
              </w:rPr>
              <w:t>Community Pool</w:t>
            </w:r>
          </w:p>
        </w:tc>
        <w:tc>
          <w:tcPr>
            <w:tcW w:type="dxa" w:w="3331"/>
            <w:vAlign w:val="center"/>
            <w:tcMar>
              <w:top w:w="100" w:type="dxa"/>
              <w:start w:w="120" w:type="dxa"/>
              <w:bottom w:w="100" w:type="dxa"/>
              <w:end w:w="120" w:type="dxa"/>
            </w:tcMar>
          </w:tcPr>
          <w:p>
            <w:pPr>
              <w:spacing w:after="0"/>
            </w:pPr>
            <w:r>
              <w:rPr>
                <w:sz w:val="17"/>
              </w:rPr>
              <w:t>15%</w:t>
            </w:r>
          </w:p>
        </w:tc>
        <w:tc>
          <w:tcPr>
            <w:tcW w:type="dxa" w:w="3331"/>
            <w:vAlign w:val="center"/>
            <w:tcMar>
              <w:top w:w="100" w:type="dxa"/>
              <w:start w:w="120" w:type="dxa"/>
              <w:bottom w:w="100" w:type="dxa"/>
              <w:end w:w="120" w:type="dxa"/>
            </w:tcMar>
          </w:tcPr>
          <w:p>
            <w:pPr>
              <w:spacing w:after="0"/>
            </w:pPr>
            <w:r>
              <w:rPr>
                <w:sz w:val="17"/>
              </w:rPr>
              <w:t>150,000,000</w:t>
            </w:r>
          </w:p>
        </w:tc>
      </w:tr>
      <w:tr>
        <w:tc>
          <w:tcPr>
            <w:tcW w:type="dxa" w:w="3331"/>
            <w:vAlign w:val="center"/>
            <w:tcMar>
              <w:top w:w="100" w:type="dxa"/>
              <w:start w:w="120" w:type="dxa"/>
              <w:bottom w:w="100" w:type="dxa"/>
              <w:end w:w="120" w:type="dxa"/>
            </w:tcMar>
          </w:tcPr>
          <w:p>
            <w:pPr>
              <w:spacing w:after="0"/>
            </w:pPr>
            <w:r>
              <w:rPr>
                <w:sz w:val="17"/>
              </w:rPr>
              <w:t>Liquidity</w:t>
            </w:r>
          </w:p>
        </w:tc>
        <w:tc>
          <w:tcPr>
            <w:tcW w:type="dxa" w:w="3331"/>
            <w:vAlign w:val="center"/>
            <w:tcMar>
              <w:top w:w="100" w:type="dxa"/>
              <w:start w:w="120" w:type="dxa"/>
              <w:bottom w:w="100" w:type="dxa"/>
              <w:end w:w="120" w:type="dxa"/>
            </w:tcMar>
          </w:tcPr>
          <w:p>
            <w:pPr>
              <w:spacing w:after="0"/>
            </w:pPr>
            <w:r>
              <w:rPr>
                <w:sz w:val="17"/>
              </w:rPr>
              <w:t>15%</w:t>
            </w:r>
          </w:p>
        </w:tc>
        <w:tc>
          <w:tcPr>
            <w:tcW w:type="dxa" w:w="3331"/>
            <w:vAlign w:val="center"/>
            <w:tcMar>
              <w:top w:w="100" w:type="dxa"/>
              <w:start w:w="120" w:type="dxa"/>
              <w:bottom w:w="100" w:type="dxa"/>
              <w:end w:w="120" w:type="dxa"/>
            </w:tcMar>
          </w:tcPr>
          <w:p>
            <w:pPr>
              <w:spacing w:after="0"/>
            </w:pPr>
            <w:r>
              <w:rPr>
                <w:sz w:val="17"/>
              </w:rPr>
              <w:t>150,000,000</w:t>
            </w:r>
          </w:p>
        </w:tc>
      </w:tr>
      <w:tr>
        <w:tc>
          <w:tcPr>
            <w:tcW w:type="dxa" w:w="3331"/>
            <w:vAlign w:val="center"/>
            <w:tcMar>
              <w:top w:w="100" w:type="dxa"/>
              <w:start w:w="120" w:type="dxa"/>
              <w:bottom w:w="100" w:type="dxa"/>
              <w:end w:w="120" w:type="dxa"/>
            </w:tcMar>
          </w:tcPr>
          <w:p>
            <w:pPr>
              <w:spacing w:after="0"/>
            </w:pPr>
            <w:r>
              <w:rPr>
                <w:sz w:val="17"/>
              </w:rPr>
              <w:t>Treasury</w:t>
            </w:r>
          </w:p>
        </w:tc>
        <w:tc>
          <w:tcPr>
            <w:tcW w:type="dxa" w:w="3331"/>
            <w:vAlign w:val="center"/>
            <w:tcMar>
              <w:top w:w="100" w:type="dxa"/>
              <w:start w:w="120" w:type="dxa"/>
              <w:bottom w:w="100" w:type="dxa"/>
              <w:end w:w="120" w:type="dxa"/>
            </w:tcMar>
          </w:tcPr>
          <w:p>
            <w:pPr>
              <w:spacing w:after="0"/>
            </w:pPr>
            <w:r>
              <w:rPr>
                <w:sz w:val="17"/>
              </w:rPr>
              <w:t>15%</w:t>
            </w:r>
          </w:p>
        </w:tc>
        <w:tc>
          <w:tcPr>
            <w:tcW w:type="dxa" w:w="3331"/>
            <w:vAlign w:val="center"/>
            <w:tcMar>
              <w:top w:w="100" w:type="dxa"/>
              <w:start w:w="120" w:type="dxa"/>
              <w:bottom w:w="100" w:type="dxa"/>
              <w:end w:w="120" w:type="dxa"/>
            </w:tcMar>
          </w:tcPr>
          <w:p>
            <w:pPr>
              <w:spacing w:after="0"/>
            </w:pPr>
            <w:r>
              <w:rPr>
                <w:sz w:val="17"/>
              </w:rPr>
              <w:t>150,000,000</w:t>
            </w:r>
          </w:p>
        </w:tc>
      </w:tr>
      <w:tr>
        <w:tc>
          <w:tcPr>
            <w:tcW w:type="dxa" w:w="3331"/>
            <w:vAlign w:val="center"/>
            <w:tcMar>
              <w:top w:w="100" w:type="dxa"/>
              <w:start w:w="120" w:type="dxa"/>
              <w:bottom w:w="100" w:type="dxa"/>
              <w:end w:w="120" w:type="dxa"/>
            </w:tcMar>
          </w:tcPr>
          <w:p>
            <w:pPr>
              <w:spacing w:after="0"/>
            </w:pPr>
            <w:r>
              <w:rPr>
                <w:sz w:val="17"/>
              </w:rPr>
              <w:t>Core Contributors</w:t>
            </w:r>
          </w:p>
        </w:tc>
        <w:tc>
          <w:tcPr>
            <w:tcW w:type="dxa" w:w="3331"/>
            <w:vAlign w:val="center"/>
            <w:tcMar>
              <w:top w:w="100" w:type="dxa"/>
              <w:start w:w="120" w:type="dxa"/>
              <w:bottom w:w="100" w:type="dxa"/>
              <w:end w:w="120" w:type="dxa"/>
            </w:tcMar>
          </w:tcPr>
          <w:p>
            <w:pPr>
              <w:spacing w:after="0"/>
            </w:pPr>
            <w:r>
              <w:rPr>
                <w:sz w:val="17"/>
              </w:rPr>
              <w:t>10%</w:t>
            </w:r>
          </w:p>
        </w:tc>
        <w:tc>
          <w:tcPr>
            <w:tcW w:type="dxa" w:w="3331"/>
            <w:vAlign w:val="center"/>
            <w:tcMar>
              <w:top w:w="100" w:type="dxa"/>
              <w:start w:w="120" w:type="dxa"/>
              <w:bottom w:w="100" w:type="dxa"/>
              <w:end w:w="120" w:type="dxa"/>
            </w:tcMar>
          </w:tcPr>
          <w:p>
            <w:pPr>
              <w:spacing w:after="0"/>
            </w:pPr>
            <w:r>
              <w:rPr>
                <w:sz w:val="17"/>
              </w:rPr>
              <w:t>100,000,000</w:t>
            </w:r>
          </w:p>
        </w:tc>
      </w:tr>
      <w:tr>
        <w:tc>
          <w:tcPr>
            <w:tcW w:type="dxa" w:w="3331"/>
            <w:vAlign w:val="center"/>
            <w:tcMar>
              <w:top w:w="100" w:type="dxa"/>
              <w:start w:w="120" w:type="dxa"/>
              <w:bottom w:w="100" w:type="dxa"/>
              <w:end w:w="120" w:type="dxa"/>
            </w:tcMar>
          </w:tcPr>
          <w:p>
            <w:pPr>
              <w:spacing w:after="0"/>
            </w:pPr>
            <w:r>
              <w:rPr>
                <w:sz w:val="17"/>
              </w:rPr>
              <w:t>Marketing and Partnerships</w:t>
            </w:r>
          </w:p>
        </w:tc>
        <w:tc>
          <w:tcPr>
            <w:tcW w:type="dxa" w:w="3331"/>
            <w:vAlign w:val="center"/>
            <w:tcMar>
              <w:top w:w="100" w:type="dxa"/>
              <w:start w:w="120" w:type="dxa"/>
              <w:bottom w:w="100" w:type="dxa"/>
              <w:end w:w="120" w:type="dxa"/>
            </w:tcMar>
          </w:tcPr>
          <w:p>
            <w:pPr>
              <w:spacing w:after="0"/>
            </w:pPr>
            <w:r>
              <w:rPr>
                <w:sz w:val="17"/>
              </w:rPr>
              <w:t>10%</w:t>
            </w:r>
          </w:p>
        </w:tc>
        <w:tc>
          <w:tcPr>
            <w:tcW w:type="dxa" w:w="3331"/>
            <w:vAlign w:val="center"/>
            <w:tcMar>
              <w:top w:w="100" w:type="dxa"/>
              <w:start w:w="120" w:type="dxa"/>
              <w:bottom w:w="100" w:type="dxa"/>
              <w:end w:w="120" w:type="dxa"/>
            </w:tcMar>
          </w:tcPr>
          <w:p>
            <w:pPr>
              <w:spacing w:after="0"/>
            </w:pPr>
            <w:r>
              <w:rPr>
                <w:sz w:val="17"/>
              </w:rPr>
              <w:t>100,000,000</w:t>
            </w:r>
          </w:p>
        </w:tc>
      </w:tr>
      <w:tr>
        <w:tc>
          <w:tcPr>
            <w:tcW w:type="dxa" w:w="3331"/>
            <w:vAlign w:val="center"/>
            <w:tcMar>
              <w:top w:w="100" w:type="dxa"/>
              <w:start w:w="120" w:type="dxa"/>
              <w:bottom w:w="100" w:type="dxa"/>
              <w:end w:w="120" w:type="dxa"/>
            </w:tcMar>
          </w:tcPr>
          <w:p>
            <w:pPr>
              <w:spacing w:after="0"/>
            </w:pPr>
            <w:r>
              <w:rPr>
                <w:sz w:val="17"/>
              </w:rPr>
              <w:t>Ecosystem Growth Fund</w:t>
            </w:r>
          </w:p>
        </w:tc>
        <w:tc>
          <w:tcPr>
            <w:tcW w:type="dxa" w:w="3331"/>
            <w:vAlign w:val="center"/>
            <w:tcMar>
              <w:top w:w="100" w:type="dxa"/>
              <w:start w:w="120" w:type="dxa"/>
              <w:bottom w:w="100" w:type="dxa"/>
              <w:end w:w="120" w:type="dxa"/>
            </w:tcMar>
          </w:tcPr>
          <w:p>
            <w:pPr>
              <w:spacing w:after="0"/>
            </w:pPr>
            <w:r>
              <w:rPr>
                <w:sz w:val="17"/>
              </w:rPr>
              <w:t>10%</w:t>
            </w:r>
          </w:p>
        </w:tc>
        <w:tc>
          <w:tcPr>
            <w:tcW w:type="dxa" w:w="3331"/>
            <w:vAlign w:val="center"/>
            <w:tcMar>
              <w:top w:w="100" w:type="dxa"/>
              <w:start w:w="120" w:type="dxa"/>
              <w:bottom w:w="100" w:type="dxa"/>
              <w:end w:w="120" w:type="dxa"/>
            </w:tcMar>
          </w:tcPr>
          <w:p>
            <w:pPr>
              <w:spacing w:after="0"/>
            </w:pPr>
            <w:r>
              <w:rPr>
                <w:sz w:val="17"/>
              </w:rPr>
              <w:t>100,000,000</w:t>
            </w:r>
          </w:p>
        </w:tc>
      </w:tr>
      <w:tr>
        <w:tc>
          <w:tcPr>
            <w:tcW w:type="dxa" w:w="3331"/>
            <w:vAlign w:val="center"/>
            <w:tcMar>
              <w:top w:w="100" w:type="dxa"/>
              <w:start w:w="120" w:type="dxa"/>
              <w:bottom w:w="100" w:type="dxa"/>
              <w:end w:w="120" w:type="dxa"/>
            </w:tcMar>
          </w:tcPr>
          <w:p>
            <w:pPr>
              <w:spacing w:after="0"/>
            </w:pPr>
            <w:r>
              <w:rPr>
                <w:sz w:val="17"/>
              </w:rPr>
              <w:t>Strategic Reserve</w:t>
            </w:r>
          </w:p>
        </w:tc>
        <w:tc>
          <w:tcPr>
            <w:tcW w:type="dxa" w:w="3331"/>
            <w:vAlign w:val="center"/>
            <w:tcMar>
              <w:top w:w="100" w:type="dxa"/>
              <w:start w:w="120" w:type="dxa"/>
              <w:bottom w:w="100" w:type="dxa"/>
              <w:end w:w="120" w:type="dxa"/>
            </w:tcMar>
          </w:tcPr>
          <w:p>
            <w:pPr>
              <w:spacing w:after="0"/>
            </w:pPr>
            <w:r>
              <w:rPr>
                <w:sz w:val="17"/>
              </w:rPr>
              <w:t>10%</w:t>
            </w:r>
          </w:p>
        </w:tc>
        <w:tc>
          <w:tcPr>
            <w:tcW w:type="dxa" w:w="3331"/>
            <w:vAlign w:val="center"/>
            <w:tcMar>
              <w:top w:w="100" w:type="dxa"/>
              <w:start w:w="120" w:type="dxa"/>
              <w:bottom w:w="100" w:type="dxa"/>
              <w:end w:w="120" w:type="dxa"/>
            </w:tcMar>
          </w:tcPr>
          <w:p>
            <w:pPr>
              <w:spacing w:after="0"/>
            </w:pPr>
            <w:r>
              <w:rPr>
                <w:sz w:val="17"/>
              </w:rPr>
              <w:t>100,000,000</w:t>
            </w:r>
          </w:p>
        </w:tc>
      </w:tr>
      <w:tr>
        <w:tc>
          <w:tcPr>
            <w:tcW w:type="dxa" w:w="3331"/>
            <w:vAlign w:val="center"/>
            <w:tcMar>
              <w:top w:w="100" w:type="dxa"/>
              <w:start w:w="120" w:type="dxa"/>
              <w:bottom w:w="100" w:type="dxa"/>
              <w:end w:w="120" w:type="dxa"/>
            </w:tcMar>
          </w:tcPr>
          <w:p>
            <w:pPr>
              <w:spacing w:after="0"/>
            </w:pPr>
            <w:r>
              <w:rPr>
                <w:sz w:val="17"/>
              </w:rPr>
              <w:t>Total</w:t>
            </w:r>
          </w:p>
        </w:tc>
        <w:tc>
          <w:tcPr>
            <w:tcW w:type="dxa" w:w="3331"/>
            <w:vAlign w:val="center"/>
            <w:tcMar>
              <w:top w:w="100" w:type="dxa"/>
              <w:start w:w="120" w:type="dxa"/>
              <w:bottom w:w="100" w:type="dxa"/>
              <w:end w:w="120" w:type="dxa"/>
            </w:tcMar>
          </w:tcPr>
          <w:p>
            <w:pPr>
              <w:spacing w:after="0"/>
            </w:pPr>
            <w:r>
              <w:rPr>
                <w:sz w:val="17"/>
              </w:rPr>
              <w:t>100%</w:t>
            </w:r>
          </w:p>
        </w:tc>
        <w:tc>
          <w:tcPr>
            <w:tcW w:type="dxa" w:w="3331"/>
            <w:vAlign w:val="center"/>
            <w:tcMar>
              <w:top w:w="100" w:type="dxa"/>
              <w:start w:w="120" w:type="dxa"/>
              <w:bottom w:w="100" w:type="dxa"/>
              <w:end w:w="120" w:type="dxa"/>
            </w:tcMar>
          </w:tcPr>
          <w:p>
            <w:pPr>
              <w:spacing w:after="0"/>
            </w:pPr>
            <w:r>
              <w:rPr>
                <w:sz w:val="17"/>
              </w:rPr>
              <w:t>1,000,000,000</w:t>
            </w:r>
          </w:p>
        </w:tc>
      </w:tr>
    </w:tbl>
    <w:p>
      <w:r>
        <w:t>These labels are public accounting categories. Project-controlled balances remain under the official treasury-control structure. The launch token itself does not impose vesting or transfer restrictions on these balances.</w:t>
      </w:r>
    </w:p>
    <w:p>
      <w:pPr>
        <w:pStyle w:val="Heading1"/>
      </w:pPr>
      <w:r>
        <w:t>9. Authority and Treasury Model</w:t>
      </w:r>
    </w:p>
    <w:tbl>
      <w:tblPr>
        <w:tblStyle w:val="TableGrid"/>
        <w:tblW w:type="auto" w:w="0"/>
        <w:jc w:val="center"/>
        <w:tblLook w:firstColumn="1" w:firstRow="1" w:lastColumn="0" w:lastRow="0" w:noHBand="0" w:noVBand="1" w:val="04A0"/>
      </w:tblPr>
      <w:tblGrid>
        <w:gridCol w:w="4997"/>
        <w:gridCol w:w="4997"/>
      </w:tblGrid>
      <w:tr>
        <w:tc>
          <w:tcPr>
            <w:tcW w:type="dxa" w:w="4997"/>
            <w:shd w:fill="DDEEE4"/>
            <w:vAlign w:val="center"/>
            <w:tcMar>
              <w:top w:w="100" w:type="dxa"/>
              <w:start w:w="120" w:type="dxa"/>
              <w:bottom w:w="100" w:type="dxa"/>
              <w:end w:w="120" w:type="dxa"/>
            </w:tcMar>
          </w:tcPr>
          <w:p>
            <w:r>
              <w:rPr>
                <w:b/>
                <w:color w:val="182D22"/>
                <w:sz w:val="18"/>
              </w:rPr>
              <w:t>Role</w:t>
            </w:r>
          </w:p>
        </w:tc>
        <w:tc>
          <w:tcPr>
            <w:tcW w:type="dxa" w:w="4997"/>
            <w:shd w:fill="DDEEE4"/>
            <w:vAlign w:val="center"/>
            <w:tcMar>
              <w:top w:w="100" w:type="dxa"/>
              <w:start w:w="120" w:type="dxa"/>
              <w:bottom w:w="100" w:type="dxa"/>
              <w:end w:w="120" w:type="dxa"/>
            </w:tcMar>
          </w:tcPr>
          <w:p>
            <w:r>
              <w:rPr>
                <w:b/>
                <w:color w:val="182D22"/>
                <w:sz w:val="18"/>
              </w:rPr>
              <w:t>Address</w:t>
            </w:r>
          </w:p>
        </w:tc>
      </w:tr>
      <w:tr>
        <w:tc>
          <w:tcPr>
            <w:tcW w:type="dxa" w:w="4997"/>
            <w:vAlign w:val="center"/>
            <w:tcMar>
              <w:top w:w="100" w:type="dxa"/>
              <w:start w:w="120" w:type="dxa"/>
              <w:bottom w:w="100" w:type="dxa"/>
              <w:end w:w="120" w:type="dxa"/>
            </w:tcMar>
          </w:tcPr>
          <w:p>
            <w:pPr>
              <w:spacing w:after="0"/>
            </w:pPr>
            <w:r>
              <w:rPr>
                <w:sz w:val="17"/>
              </w:rPr>
              <w:t>Squads v4 Program</w:t>
            </w:r>
          </w:p>
        </w:tc>
        <w:tc>
          <w:tcPr>
            <w:tcW w:type="dxa" w:w="4997"/>
            <w:vAlign w:val="center"/>
            <w:tcMar>
              <w:top w:w="100" w:type="dxa"/>
              <w:start w:w="120" w:type="dxa"/>
              <w:bottom w:w="100" w:type="dxa"/>
              <w:end w:w="120" w:type="dxa"/>
            </w:tcMar>
          </w:tcPr>
          <w:p>
            <w:pPr>
              <w:spacing w:after="0"/>
            </w:pPr>
            <w:r>
              <w:rPr>
                <w:sz w:val="17"/>
              </w:rPr>
              <w:t>SQDS4ep65T869zMMBKyuUq6aD6EgTu8psMjkvj52pCf</w:t>
            </w:r>
          </w:p>
        </w:tc>
      </w:tr>
      <w:tr>
        <w:tc>
          <w:tcPr>
            <w:tcW w:type="dxa" w:w="4997"/>
            <w:vAlign w:val="center"/>
            <w:tcMar>
              <w:top w:w="100" w:type="dxa"/>
              <w:start w:w="120" w:type="dxa"/>
              <w:bottom w:w="100" w:type="dxa"/>
              <w:end w:w="120" w:type="dxa"/>
            </w:tcMar>
          </w:tcPr>
          <w:p>
            <w:pPr>
              <w:spacing w:after="0"/>
            </w:pPr>
            <w:r>
              <w:rPr>
                <w:sz w:val="17"/>
              </w:rPr>
              <w:t>Multisig Account</w:t>
            </w:r>
          </w:p>
        </w:tc>
        <w:tc>
          <w:tcPr>
            <w:tcW w:type="dxa" w:w="4997"/>
            <w:vAlign w:val="center"/>
            <w:tcMar>
              <w:top w:w="100" w:type="dxa"/>
              <w:start w:w="120" w:type="dxa"/>
              <w:bottom w:w="100" w:type="dxa"/>
              <w:end w:w="120" w:type="dxa"/>
            </w:tcMar>
          </w:tcPr>
          <w:p>
            <w:pPr>
              <w:spacing w:after="0"/>
            </w:pPr>
            <w:r>
              <w:rPr>
                <w:sz w:val="17"/>
              </w:rPr>
              <w:t>9q5h51uR7ePgdwFyTUpuF98yREdkBM2MX5yk74a74JfR</w:t>
            </w:r>
          </w:p>
        </w:tc>
      </w:tr>
      <w:tr>
        <w:tc>
          <w:tcPr>
            <w:tcW w:type="dxa" w:w="4997"/>
            <w:vAlign w:val="center"/>
            <w:tcMar>
              <w:top w:w="100" w:type="dxa"/>
              <w:start w:w="120" w:type="dxa"/>
              <w:bottom w:w="100" w:type="dxa"/>
              <w:end w:w="120" w:type="dxa"/>
            </w:tcMar>
          </w:tcPr>
          <w:p>
            <w:pPr>
              <w:spacing w:after="0"/>
            </w:pPr>
            <w:r>
              <w:rPr>
                <w:sz w:val="17"/>
              </w:rPr>
              <w:t>Treasury Vault PDA</w:t>
            </w:r>
          </w:p>
        </w:tc>
        <w:tc>
          <w:tcPr>
            <w:tcW w:type="dxa" w:w="4997"/>
            <w:vAlign w:val="center"/>
            <w:tcMar>
              <w:top w:w="100" w:type="dxa"/>
              <w:start w:w="120" w:type="dxa"/>
              <w:bottom w:w="100" w:type="dxa"/>
              <w:end w:w="120" w:type="dxa"/>
            </w:tcMar>
          </w:tcPr>
          <w:p>
            <w:pPr>
              <w:spacing w:after="0"/>
            </w:pPr>
            <w:r>
              <w:rPr>
                <w:sz w:val="17"/>
              </w:rPr>
              <w:t>AZzDWNJQWuvwxwCDXhdHNAnj9dgFXMbD6NMQG851hyY7</w:t>
            </w:r>
          </w:p>
        </w:tc>
      </w:tr>
      <w:tr>
        <w:tc>
          <w:tcPr>
            <w:tcW w:type="dxa" w:w="4997"/>
            <w:vAlign w:val="center"/>
            <w:tcMar>
              <w:top w:w="100" w:type="dxa"/>
              <w:start w:w="120" w:type="dxa"/>
              <w:bottom w:w="100" w:type="dxa"/>
              <w:end w:w="120" w:type="dxa"/>
            </w:tcMar>
          </w:tcPr>
          <w:p>
            <w:pPr>
              <w:spacing w:after="0"/>
            </w:pPr>
            <w:r>
              <w:rPr>
                <w:sz w:val="17"/>
              </w:rPr>
              <w:t>Founder member 1</w:t>
            </w:r>
          </w:p>
        </w:tc>
        <w:tc>
          <w:tcPr>
            <w:tcW w:type="dxa" w:w="4997"/>
            <w:vAlign w:val="center"/>
            <w:tcMar>
              <w:top w:w="100" w:type="dxa"/>
              <w:start w:w="120" w:type="dxa"/>
              <w:bottom w:w="100" w:type="dxa"/>
              <w:end w:w="120" w:type="dxa"/>
            </w:tcMar>
          </w:tcPr>
          <w:p>
            <w:pPr>
              <w:spacing w:after="0"/>
            </w:pPr>
            <w:r>
              <w:rPr>
                <w:sz w:val="17"/>
              </w:rPr>
              <w:t>BwDQaHc6NTUtbaesL6SERjhLggrAkTmPFYBSrsYW3qcZ</w:t>
            </w:r>
          </w:p>
        </w:tc>
      </w:tr>
      <w:tr>
        <w:tc>
          <w:tcPr>
            <w:tcW w:type="dxa" w:w="4997"/>
            <w:vAlign w:val="center"/>
            <w:tcMar>
              <w:top w:w="100" w:type="dxa"/>
              <w:start w:w="120" w:type="dxa"/>
              <w:bottom w:w="100" w:type="dxa"/>
              <w:end w:w="120" w:type="dxa"/>
            </w:tcMar>
          </w:tcPr>
          <w:p>
            <w:pPr>
              <w:spacing w:after="0"/>
            </w:pPr>
            <w:r>
              <w:rPr>
                <w:sz w:val="17"/>
              </w:rPr>
              <w:t>Founder member 2</w:t>
            </w:r>
          </w:p>
        </w:tc>
        <w:tc>
          <w:tcPr>
            <w:tcW w:type="dxa" w:w="4997"/>
            <w:vAlign w:val="center"/>
            <w:tcMar>
              <w:top w:w="100" w:type="dxa"/>
              <w:start w:w="120" w:type="dxa"/>
              <w:bottom w:w="100" w:type="dxa"/>
              <w:end w:w="120" w:type="dxa"/>
            </w:tcMar>
          </w:tcPr>
          <w:p>
            <w:pPr>
              <w:spacing w:after="0"/>
            </w:pPr>
            <w:r>
              <w:rPr>
                <w:sz w:val="17"/>
              </w:rPr>
              <w:t>DwV3RocJcWn9DxYs5Mb88PPHjQFfzb4Khyjn5mFZFrBF</w:t>
            </w:r>
          </w:p>
        </w:tc>
      </w:tr>
      <w:tr>
        <w:tc>
          <w:tcPr>
            <w:tcW w:type="dxa" w:w="4997"/>
            <w:vAlign w:val="center"/>
            <w:tcMar>
              <w:top w:w="100" w:type="dxa"/>
              <w:start w:w="120" w:type="dxa"/>
              <w:bottom w:w="100" w:type="dxa"/>
              <w:end w:w="120" w:type="dxa"/>
            </w:tcMar>
          </w:tcPr>
          <w:p>
            <w:pPr>
              <w:spacing w:after="0"/>
            </w:pPr>
            <w:r>
              <w:rPr>
                <w:sz w:val="17"/>
              </w:rPr>
              <w:t>Threshold</w:t>
            </w:r>
          </w:p>
        </w:tc>
        <w:tc>
          <w:tcPr>
            <w:tcW w:type="dxa" w:w="4997"/>
            <w:vAlign w:val="center"/>
            <w:tcMar>
              <w:top w:w="100" w:type="dxa"/>
              <w:start w:w="120" w:type="dxa"/>
              <w:bottom w:w="100" w:type="dxa"/>
              <w:end w:w="120" w:type="dxa"/>
            </w:tcMar>
          </w:tcPr>
          <w:p>
            <w:pPr>
              <w:spacing w:after="0"/>
            </w:pPr>
            <w:r>
              <w:rPr>
                <w:sz w:val="17"/>
              </w:rPr>
              <w:t>2-of-2</w:t>
            </w:r>
          </w:p>
        </w:tc>
      </w:tr>
    </w:tbl>
    <w:p>
      <w:r>
        <w:t>The complete fixed supply is minted once. Mint Authority is revoked after allocation verification. Metadata Update Authority and project-controlled treasury authority remain under the approved Squads structure.</w:t>
      </w:r>
    </w:p>
    <w:p>
      <w:pPr>
        <w:pStyle w:val="Heading1"/>
      </w:pPr>
      <w:r>
        <w:t>10. Liquidity Strategy</w:t>
      </w:r>
    </w:p>
    <w:tbl>
      <w:tblPr>
        <w:tblStyle w:val="TableGrid"/>
        <w:tblW w:type="auto" w:w="0"/>
        <w:jc w:val="center"/>
        <w:tblLook w:firstColumn="1" w:firstRow="1" w:lastColumn="0" w:lastRow="0" w:noHBand="0" w:noVBand="1" w:val="04A0"/>
      </w:tblPr>
      <w:tblGrid>
        <w:gridCol w:w="4997"/>
        <w:gridCol w:w="4997"/>
      </w:tblGrid>
      <w:tr>
        <w:tc>
          <w:tcPr>
            <w:tcW w:type="dxa" w:w="4997"/>
            <w:shd w:fill="DDEEE4"/>
            <w:vAlign w:val="center"/>
            <w:tcMar>
              <w:top w:w="100" w:type="dxa"/>
              <w:start w:w="120" w:type="dxa"/>
              <w:bottom w:w="100" w:type="dxa"/>
              <w:end w:w="120" w:type="dxa"/>
            </w:tcMar>
          </w:tcPr>
          <w:p>
            <w:r>
              <w:rPr>
                <w:b/>
                <w:color w:val="182D22"/>
                <w:sz w:val="18"/>
              </w:rPr>
              <w:t>Cumulative realized proceeds</w:t>
            </w:r>
          </w:p>
        </w:tc>
        <w:tc>
          <w:tcPr>
            <w:tcW w:type="dxa" w:w="4997"/>
            <w:shd w:fill="DDEEE4"/>
            <w:vAlign w:val="center"/>
            <w:tcMar>
              <w:top w:w="100" w:type="dxa"/>
              <w:start w:w="120" w:type="dxa"/>
              <w:bottom w:w="100" w:type="dxa"/>
              <w:end w:w="120" w:type="dxa"/>
            </w:tcMar>
          </w:tcPr>
          <w:p>
            <w:r>
              <w:rPr>
                <w:b/>
                <w:color w:val="182D22"/>
                <w:sz w:val="18"/>
              </w:rPr>
              <w:t>Target cumulative liquidity contribution</w:t>
            </w:r>
          </w:p>
        </w:tc>
      </w:tr>
      <w:tr>
        <w:tc>
          <w:tcPr>
            <w:tcW w:type="dxa" w:w="4997"/>
            <w:vAlign w:val="center"/>
            <w:tcMar>
              <w:top w:w="100" w:type="dxa"/>
              <w:start w:w="120" w:type="dxa"/>
              <w:bottom w:w="100" w:type="dxa"/>
              <w:end w:w="120" w:type="dxa"/>
            </w:tcMar>
          </w:tcPr>
          <w:p>
            <w:pPr>
              <w:spacing w:after="0"/>
            </w:pPr>
            <w:r>
              <w:rPr>
                <w:sz w:val="17"/>
              </w:rPr>
              <w:t>USD 50,000</w:t>
            </w:r>
          </w:p>
        </w:tc>
        <w:tc>
          <w:tcPr>
            <w:tcW w:type="dxa" w:w="4997"/>
            <w:vAlign w:val="center"/>
            <w:tcMar>
              <w:top w:w="100" w:type="dxa"/>
              <w:start w:w="120" w:type="dxa"/>
              <w:bottom w:w="100" w:type="dxa"/>
              <w:end w:w="120" w:type="dxa"/>
            </w:tcMar>
          </w:tcPr>
          <w:p>
            <w:pPr>
              <w:spacing w:after="0"/>
            </w:pPr>
            <w:r>
              <w:rPr>
                <w:sz w:val="17"/>
              </w:rPr>
              <w:t>up to 18%</w:t>
            </w:r>
          </w:p>
        </w:tc>
      </w:tr>
      <w:tr>
        <w:tc>
          <w:tcPr>
            <w:tcW w:type="dxa" w:w="4997"/>
            <w:vAlign w:val="center"/>
            <w:tcMar>
              <w:top w:w="100" w:type="dxa"/>
              <w:start w:w="120" w:type="dxa"/>
              <w:bottom w:w="100" w:type="dxa"/>
              <w:end w:w="120" w:type="dxa"/>
            </w:tcMar>
          </w:tcPr>
          <w:p>
            <w:pPr>
              <w:spacing w:after="0"/>
            </w:pPr>
            <w:r>
              <w:rPr>
                <w:sz w:val="17"/>
              </w:rPr>
              <w:t>USD 100,000</w:t>
            </w:r>
          </w:p>
        </w:tc>
        <w:tc>
          <w:tcPr>
            <w:tcW w:type="dxa" w:w="4997"/>
            <w:vAlign w:val="center"/>
            <w:tcMar>
              <w:top w:w="100" w:type="dxa"/>
              <w:start w:w="120" w:type="dxa"/>
              <w:bottom w:w="100" w:type="dxa"/>
              <w:end w:w="120" w:type="dxa"/>
            </w:tcMar>
          </w:tcPr>
          <w:p>
            <w:pPr>
              <w:spacing w:after="0"/>
            </w:pPr>
            <w:r>
              <w:rPr>
                <w:sz w:val="17"/>
              </w:rPr>
              <w:t>up to 22%</w:t>
            </w:r>
          </w:p>
        </w:tc>
      </w:tr>
      <w:tr>
        <w:tc>
          <w:tcPr>
            <w:tcW w:type="dxa" w:w="4997"/>
            <w:vAlign w:val="center"/>
            <w:tcMar>
              <w:top w:w="100" w:type="dxa"/>
              <w:start w:w="120" w:type="dxa"/>
              <w:bottom w:w="100" w:type="dxa"/>
              <w:end w:w="120" w:type="dxa"/>
            </w:tcMar>
          </w:tcPr>
          <w:p>
            <w:pPr>
              <w:spacing w:after="0"/>
            </w:pPr>
            <w:r>
              <w:rPr>
                <w:sz w:val="17"/>
              </w:rPr>
              <w:t>USD 200,000</w:t>
            </w:r>
          </w:p>
        </w:tc>
        <w:tc>
          <w:tcPr>
            <w:tcW w:type="dxa" w:w="4997"/>
            <w:vAlign w:val="center"/>
            <w:tcMar>
              <w:top w:w="100" w:type="dxa"/>
              <w:start w:w="120" w:type="dxa"/>
              <w:bottom w:w="100" w:type="dxa"/>
              <w:end w:w="120" w:type="dxa"/>
            </w:tcMar>
          </w:tcPr>
          <w:p>
            <w:pPr>
              <w:spacing w:after="0"/>
            </w:pPr>
            <w:r>
              <w:rPr>
                <w:sz w:val="17"/>
              </w:rPr>
              <w:t>up to 32%</w:t>
            </w:r>
          </w:p>
        </w:tc>
      </w:tr>
    </w:tbl>
    <w:p>
      <w:r>
        <w:t>The percentages are cumulative target ratios, not additive percentages. Material liquidity actions should be executed through the approved 2-of-2 treasury process and publicly reported with transaction references.</w:t>
      </w:r>
    </w:p>
    <w:p>
      <w:r>
        <w:t>This strategy does not promise a fixed secondary-market price, permanent price floor, guaranteed buyback, or guaranteed liquidity value.</w:t>
      </w:r>
    </w:p>
    <w:p>
      <w:pPr>
        <w:pStyle w:val="Heading1"/>
      </w:pPr>
      <w:r>
        <w:t>11. Environmental Commitment</w:t>
      </w:r>
    </w:p>
    <w:p>
      <w:r>
        <w:t>Green Tree is a nature-aligned ecosystem, not merely a nature-themed brand.</w:t>
      </w:r>
    </w:p>
    <w:p>
      <w:r>
        <w:t>The project intends to organize more than ten substantial environmental missions per year, subject to feasibility, funding, permissions, local execution capacity, and public verification.</w:t>
      </w:r>
    </w:p>
    <w:p>
      <w:pPr>
        <w:pStyle w:val="ListBullet"/>
        <w:spacing w:after="40"/>
      </w:pPr>
      <w:r>
        <w:t>Defined location and environmental objective.</w:t>
      </w:r>
    </w:p>
    <w:p>
      <w:pPr>
        <w:pStyle w:val="ListBullet"/>
        <w:spacing w:after="40"/>
      </w:pPr>
      <w:r>
        <w:t>Capable executor or local partner.</w:t>
      </w:r>
    </w:p>
    <w:p>
      <w:pPr>
        <w:pStyle w:val="ListBullet"/>
        <w:spacing w:after="40"/>
      </w:pPr>
      <w:r>
        <w:t>Required permissions and legal feasibility.</w:t>
      </w:r>
    </w:p>
    <w:p>
      <w:pPr>
        <w:pStyle w:val="ListBullet"/>
        <w:spacing w:after="40"/>
      </w:pPr>
      <w:r>
        <w:t>Documented budget and measurable outputs.</w:t>
      </w:r>
    </w:p>
    <w:p>
      <w:pPr>
        <w:pStyle w:val="ListBullet"/>
        <w:spacing w:after="40"/>
      </w:pPr>
      <w:r>
        <w:t>Evidence and reporting plan.</w:t>
      </w:r>
    </w:p>
    <w:p>
      <w:pPr>
        <w:pStyle w:val="ListBullet"/>
        <w:spacing w:after="40"/>
      </w:pPr>
      <w:r>
        <w:t>Milestone-based execution where practical.</w:t>
      </w:r>
    </w:p>
    <w:p>
      <w:pPr>
        <w:pStyle w:val="ListBullet"/>
        <w:spacing w:after="40"/>
      </w:pPr>
      <w:r>
        <w:t>Final public outcome report.</w:t>
      </w:r>
    </w:p>
    <w:p>
      <w:pPr>
        <w:pStyle w:val="Heading1"/>
      </w:pPr>
      <w:r>
        <w:t>12. Mission Verification</w:t>
      </w:r>
    </w:p>
    <w:p>
      <w:r>
        <w:t>The official website is the permanent record for funded environmental missions. Each record should publish the mission location, executor, approved scope, budget, timeline, payments, evidence, measurable outputs, final expenditure, and final status.</w:t>
      </w:r>
    </w:p>
    <w:p>
      <w:r>
        <w:t>X and Telegram may distribute updates, but social posts do not replace the website evidence record.</w:t>
      </w:r>
    </w:p>
    <w:p>
      <w:pPr>
        <w:pStyle w:val="Heading1"/>
      </w:pPr>
      <w:r>
        <w:t>13. Transparency</w:t>
      </w:r>
    </w:p>
    <w:p>
      <w:pPr>
        <w:pStyle w:val="ListBullet"/>
        <w:spacing w:after="40"/>
      </w:pPr>
      <w:r>
        <w:t>Token identity and authorities.</w:t>
      </w:r>
    </w:p>
    <w:p>
      <w:pPr>
        <w:pStyle w:val="ListBullet"/>
        <w:spacing w:after="40"/>
      </w:pPr>
      <w:r>
        <w:t>Treasury-controlled addresses.</w:t>
      </w:r>
    </w:p>
    <w:p>
      <w:pPr>
        <w:pStyle w:val="ListBullet"/>
        <w:spacing w:after="40"/>
      </w:pPr>
      <w:r>
        <w:t>Liquidity contributions.</w:t>
      </w:r>
    </w:p>
    <w:p>
      <w:pPr>
        <w:pStyle w:val="ListBullet"/>
        <w:spacing w:after="40"/>
      </w:pPr>
      <w:r>
        <w:t>Material allocation movements.</w:t>
      </w:r>
    </w:p>
    <w:p>
      <w:pPr>
        <w:pStyle w:val="ListBullet"/>
        <w:spacing w:after="40"/>
      </w:pPr>
      <w:r>
        <w:t>Environmental mission budgets and evidence.</w:t>
      </w:r>
    </w:p>
    <w:p>
      <w:pPr>
        <w:pStyle w:val="ListBullet"/>
        <w:spacing w:after="40"/>
      </w:pPr>
      <w:r>
        <w:t>Material protocol or policy changes.</w:t>
      </w:r>
    </w:p>
    <w:p>
      <w:pPr>
        <w:pStyle w:val="ListBullet"/>
        <w:spacing w:after="40"/>
      </w:pPr>
      <w:r>
        <w:t>Incidents affecting users or treasury assets.</w:t>
      </w:r>
    </w:p>
    <w:p>
      <w:r>
        <w:t>Transparency does not require publishing private keys, seed phrases, personal information, or security-sensitive material.</w:t>
      </w:r>
    </w:p>
    <w:p>
      <w:pPr>
        <w:pStyle w:val="Heading1"/>
      </w:pPr>
      <w:r>
        <w:t>14. Future Development</w:t>
      </w:r>
    </w:p>
    <w:p>
      <w:r>
        <w:t>Future products may include Digital Tree, Green Score, TreeDrop, mission participation, governance, marketplace features, and other ecosystem modules.</w:t>
      </w:r>
    </w:p>
    <w:p>
      <w:r>
        <w:t>Future presale, vesting, freeze, or smart-contract modules are not active at launch. Any future module must be separately reviewed, versioned, tested, and published. It must not silently or retroactively reduce the transfer rights of existing holders.</w:t>
      </w:r>
    </w:p>
    <w:p>
      <w:pPr>
        <w:pStyle w:val="Heading1"/>
      </w:pPr>
      <w:r>
        <w:t>15. Risks</w:t>
      </w:r>
    </w:p>
    <w:p>
      <w:r>
        <w:t>GTREE participation involves market, liquidity, technical, wallet, operational, legal, tax, regulatory, custody, governance, and environmental-execution risks.</w:t>
      </w:r>
    </w:p>
    <w:p>
      <w:r>
        <w:t>The token price may be volatile. DEX liquidity may be limited. Quotes may expire. Slippage may be material. Environmental missions may be delayed or fail. Listings, adoption, market value, mission funding, and future product delivery are not guaranteed.</w:t>
      </w:r>
    </w:p>
    <w:p>
      <w:pPr>
        <w:pStyle w:val="Heading1"/>
      </w:pPr>
      <w:r>
        <w:t>16. Official Links</w:t>
      </w:r>
    </w:p>
    <w:p>
      <w:r>
        <w:rPr>
          <w:b/>
        </w:rPr>
        <w:t xml:space="preserve">Website: </w:t>
      </w:r>
      <w:hyperlink r:id="rId11">
        <w:r>
          <w:rPr>
            <w:color w:val="1F6B48"/>
            <w:u w:val="single"/>
          </w:rPr>
          <w:t>https://gtree.land</w:t>
        </w:r>
      </w:hyperlink>
    </w:p>
    <w:p>
      <w:r>
        <w:rPr>
          <w:b/>
        </w:rPr>
        <w:t xml:space="preserve">X - Official: </w:t>
      </w:r>
      <w:hyperlink r:id="rId12">
        <w:r>
          <w:rPr>
            <w:color w:val="1F6B48"/>
            <w:u w:val="single"/>
          </w:rPr>
          <w:t>https://x.com/GreenTreeHQ</w:t>
        </w:r>
      </w:hyperlink>
    </w:p>
    <w:p>
      <w:r>
        <w:rPr>
          <w:b/>
        </w:rPr>
        <w:t xml:space="preserve">X - Green Tree Labs: </w:t>
      </w:r>
      <w:hyperlink r:id="rId13">
        <w:r>
          <w:rPr>
            <w:color w:val="1F6B48"/>
            <w:u w:val="single"/>
          </w:rPr>
          <w:t>https://x.com/greentree_labs</w:t>
        </w:r>
      </w:hyperlink>
    </w:p>
    <w:p>
      <w:r>
        <w:rPr>
          <w:b/>
        </w:rPr>
        <w:t xml:space="preserve">Telegram: </w:t>
      </w:r>
      <w:r>
        <w:t>To be announced</w:t>
      </w:r>
    </w:p>
    <w:p>
      <w:r>
        <w:rPr>
          <w:b/>
        </w:rPr>
        <w:t xml:space="preserve">Token metadata: </w:t>
      </w:r>
      <w:hyperlink r:id="rId14">
        <w:r>
          <w:rPr>
            <w:color w:val="1F6B48"/>
            <w:u w:val="single"/>
          </w:rPr>
          <w:t>https://gtree.land/assets/token/metadata.json</w:t>
        </w:r>
      </w:hyperlink>
    </w:p>
    <w:p>
      <w:r>
        <w:rPr>
          <w:b/>
        </w:rPr>
        <w:t xml:space="preserve">Token image: </w:t>
      </w:r>
      <w:hyperlink r:id="rId15">
        <w:r>
          <w:rPr>
            <w:color w:val="1F6B48"/>
            <w:u w:val="single"/>
          </w:rPr>
          <w:t>https://gtree.land/assets/token/green-tree-token-logo.png</w:t>
        </w:r>
      </w:hyperlink>
    </w:p>
    <w:p>
      <w:pPr>
        <w:pStyle w:val="Heading1"/>
      </w:pPr>
      <w:r>
        <w:t>17. Disclaimer</w:t>
      </w:r>
    </w:p>
    <w:p>
      <w:r>
        <w:t>This document is informational and does not constitute financial, investment, legal, tax, environmental, or regulatory advice. GTREE is not presented as a guaranteed-return product. Users are responsible for evaluating applicable law, market risk, wallet security, transaction details, and their own financial circumstances.</w:t>
      </w:r>
    </w:p>
    <w:p>
      <w:pPr>
        <w:pStyle w:val="Heading1"/>
      </w:pPr>
      <w:r>
        <w:t>18. Closing</w:t>
      </w:r>
    </w:p>
    <w:p>
      <w:r>
        <w:t>A tree alone cannot become a forest. A token alone cannot become an ecosystem. Communities create lasting value.</w:t>
      </w:r>
    </w:p>
    <w:p>
      <w:pPr>
        <w:jc w:val="center"/>
      </w:pPr>
      <w:r>
        <w:rPr>
          <w:b/>
          <w:color w:val="1F6B48"/>
          <w:sz w:val="36"/>
        </w:rPr>
        <w:t>Grow Together</w:t>
      </w:r>
    </w:p>
    <w:sectPr w:rsidR="00FC693F" w:rsidRPr="0006063C" w:rsidSect="00034616">
      <w:footerReference w:type="default" r:id="rId9"/>
      <w:pgSz w:w="12240" w:h="15840"/>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25D"/>
        <w:sz w:val="16"/>
      </w:rPr>
      <w:t xml:space="preserve">Green Tree | Official Working Document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color w:val="182D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F6B48"/>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182D2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6B4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6B4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tree.land" TargetMode="External"/><Relationship Id="rId12" Type="http://schemas.openxmlformats.org/officeDocument/2006/relationships/hyperlink" Target="https://x.com/GreenTreeHQ" TargetMode="External"/><Relationship Id="rId13" Type="http://schemas.openxmlformats.org/officeDocument/2006/relationships/hyperlink" Target="https://x.com/greentree_labs" TargetMode="External"/><Relationship Id="rId14" Type="http://schemas.openxmlformats.org/officeDocument/2006/relationships/hyperlink" Target="https://gtree.land/assets/token/metadata.json" TargetMode="External"/><Relationship Id="rId15" Type="http://schemas.openxmlformats.org/officeDocument/2006/relationships/hyperlink" Target="https://gtree.land/assets/token/green-tree-token-logo.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