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F4E78"/>
          <w:sz w:val="28"/>
          <w:szCs w:val="28"/>
        </w:rPr>
        <w:t xml:space="preserve">JupiterOne — PAIN Rating Scoring Rubric</w:t>
      </w:r>
    </w:p>
    <w:p>
      <w:pPr>
        <w:spacing w:after="300"/>
        <w:jc w:val="center"/>
      </w:pPr>
      <w:r>
        <w:rPr>
          <w:i/>
          <w:iCs/>
          <w:color w:val="595959"/>
          <w:sz w:val="18"/>
          <w:szCs w:val="18"/>
        </w:rPr>
        <w:t xml:space="preserve">Satisfies VDR-TFR-PVR (Mitigation and Remediation Expectations) and VER-TFR-EVU (Evaluate Vulnerabilities Quickly)</w:t>
      </w:r>
    </w:p>
    <w:p>
      <w:pPr>
        <w:pStyle w:val="Heading1"/>
        <w:spacing w:after="200" w:before="300"/>
      </w:pPr>
      <w:r>
        <w:t xml:space="preserve">1. Purpose</w:t>
      </w:r>
    </w:p>
    <w:p>
      <w:pPr>
        <w:spacing w:after="150"/>
      </w:pPr>
      <w:r>
        <w:t xml:space="preserve">This rubric defines how JupiterOne assigns a Potential Agency Impact N-rating (PAIN, 1–5) to every detected vulnerability, and how that rating — combined with exploitability and reachability — determines the required remediation deadline. Every vulnerability MUST be evaluated within 14 days of detection (VER-TFR-EVU).</w:t>
      </w:r>
    </w:p>
    <w:p>
      <w:pPr>
        <w:pStyle w:val="Heading1"/>
        <w:spacing w:after="200" w:before="300"/>
      </w:pPr>
      <w:r>
        <w:t xml:space="preserve">2. PAIN Rating Scale (1–5)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400"/>
        <w:gridCol w:w="2700"/>
      </w:tblGrid>
      <w:tr>
        <w:tc>
          <w:tcPr>
            <w:tcW w:type="pct" w:w="13.333333333333334%"/>
            <w:shd w:fill="1F4E78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PAIN</w:t>
            </w:r>
          </w:p>
        </w:tc>
        <w:tc>
          <w:tcPr>
            <w:tcW w:type="pct" w:w="60%"/>
            <w:shd w:fill="1F4E78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W w:type="pct" w:w="30%"/>
            <w:shd w:fill="1F4E78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pct" w:w="13.333333333333334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pct" w:w="6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Critical potential impact to agency confidentiality, integrity, or availability. Could enable full compromise of federal customer data or the offering itself.</w:t>
            </w:r>
          </w:p>
        </w:tc>
        <w:tc>
          <w:tcPr>
            <w:tcW w:type="pct" w:w="3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Remote code execution on a system handling federal customer data; authentication bypass.</w:t>
            </w:r>
          </w:p>
        </w:tc>
      </w:tr>
      <w:tr>
        <w:tc>
          <w:tcPr>
            <w:tcW w:type="pct" w:w="13.333333333333334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pct" w:w="6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 potential impact. Significant data exposure or service disruption possible, but not full compromise.</w:t>
            </w:r>
          </w:p>
        </w:tc>
        <w:tc>
          <w:tcPr>
            <w:tcW w:type="pct" w:w="3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Privilege escalation within a single tenant; SSRF reaching internal metadata services.</w:t>
            </w:r>
          </w:p>
        </w:tc>
      </w:tr>
      <w:tr>
        <w:tc>
          <w:tcPr>
            <w:tcW w:type="pct" w:w="13.333333333333334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pct" w:w="6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Moderate potential impact. Limited data exposure or degraded functionality.</w:t>
            </w:r>
          </w:p>
        </w:tc>
        <w:tc>
          <w:tcPr>
            <w:tcW w:type="pct" w:w="3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Information disclosure of non-sensitive configuration data; denial of service on a non-critical component.</w:t>
            </w:r>
          </w:p>
        </w:tc>
      </w:tr>
      <w:tr>
        <w:tc>
          <w:tcPr>
            <w:tcW w:type="pct" w:w="13.333333333333334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pct" w:w="6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 potential impact. Minimal or indirect risk to confidentiality, integrity, or availability.</w:t>
            </w:r>
          </w:p>
        </w:tc>
        <w:tc>
          <w:tcPr>
            <w:tcW w:type="pct" w:w="3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Verbose error messages; missing security headers with no direct exploit path.</w:t>
            </w:r>
          </w:p>
        </w:tc>
      </w:tr>
      <w:tr>
        <w:tc>
          <w:tcPr>
            <w:tcW w:type="pct" w:w="13.333333333333334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pct" w:w="6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Minimal/informational. Best-practice deviation with negligible real-world risk.</w:t>
            </w:r>
          </w:p>
        </w:tc>
        <w:tc>
          <w:tcPr>
            <w:tcW w:type="pct" w:w="3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Outdated library version with no known exploitable vulnerability; minor misconfiguration.</w:t>
            </w:r>
          </w:p>
        </w:tc>
      </w:tr>
    </w:tbl>
    <w:p>
      <w:pPr>
        <w:pStyle w:val="Heading1"/>
        <w:spacing w:after="200" w:before="300"/>
      </w:pPr>
      <w:r>
        <w:t xml:space="preserve">3. Likely Exploitable Vulnerability (LEV) Determination</w:t>
      </w:r>
    </w:p>
    <w:p>
      <w:pPr>
        <w:spacing w:after="150"/>
      </w:pPr>
      <w:r>
        <w:t xml:space="preserve">A vulnerability is LEV (Likely Exploitable) if ANY of the following are true:</w:t>
      </w:r>
    </w:p>
    <w:p>
      <w:pPr>
        <w:spacing w:after="150"/>
      </w:pPr>
      <w:r>
        <w:t xml:space="preserve">• A public exploit, proof-of-concept, or exploitation framework module (e.g., Metasploit) exists.
• The vulnerability is listed in CISA's Known Exploited Vulnerabilities (KEV) catalog.
• Active exploitation has been observed in the wild per threat intelligence sources.
• The vulnerability requires no authentication and no user interaction to exploit.</w:t>
      </w:r>
    </w:p>
    <w:p>
      <w:pPr>
        <w:spacing w:after="150"/>
      </w:pPr>
      <w:r>
        <w:t xml:space="preserve">A vulnerability is NLEV (Not Likely Exploitable) if none of the above apply and exploitation would require significant attacker resources, insider access, or highly specific conditions unlikely to occur.</w:t>
      </w:r>
    </w:p>
    <w:p>
      <w:pPr>
        <w:pStyle w:val="Heading1"/>
        <w:spacing w:after="200" w:before="300"/>
      </w:pPr>
      <w:r>
        <w:t xml:space="preserve">4. Reachability Determination</w:t>
      </w:r>
    </w:p>
    <w:p>
      <w:pPr>
        <w:spacing w:after="150"/>
      </w:pPr>
      <w:r>
        <w:t xml:space="preserve">An affected information resource is Internet-Reachable (IRV) if it is directly accessible from the public internet without requiring VPN, private network access, or other network-layer restriction. It is Not Internet-Reachable (NIRV) if access requires JupiterOne's VPN, is restricted to internal VPC/security-group-scoped traffic, or otherwise requires privileged network position.</w:t>
      </w:r>
    </w:p>
    <w:p>
      <w:pPr>
        <w:spacing w:after="150"/>
      </w:pPr>
      <w:r>
        <w:t xml:space="preserve">Reachability determination should reference JupiterOne's own asset and network topology data (already maintained per KSI-CNA-RNT / MAS-CSO-IIR) rather than being assessed manually per finding where automatable.</w:t>
      </w:r>
    </w:p>
    <w:p>
      <w:pPr>
        <w:pStyle w:val="Heading1"/>
        <w:spacing w:after="200" w:before="300"/>
      </w:pPr>
      <w:r>
        <w:t xml:space="preserve">5. Remediation Timeframe Table</w:t>
      </w:r>
    </w:p>
    <w:p>
      <w:pPr>
        <w:spacing w:after="150"/>
      </w:pPr>
      <w:r>
        <w:t xml:space="preserve">Once PAIN, LEV/NLEV, and reachability are determined, the following timeframe applies from the date of evaluation (not detection):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600"/>
        <w:gridCol w:w="2600"/>
      </w:tblGrid>
      <w:tr>
        <w:tc>
          <w:tcPr>
            <w:tcW w:type="pct" w:w="13.333333333333334%"/>
            <w:shd w:fill="1F4E78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PAIN</w:t>
            </w:r>
          </w:p>
        </w:tc>
        <w:tc>
          <w:tcPr>
            <w:tcW w:type="pct" w:w="28.88888888888889%"/>
            <w:shd w:fill="1F4E78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LEV + Internet-Reachable</w:t>
            </w:r>
          </w:p>
        </w:tc>
        <w:tc>
          <w:tcPr>
            <w:tcW w:type="pct" w:w="28.88888888888889%"/>
            <w:shd w:fill="1F4E78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LEV + Not Internet-Reachable</w:t>
            </w:r>
          </w:p>
        </w:tc>
        <w:tc>
          <w:tcPr>
            <w:tcW w:type="pct" w:w="28.88888888888889%"/>
            <w:shd w:fill="1F4E78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 Likely Exploitable</w:t>
            </w:r>
          </w:p>
        </w:tc>
      </w:tr>
      <w:tr>
        <w:tc>
          <w:tcPr>
            <w:tcW w:type="pct" w:w="13.333333333333334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pct" w:w="28.88888888888889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 days</w:t>
            </w:r>
          </w:p>
        </w:tc>
        <w:tc>
          <w:tcPr>
            <w:tcW w:type="pct" w:w="28.88888888888889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 days</w:t>
            </w:r>
          </w:p>
        </w:tc>
        <w:tc>
          <w:tcPr>
            <w:tcW w:type="pct" w:w="28.88888888888889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32 days</w:t>
            </w:r>
          </w:p>
        </w:tc>
      </w:tr>
      <w:tr>
        <w:tc>
          <w:tcPr>
            <w:tcW w:type="pct" w:w="13.333333333333334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pct" w:w="28.88888888888889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 days</w:t>
            </w:r>
          </w:p>
        </w:tc>
        <w:tc>
          <w:tcPr>
            <w:tcW w:type="pct" w:w="28.88888888888889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32 days</w:t>
            </w:r>
          </w:p>
        </w:tc>
        <w:tc>
          <w:tcPr>
            <w:tcW w:type="pct" w:w="28.88888888888889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64 days</w:t>
            </w:r>
          </w:p>
        </w:tc>
      </w:tr>
      <w:tr>
        <w:tc>
          <w:tcPr>
            <w:tcW w:type="pct" w:w="13.333333333333334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pct" w:w="28.88888888888889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32 days</w:t>
            </w:r>
          </w:p>
        </w:tc>
        <w:tc>
          <w:tcPr>
            <w:tcW w:type="pct" w:w="28.88888888888889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64 days</w:t>
            </w:r>
          </w:p>
        </w:tc>
        <w:tc>
          <w:tcPr>
            <w:tcW w:type="pct" w:w="28.88888888888889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192 days</w:t>
            </w:r>
          </w:p>
        </w:tc>
      </w:tr>
      <w:tr>
        <w:tc>
          <w:tcPr>
            <w:tcW w:type="pct" w:w="13.333333333333334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pct" w:w="28.88888888888889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96 days</w:t>
            </w:r>
          </w:p>
        </w:tc>
        <w:tc>
          <w:tcPr>
            <w:tcW w:type="pct" w:w="28.88888888888889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160 days</w:t>
            </w:r>
          </w:p>
        </w:tc>
        <w:tc>
          <w:tcPr>
            <w:tcW w:type="pct" w:w="28.88888888888889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192 days</w:t>
            </w:r>
          </w:p>
        </w:tc>
      </w:tr>
      <w:tr>
        <w:tc>
          <w:tcPr>
            <w:tcW w:type="pct" w:w="13.333333333333334%"/>
            <w:shd w:fill="FFF2CC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1*</w:t>
            </w:r>
          </w:p>
        </w:tc>
        <w:tc>
          <w:tcPr>
            <w:tcW w:type="pct" w:w="28.88888888888889%"/>
            <w:shd w:fill="FFF2CC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365 days</w:t>
            </w:r>
          </w:p>
        </w:tc>
        <w:tc>
          <w:tcPr>
            <w:tcW w:type="pct" w:w="28.88888888888889%"/>
            <w:shd w:fill="FFF2CC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365 days</w:t>
            </w:r>
          </w:p>
        </w:tc>
        <w:tc>
          <w:tcPr>
            <w:tcW w:type="pct" w:w="28.88888888888889%"/>
            <w:shd w:fill="FFF2CC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mandated deadline — tracked for trend monitoring</w:t>
            </w:r>
          </w:p>
        </w:tc>
      </w:tr>
    </w:tbl>
    <w:p>
      <w:pPr>
        <w:spacing w:after="150"/>
      </w:pPr>
      <w:r>
        <w:t xml:space="preserve">*PAIN-1 row added by JupiterOne and is NOT sourced from a FedRAMP-published table — FedRAMP's reference table only defines PAIN 2–5. Since PAIN-1 findings are “minimal/informational” with negligible real-world risk, JupiterOne is applying its own conservative interpretation pending confirmation from FedRAMP or JupiterOne's advisor on whether PAIN-1 is intentionally exempt from a mandated SLA. Confirm and revise before relying on this row as a compliance deadline.</w:t>
      </w:r>
    </w:p>
    <w:p>
      <w:pPr>
        <w:spacing w:after="150"/>
      </w:pPr>
      <w:r>
        <w:t xml:space="preserve">A vulnerability is considered remediated when it is fully mitigated, partially mitigated to reduce PAIN to an acceptable level, or resolved to a lower PAIN rating within the applicable timeframe.</w:t>
      </w:r>
    </w:p>
    <w:p>
      <w:pPr>
        <w:pStyle w:val="Heading1"/>
        <w:spacing w:after="200" w:before="300"/>
      </w:pPr>
      <w:r>
        <w:t xml:space="preserve">6. Evaluation Timing</w:t>
      </w:r>
    </w:p>
    <w:p>
      <w:pPr>
        <w:spacing w:after="150"/>
      </w:pPr>
      <w:r>
        <w:t xml:space="preserve">Every detected vulnerability MUST have a PAIN rating, LEV determination, and reachability determination assigned within 14 days of detection (VER-TFR-EVU). The remediation clock (Section 5) begins at the date of this evaluation, not the date of initial detection.</w:t>
      </w:r>
    </w:p>
    <w:p>
      <w:pPr>
        <w:pStyle w:val="Heading1"/>
        <w:spacing w:after="200" w:before="300"/>
      </w:pPr>
      <w:r>
        <w:t xml:space="preserve">7. Process Integration</w:t>
      </w:r>
    </w:p>
    <w:p>
      <w:pPr>
        <w:spacing w:after="150"/>
      </w:pPr>
      <w:r>
        <w:t xml:space="preserve">PAIN, LEV, and reachability fields should be added to whatever system tracks vulnerability findings (e.g., a custom field set in the existing ticketing/vulnerability management tooling), populated at evaluation time, with due dates calculated automatically from Section 5 and monitored for SLA compliance.</w:t>
      </w:r>
    </w:p>
    <w:p>
      <w:pPr>
        <w:pStyle w:val="Heading1"/>
        <w:spacing w:after="200" w:before="300"/>
      </w:pPr>
      <w:r>
        <w:t xml:space="preserve">8. Ownership and Review</w:t>
      </w:r>
    </w:p>
    <w:p>
      <w:pPr>
        <w:spacing w:after="150"/>
      </w:pPr>
      <w:r>
        <w:t xml:space="preserve">Christopher Doyle, Security Architect, owns this rubric and is responsible for its application. This rubric is reviewed on the same cadence as JupiterOne's vulnerability management process (annually, alongside SOC 2 CC7.1 testing).</w:t>
      </w:r>
    </w:p>
    <w:p>
      <w:pPr>
        <w:pBdr>
          <w:top w:val="single" w:color="999999" w:sz="6" w:space="1"/>
        </w:pBdr>
        <w:spacing w:after="200" w:before="300"/>
      </w:pP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2026-09-15T14:14:33.139Z</dcterms:created>
  <dcterms:modified xsi:type="dcterms:W3CDTF">2026-09-15T14:14:33.148Z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