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8"/>
          <w:sz w:val="28"/>
          <w:szCs w:val="28"/>
        </w:rPr>
        <w:t xml:space="preserve">JupiterOne GovCloud — Final Incident Report (FIR) Template</w:t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Use to formally close out an incident previously reported via an Initial Incident Report and any Ongoing Incident Reports, per IEC-CSO-FIR.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pct" w:w="40%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60%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Incident ID / Tracking Number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EXAMPLE-2027-002 (same as Initial and Ongoing Incident Reports)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 Service Offering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JupiterOne GovCloud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Federal Incident Response Coordinator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Christopher Doyle, Security Architect — christopher.doyle@jupiterone.com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Detected At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[DATE/TIME, timezone]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Resolved At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[DATE/TIME, timezone]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PAIN Rating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[1–5, with brief explanation — confirm against or update the Initial Report's estimate]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[Name / Title]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 Date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[DATE]</w:t>
            </w:r>
          </w:p>
        </w:tc>
      </w:tr>
    </w:tbl>
    <w:p>
      <w:pPr>
        <w:pStyle w:val="Heading1"/>
        <w:spacing w:after="200" w:before="300"/>
      </w:pPr>
      <w:r>
        <w:t xml:space="preserve">1. Summary</w:t>
      </w:r>
    </w:p>
    <w:p>
      <w:pPr>
        <w:spacing w:after="150"/>
      </w:pPr>
      <w:r>
        <w:t xml:space="preserve">[Plain-language summary of what happened, what was affected, and the outcome — closing out the incident first described in the Initial Incident Report and updated via any Ongoing Incident Reports.]</w:t>
      </w:r>
    </w:p>
    <w:p>
      <w:pPr>
        <w:pStyle w:val="Heading1"/>
        <w:spacing w:after="200" w:before="300"/>
      </w:pPr>
      <w:r>
        <w:t xml:space="preserve">2.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50%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pct" w:w="50%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Date/Time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Incident start (estimated)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[DATE/TIME]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[DATE/TIME]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Initial Incident Report filed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[DATE/TIME]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Ongoing Incident Report(s) filed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[DATE/TIME(s), if applicable]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Resolution confirmed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[DATE/TIME]</w:t>
            </w:r>
          </w:p>
        </w:tc>
      </w:tr>
    </w:tbl>
    <w:p>
      <w:pPr>
        <w:pStyle w:val="Heading1"/>
        <w:spacing w:after="200" w:before="300"/>
      </w:pPr>
      <w:r>
        <w:t xml:space="preserve">3. Root Cause</w:t>
      </w:r>
    </w:p>
    <w:p>
      <w:pPr>
        <w:spacing w:after="150"/>
      </w:pPr>
      <w:r>
        <w:t xml:space="preserve">[Final root cause determination — confirm or update the preliminary root cause from the Ongoing Incident Report.]</w:t>
      </w:r>
    </w:p>
    <w:p>
      <w:pPr>
        <w:pStyle w:val="Heading1"/>
        <w:spacing w:after="200" w:before="300"/>
      </w:pPr>
      <w:r>
        <w:t xml:space="preserve">4. Impact Assessment</w:t>
      </w:r>
    </w:p>
    <w:p>
      <w:pPr>
        <w:spacing w:after="150"/>
      </w:pPr>
      <w:r>
        <w:t xml:space="preserve">[Systems, data, and users affected; whether federal customer data or systems within the FedRAMP Minimum Assessment Scope were impacted.]</w:t>
      </w:r>
    </w:p>
    <w:p>
      <w:pPr>
        <w:pStyle w:val="Heading1"/>
        <w:spacing w:after="200" w:before="300"/>
      </w:pPr>
      <w:r>
        <w:t xml:space="preserve">5. Remediation Actions Taken</w:t>
      </w:r>
    </w:p>
    <w:p>
      <w:pPr>
        <w:spacing w:after="150"/>
      </w:pPr>
      <w:r>
        <w:t xml:space="preserve">[Actions taken to contain, eradicate, and recover, building on the response and recovery activities already described in the Ongoing Incident Report.]</w:t>
      </w:r>
    </w:p>
    <w:p>
      <w:pPr>
        <w:pStyle w:val="Heading1"/>
        <w:spacing w:after="200" w:before="300"/>
      </w:pPr>
      <w:r>
        <w:t xml:space="preserve">6. Corrective Actions / Preventive Measures</w:t>
      </w:r>
    </w:p>
    <w:p>
      <w:pPr>
        <w:spacing w:after="150"/>
      </w:pPr>
      <w:r>
        <w:t xml:space="preserve">[Longer-term changes made or planned to prevent recurrence — policy updates, technical controls, training, etc.]</w:t>
      </w:r>
    </w:p>
    <w:p>
      <w:pPr>
        <w:pStyle w:val="Heading1"/>
        <w:spacing w:after="200" w:before="300"/>
      </w:pPr>
      <w:r>
        <w:t xml:space="preserve">7. Communication 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200"/>
        <w:gridCol w:w="2400"/>
      </w:tblGrid>
      <w:tr>
        <w:tc>
          <w:tcPr>
            <w:tcW w:type="pct" w:w="20%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pct" w:w="28.88888888888889%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pct" w:w="24.444444444444443%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26.666666666666668%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[DATE]</w:t>
            </w:r>
          </w:p>
        </w:tc>
        <w:tc>
          <w:tcPr>
            <w:tcW w:type="pct" w:w="28.88888888888889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[Affected users / FedRAMP / Agency customers]</w:t>
            </w:r>
          </w:p>
        </w:tc>
        <w:tc>
          <w:tcPr>
            <w:tcW w:type="pct" w:w="24.44444444444444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[Email / Portal / Status page]</w:t>
            </w:r>
          </w:p>
        </w:tc>
        <w:tc>
          <w:tcPr>
            <w:tcW w:type="pct" w:w="26.666666666666668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[Brief summary of what was communicated]</w:t>
            </w:r>
          </w:p>
        </w:tc>
      </w:tr>
    </w:tbl>
    <w:p>
      <w:pPr>
        <w:pStyle w:val="Heading1"/>
        <w:spacing w:after="200" w:before="300"/>
      </w:pPr>
      <w:r>
        <w:t xml:space="preserve">8. Resolution Confirmation</w:t>
      </w:r>
    </w:p>
    <w:p>
      <w:pPr>
        <w:spacing w:after="150"/>
      </w:pPr>
      <w:r>
        <w:t xml:space="preserve">This incident is confirmed resolved as of [DATE], with no further remediation actions outstanding. [Or: the following items remain open: ____.]</w:t>
      </w:r>
    </w:p>
    <w:p>
      <w:pPr>
        <w:pBdr>
          <w:top w:val="single" w:color="999999" w:sz="6" w:space="1"/>
        </w:pBdr>
        <w:spacing w:after="200" w:before="30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2026-09-15T13:21:12.196Z</dcterms:created>
  <dcterms:modified xsi:type="dcterms:W3CDTF">2026-09-15T13:21:12.209Z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