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8"/>
          <w:sz w:val="32"/>
          <w:szCs w:val="32"/>
          <w:rtl w:val="0"/>
        </w:rPr>
        <w:t xml:space="preserve">JupiterOne GovCloud</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color w:val="1f4e78"/>
          <w:sz w:val="26"/>
          <w:szCs w:val="26"/>
          <w:rtl w:val="0"/>
        </w:rPr>
        <w:t xml:space="preserve">Secure Configuration Guidance</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i w:val="1"/>
          <w:iCs w:val="1"/>
          <w:color w:val="595959"/>
          <w:sz w:val="20"/>
          <w:szCs w:val="20"/>
          <w:rtl w:val="0"/>
        </w:rPr>
        <w:t xml:space="preserve">Version 1.0 — August 10, 2026</w:t>
      </w:r>
      <w:r w:rsidDel="00000000" w:rsidR="00000000" w:rsidRPr="00000000">
        <w:rPr>
          <w:rtl w:val="0"/>
        </w:rPr>
      </w:r>
    </w:p>
    <w:p w:rsidR="00000000" w:rsidDel="00000000" w:rsidP="00000000" w:rsidRDefault="00000000" w:rsidRPr="00000000" w14:paraId="00000004">
      <w:pPr>
        <w:spacing w:after="150" w:lineRule="auto"/>
        <w:rPr/>
      </w:pPr>
      <w:r w:rsidDel="00000000" w:rsidR="00000000" w:rsidRPr="00000000">
        <w:rPr>
          <w:rtl w:val="0"/>
        </w:rPr>
        <w:t xml:space="preserve">This guide explains how customer administrators should configure and operate JupiterOne GovCloud securely, with particular attention to top-level administrative accounts, privileged accounts, and security-related settings, consistent with FedRAMP's Secure Configuration Guide requirements (SCG-CSO-RSC).</w:t>
      </w:r>
    </w:p>
    <w:p w:rsidR="00000000" w:rsidDel="00000000" w:rsidP="00000000" w:rsidRDefault="00000000" w:rsidRPr="00000000" w14:paraId="00000005">
      <w:pPr>
        <w:pStyle w:val="Heading1"/>
        <w:spacing w:after="200" w:before="300" w:lineRule="auto"/>
        <w:rPr/>
      </w:pPr>
      <w:r w:rsidDel="00000000" w:rsidR="00000000" w:rsidRPr="00000000">
        <w:rPr>
          <w:rtl w:val="0"/>
        </w:rPr>
        <w:t xml:space="preserve">1. Top-Level Administrative Accounts</w:t>
      </w:r>
    </w:p>
    <w:p w:rsidR="00000000" w:rsidDel="00000000" w:rsidP="00000000" w:rsidRDefault="00000000" w:rsidRPr="00000000" w14:paraId="00000006">
      <w:pPr>
        <w:spacing w:after="150" w:lineRule="auto"/>
        <w:rPr/>
      </w:pPr>
      <w:r w:rsidDel="00000000" w:rsidR="00000000" w:rsidRPr="00000000">
        <w:rPr>
          <w:rtl w:val="0"/>
        </w:rPr>
        <w:t xml:space="preserve">JupiterOne GovCloud administrative access is managed through account-level Settings &gt; Admin. Customers are responsible for the following upon initial setup and on an ongoing basis: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Designate a minimal number of individuals as account administrators. Administrative privileges should be limited to personnel who require them to perform their job function.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Immediately remove administrative access for any individual who changes roles or leaves the organization; do not rely solely on JupiterOne's automated deprovisioning if the individual's access originates outside of your connected identity provider.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Review the list of account administrators on a regular cadence (JupiterOne recommends quarterly, at minimum) to confirm continued business need.</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Decommission unused or orphaned administrative accounts as soon as they are identified.</w:t>
      </w:r>
    </w:p>
    <w:p w:rsidR="00000000" w:rsidDel="00000000" w:rsidP="00000000" w:rsidRDefault="00000000" w:rsidRPr="00000000" w14:paraId="0000000B">
      <w:pPr>
        <w:pStyle w:val="Heading1"/>
        <w:spacing w:after="200" w:before="300" w:lineRule="auto"/>
        <w:rPr/>
      </w:pPr>
      <w:r w:rsidDel="00000000" w:rsidR="00000000" w:rsidRPr="00000000">
        <w:rPr>
          <w:rtl w:val="0"/>
        </w:rPr>
        <w:t xml:space="preserve">2. Single Sign-On (SSO) and Multi-Factor Authentication</w:t>
      </w:r>
    </w:p>
    <w:p w:rsidR="00000000" w:rsidDel="00000000" w:rsidP="00000000" w:rsidRDefault="00000000" w:rsidRPr="00000000" w14:paraId="0000000C">
      <w:pPr>
        <w:spacing w:after="150" w:lineRule="auto"/>
        <w:rPr/>
      </w:pPr>
      <w:r w:rsidDel="00000000" w:rsidR="00000000" w:rsidRPr="00000000">
        <w:rPr>
          <w:rtl w:val="0"/>
        </w:rPr>
        <w:t xml:space="preserve">JupiterOne GovCloud supports SAML-based Single Sign-On integration with identity providers including Okta, Azure AD, and Google Workspace.</w:t>
      </w:r>
    </w:p>
    <w:p w:rsidR="00000000" w:rsidDel="00000000" w:rsidP="00000000" w:rsidRDefault="00000000" w:rsidRPr="00000000" w14:paraId="0000000D">
      <w:pPr>
        <w:pStyle w:val="Heading2"/>
        <w:spacing w:after="150" w:before="200" w:lineRule="auto"/>
        <w:rPr/>
      </w:pPr>
      <w:r w:rsidDel="00000000" w:rsidR="00000000" w:rsidRPr="00000000">
        <w:rPr>
          <w:rtl w:val="0"/>
        </w:rPr>
        <w:t xml:space="preserve">2.1 Enabling SSO</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Navigate to Settings &gt; Admin and enable Single Sign-On (SSO).</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Configure your identity provider's SAML metadata (ACS URL, Entity ID/Audience URI, and Name ID format set to Email) per your identity provider's JupiterOne integration instructions.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JupiterOne recommends mapping identity provider groups to JupiterOne groups (for example, via a custom jupiterone_groups attribute) so that access changes in your identity provider are reflected automatically in JupiterOne.</w:t>
      </w:r>
    </w:p>
    <w:p w:rsidR="00000000" w:rsidDel="00000000" w:rsidP="00000000" w:rsidRDefault="00000000" w:rsidRPr="00000000" w14:paraId="00000011">
      <w:pPr>
        <w:pStyle w:val="Heading2"/>
        <w:spacing w:after="150" w:before="200" w:lineRule="auto"/>
        <w:rPr/>
      </w:pPr>
      <w:r w:rsidDel="00000000" w:rsidR="00000000" w:rsidRPr="00000000">
        <w:rPr>
          <w:rtl w:val="0"/>
        </w:rPr>
        <w:t xml:space="preserve">2.2 Multi-Factor Authentication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any users who authenticate with email and password rather than SSO, enable "Require MFA for non-SSO users" under Settings &gt; Admin. This requires enrollment of an authenticator app before workspace access is granted.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JupiterOne strongly recommends enabling SSO organization-wide and reserving password-based login only for break-glass or service accounts, since SSO centralizes authentication policy (including MFA enforcement) in your identity provider rather than in JupiterOne itself.</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Customers evaluating phishing-resistant authentication (FIDO2/WebAuthn/passkeys) should enforce this at the identity provider level, since JupiterOne's own MFA enforcement for non-SSO users is authenticator-app based.</w:t>
      </w:r>
    </w:p>
    <w:p w:rsidR="00000000" w:rsidDel="00000000" w:rsidP="00000000" w:rsidRDefault="00000000" w:rsidRPr="00000000" w14:paraId="00000015">
      <w:pPr>
        <w:pStyle w:val="Heading1"/>
        <w:spacing w:after="200" w:before="300" w:lineRule="auto"/>
        <w:rPr/>
      </w:pPr>
      <w:r w:rsidDel="00000000" w:rsidR="00000000" w:rsidRPr="00000000">
        <w:rPr>
          <w:rtl w:val="0"/>
        </w:rPr>
        <w:t xml:space="preserve">3. Role-Based Access Control (RBAC)</w:t>
      </w:r>
    </w:p>
    <w:p w:rsidR="00000000" w:rsidDel="00000000" w:rsidP="00000000" w:rsidRDefault="00000000" w:rsidRPr="00000000" w14:paraId="00000016">
      <w:pPr>
        <w:spacing w:after="150" w:lineRule="auto"/>
        <w:rPr/>
      </w:pPr>
      <w:r w:rsidDel="00000000" w:rsidR="00000000" w:rsidRPr="00000000">
        <w:rPr>
          <w:rtl w:val="0"/>
        </w:rPr>
        <w:t xml:space="preserve">JupiterOne GovCloud provides three layers of access control that administrators should configure deliberately rather than relying on default permissions: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Layer RBAC — restricts what data users can access when writing J1QL queries or viewing dashboards, configured through query policies.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Resource RBAC — manages Create/Read/Update/Delete (CRUD) permissions for major resource types, including integrations, rules, and dashboards. Resources can be organized into resource groups for easier permission management.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App-Level Permissions — controls read/write access to specific application components.</w:t>
      </w:r>
    </w:p>
    <w:p w:rsidR="00000000" w:rsidDel="00000000" w:rsidP="00000000" w:rsidRDefault="00000000" w:rsidRPr="00000000" w14:paraId="0000001A">
      <w:pPr>
        <w:spacing w:after="150" w:lineRule="auto"/>
        <w:rPr/>
      </w:pPr>
      <w:r w:rsidDel="00000000" w:rsidR="00000000" w:rsidRPr="00000000">
        <w:rPr>
          <w:rtl w:val="0"/>
        </w:rPr>
        <w:t xml:space="preserve">Administrators should apply the principle of least privilege across all three layers: grant only the data visibility and resource management permissions each user or group needs for their role, and use Resource RBAC to restrict creation of alert rules, trend widgets, and questions for users who should not access sensitive underlying data.</w:t>
      </w:r>
    </w:p>
    <w:p w:rsidR="00000000" w:rsidDel="00000000" w:rsidP="00000000" w:rsidRDefault="00000000" w:rsidRPr="00000000" w14:paraId="0000001B">
      <w:pPr>
        <w:pStyle w:val="Heading1"/>
        <w:spacing w:after="200" w:before="300" w:lineRule="auto"/>
        <w:rPr/>
      </w:pPr>
      <w:r w:rsidDel="00000000" w:rsidR="00000000" w:rsidRPr="00000000">
        <w:rPr>
          <w:rtl w:val="0"/>
        </w:rPr>
        <w:t xml:space="preserve">4. API Token Management</w:t>
      </w:r>
    </w:p>
    <w:p w:rsidR="00000000" w:rsidDel="00000000" w:rsidP="00000000" w:rsidRDefault="00000000" w:rsidRPr="00000000" w14:paraId="0000001C">
      <w:pPr>
        <w:spacing w:after="150" w:lineRule="auto"/>
        <w:rPr/>
      </w:pPr>
      <w:r w:rsidDel="00000000" w:rsidR="00000000" w:rsidRPr="00000000">
        <w:rPr>
          <w:rtl w:val="0"/>
        </w:rPr>
        <w:t xml:space="preserve">JupiterOne GovCloud supports both account-wide and personal API tokens for programmatic access.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Account-wide API tokens are managed under Settings &gt; Admin &gt; Account API Tokens, where administrators can create, view, and revoke tokens and monitor an API consumption graph tracking daily invocation volume.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Personal API tokens are created and managed by each individual user under their own Profile settings.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Treat all API tokens as credentials: store them in a secrets manager rather than in code or configuration files, scope them as narrowly as possible, rotate them periodically, and revoke any token immediately upon suspected exposure or when it is no longer needed.</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Review the account-wide token list periodically to identify and remove unused or stale tokens.</w:t>
      </w:r>
    </w:p>
    <w:p w:rsidR="00000000" w:rsidDel="00000000" w:rsidP="00000000" w:rsidRDefault="00000000" w:rsidRPr="00000000" w14:paraId="00000021">
      <w:pPr>
        <w:pStyle w:val="Heading1"/>
        <w:spacing w:after="200" w:before="300" w:lineRule="auto"/>
        <w:rPr/>
      </w:pPr>
      <w:r w:rsidDel="00000000" w:rsidR="00000000" w:rsidRPr="00000000">
        <w:rPr>
          <w:rtl w:val="0"/>
        </w:rPr>
        <w:t xml:space="preserve">5. Integration Account Security</w:t>
      </w:r>
    </w:p>
    <w:p w:rsidR="00000000" w:rsidDel="00000000" w:rsidP="00000000" w:rsidRDefault="00000000" w:rsidRPr="00000000" w14:paraId="00000022">
      <w:pPr>
        <w:spacing w:after="150" w:lineRule="auto"/>
        <w:rPr/>
      </w:pPr>
      <w:r w:rsidDel="00000000" w:rsidR="00000000" w:rsidRPr="00000000">
        <w:rPr>
          <w:rtl w:val="0"/>
        </w:rPr>
        <w:t xml:space="preserve">JupiterOne GovCloud connects to customer environments (cloud providers, identity providers, code repositories, and other tools) through dedicated integration service accounts. When configuring integrations, customers should:</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Grant integration service accounts read-only / least-privilege scopes wherever an integration supports scoped permissions, rather than broad administrative access.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a dedicated, clearly named service account for JupiterOne (for example, a custom "JupiterOne System" role) rather than a shared or personal administrative account, so that integration activity is auditable and separable from human user activity.</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Review integration credentials and granted scopes on a periodic basis, and remove or rotate them if an integration is deprecated or replaced.</w:t>
      </w:r>
    </w:p>
    <w:p w:rsidR="00000000" w:rsidDel="00000000" w:rsidP="00000000" w:rsidRDefault="00000000" w:rsidRPr="00000000" w14:paraId="00000026">
      <w:pPr>
        <w:pStyle w:val="Heading1"/>
        <w:spacing w:after="200" w:before="300" w:lineRule="auto"/>
        <w:rPr/>
      </w:pPr>
      <w:r w:rsidDel="00000000" w:rsidR="00000000" w:rsidRPr="00000000">
        <w:rPr>
          <w:rtl w:val="0"/>
        </w:rPr>
        <w:t xml:space="preserve">6. Monitoring Administrative and Security-Relevant Settings</w:t>
      </w:r>
    </w:p>
    <w:p w:rsidR="00000000" w:rsidDel="00000000" w:rsidP="00000000" w:rsidRDefault="00000000" w:rsidRPr="00000000" w14:paraId="00000027">
      <w:pPr>
        <w:spacing w:after="150" w:lineRule="auto"/>
        <w:rPr/>
      </w:pPr>
      <w:r w:rsidDel="00000000" w:rsidR="00000000" w:rsidRPr="00000000">
        <w:rPr>
          <w:rtl w:val="0"/>
        </w:rPr>
        <w:t xml:space="preserve">Customers should periodically review the following security-relevant settings within their JupiterOne GovCloud workspace:</w:t>
      </w:r>
    </w:p>
    <w:tbl>
      <w:tblPr>
        <w:tblStyle w:val="Table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200"/>
        <w:gridCol w:w="3600"/>
        <w:tblGridChange w:id="0">
          <w:tblGrid>
            <w:gridCol w:w="3200"/>
            <w:gridCol w:w="3200"/>
            <w:gridCol w:w="3600"/>
          </w:tblGrid>
        </w:tblGridChange>
      </w:tblGrid>
      <w:tr>
        <w:trPr>
          <w:cantSplit w:val="0"/>
          <w:tblHeader w:val="0"/>
        </w:trPr>
        <w:tc>
          <w:tcPr>
            <w:shd w:fill="1f4e78" w:val="clear"/>
          </w:tcPr>
          <w:p w:rsidR="00000000" w:rsidDel="00000000" w:rsidP="00000000" w:rsidRDefault="00000000" w:rsidRPr="00000000" w14:paraId="00000028">
            <w:pPr>
              <w:rPr/>
            </w:pPr>
            <w:r w:rsidDel="00000000" w:rsidR="00000000" w:rsidRPr="00000000">
              <w:rPr>
                <w:b w:val="1"/>
                <w:bCs w:val="1"/>
                <w:color w:val="ffffff"/>
                <w:sz w:val="20"/>
                <w:szCs w:val="20"/>
                <w:rtl w:val="0"/>
              </w:rPr>
              <w:t xml:space="preserve">Setting Area</w:t>
            </w:r>
            <w:r w:rsidDel="00000000" w:rsidR="00000000" w:rsidRPr="00000000">
              <w:rPr>
                <w:rtl w:val="0"/>
              </w:rPr>
            </w:r>
          </w:p>
        </w:tc>
        <w:tc>
          <w:tcPr>
            <w:shd w:fill="1f4e78" w:val="clear"/>
          </w:tcPr>
          <w:p w:rsidR="00000000" w:rsidDel="00000000" w:rsidP="00000000" w:rsidRDefault="00000000" w:rsidRPr="00000000" w14:paraId="00000029">
            <w:pPr>
              <w:rPr/>
            </w:pPr>
            <w:r w:rsidDel="00000000" w:rsidR="00000000" w:rsidRPr="00000000">
              <w:rPr>
                <w:b w:val="1"/>
                <w:bCs w:val="1"/>
                <w:color w:val="ffffff"/>
                <w:sz w:val="20"/>
                <w:szCs w:val="20"/>
                <w:rtl w:val="0"/>
              </w:rPr>
              <w:t xml:space="preserve">Location</w:t>
            </w:r>
            <w:r w:rsidDel="00000000" w:rsidR="00000000" w:rsidRPr="00000000">
              <w:rPr>
                <w:rtl w:val="0"/>
              </w:rPr>
            </w:r>
          </w:p>
        </w:tc>
        <w:tc>
          <w:tcPr>
            <w:shd w:fill="1f4e78" w:val="clear"/>
          </w:tcPr>
          <w:p w:rsidR="00000000" w:rsidDel="00000000" w:rsidP="00000000" w:rsidRDefault="00000000" w:rsidRPr="00000000" w14:paraId="0000002A">
            <w:pPr>
              <w:rPr/>
            </w:pPr>
            <w:r w:rsidDel="00000000" w:rsidR="00000000" w:rsidRPr="00000000">
              <w:rPr>
                <w:b w:val="1"/>
                <w:bCs w:val="1"/>
                <w:color w:val="ffffff"/>
                <w:sz w:val="20"/>
                <w:szCs w:val="20"/>
                <w:rtl w:val="0"/>
              </w:rPr>
              <w:t xml:space="preserve">Recommended Review Cadence</w:t>
            </w:r>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b w:val="0"/>
                <w:bCs w:val="0"/>
                <w:color w:val="000000"/>
                <w:sz w:val="20"/>
                <w:szCs w:val="20"/>
                <w:rtl w:val="0"/>
              </w:rPr>
              <w:t xml:space="preserve">Account administrator list</w:t>
            </w:r>
            <w:r w:rsidDel="00000000" w:rsidR="00000000" w:rsidRPr="00000000">
              <w:rPr>
                <w:rtl w:val="0"/>
              </w:rPr>
            </w:r>
          </w:p>
        </w:tc>
        <w:tc>
          <w:tcPr/>
          <w:p w:rsidR="00000000" w:rsidDel="00000000" w:rsidP="00000000" w:rsidRDefault="00000000" w:rsidRPr="00000000" w14:paraId="0000002C">
            <w:pPr>
              <w:rPr/>
            </w:pPr>
            <w:r w:rsidDel="00000000" w:rsidR="00000000" w:rsidRPr="00000000">
              <w:rPr>
                <w:b w:val="0"/>
                <w:bCs w:val="0"/>
                <w:color w:val="000000"/>
                <w:sz w:val="20"/>
                <w:szCs w:val="20"/>
                <w:rtl w:val="0"/>
              </w:rPr>
              <w:t xml:space="preserve">Settings &gt; Admin</w:t>
            </w:r>
            <w:r w:rsidDel="00000000" w:rsidR="00000000" w:rsidRPr="00000000">
              <w:rPr>
                <w:rtl w:val="0"/>
              </w:rPr>
            </w:r>
          </w:p>
        </w:tc>
        <w:tc>
          <w:tcPr/>
          <w:p w:rsidR="00000000" w:rsidDel="00000000" w:rsidP="00000000" w:rsidRDefault="00000000" w:rsidRPr="00000000" w14:paraId="0000002D">
            <w:pPr>
              <w:rPr/>
            </w:pPr>
            <w:r w:rsidDel="00000000" w:rsidR="00000000" w:rsidRPr="00000000">
              <w:rPr>
                <w:b w:val="0"/>
                <w:bCs w:val="0"/>
                <w:color w:val="000000"/>
                <w:sz w:val="20"/>
                <w:szCs w:val="20"/>
                <w:rtl w:val="0"/>
              </w:rPr>
              <w:t xml:space="preserve">Quarterly</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b w:val="0"/>
                <w:bCs w:val="0"/>
                <w:color w:val="000000"/>
                <w:sz w:val="20"/>
                <w:szCs w:val="20"/>
                <w:rtl w:val="0"/>
              </w:rPr>
              <w:t xml:space="preserve">SSO / MFA configuration</w:t>
            </w:r>
            <w:r w:rsidDel="00000000" w:rsidR="00000000" w:rsidRPr="00000000">
              <w:rPr>
                <w:rtl w:val="0"/>
              </w:rPr>
            </w:r>
          </w:p>
        </w:tc>
        <w:tc>
          <w:tcPr/>
          <w:p w:rsidR="00000000" w:rsidDel="00000000" w:rsidP="00000000" w:rsidRDefault="00000000" w:rsidRPr="00000000" w14:paraId="0000002F">
            <w:pPr>
              <w:rPr/>
            </w:pPr>
            <w:r w:rsidDel="00000000" w:rsidR="00000000" w:rsidRPr="00000000">
              <w:rPr>
                <w:b w:val="0"/>
                <w:bCs w:val="0"/>
                <w:color w:val="000000"/>
                <w:sz w:val="20"/>
                <w:szCs w:val="20"/>
                <w:rtl w:val="0"/>
              </w:rPr>
              <w:t xml:space="preserve">Settings &gt; Admin</w:t>
            </w:r>
            <w:r w:rsidDel="00000000" w:rsidR="00000000" w:rsidRPr="00000000">
              <w:rPr>
                <w:rtl w:val="0"/>
              </w:rPr>
            </w:r>
          </w:p>
        </w:tc>
        <w:tc>
          <w:tcPr/>
          <w:p w:rsidR="00000000" w:rsidDel="00000000" w:rsidP="00000000" w:rsidRDefault="00000000" w:rsidRPr="00000000" w14:paraId="00000030">
            <w:pPr>
              <w:rPr/>
            </w:pPr>
            <w:r w:rsidDel="00000000" w:rsidR="00000000" w:rsidRPr="00000000">
              <w:rPr>
                <w:b w:val="0"/>
                <w:bCs w:val="0"/>
                <w:color w:val="000000"/>
                <w:sz w:val="20"/>
                <w:szCs w:val="20"/>
                <w:rtl w:val="0"/>
              </w:rPr>
              <w:t xml:space="preserve">Quarterly, and after any identity provider change</w:t>
            </w:r>
            <w:r w:rsidDel="00000000" w:rsidR="00000000" w:rsidRPr="00000000">
              <w:rPr>
                <w:rtl w:val="0"/>
              </w:rPr>
            </w:r>
          </w:p>
        </w:tc>
      </w:tr>
      <w:tr>
        <w:trPr>
          <w:cantSplit w:val="0"/>
          <w:tblHeader w:val="0"/>
        </w:trPr>
        <w:tc>
          <w:tcPr/>
          <w:p w:rsidR="00000000" w:rsidDel="00000000" w:rsidP="00000000" w:rsidRDefault="00000000" w:rsidRPr="00000000" w14:paraId="00000031">
            <w:pPr>
              <w:rPr/>
            </w:pPr>
            <w:r w:rsidDel="00000000" w:rsidR="00000000" w:rsidRPr="00000000">
              <w:rPr>
                <w:b w:val="0"/>
                <w:bCs w:val="0"/>
                <w:color w:val="000000"/>
                <w:sz w:val="20"/>
                <w:szCs w:val="20"/>
                <w:rtl w:val="0"/>
              </w:rPr>
              <w:t xml:space="preserve">Resource &amp; Data Layer RBAC assignments</w:t>
            </w:r>
            <w:r w:rsidDel="00000000" w:rsidR="00000000" w:rsidRPr="00000000">
              <w:rPr>
                <w:rtl w:val="0"/>
              </w:rPr>
            </w:r>
          </w:p>
        </w:tc>
        <w:tc>
          <w:tcPr/>
          <w:p w:rsidR="00000000" w:rsidDel="00000000" w:rsidP="00000000" w:rsidRDefault="00000000" w:rsidRPr="00000000" w14:paraId="00000032">
            <w:pPr>
              <w:rPr/>
            </w:pPr>
            <w:r w:rsidDel="00000000" w:rsidR="00000000" w:rsidRPr="00000000">
              <w:rPr>
                <w:b w:val="0"/>
                <w:bCs w:val="0"/>
                <w:color w:val="000000"/>
                <w:sz w:val="20"/>
                <w:szCs w:val="20"/>
                <w:rtl w:val="0"/>
              </w:rPr>
              <w:t xml:space="preserve">Settings &gt; Admin &gt; Access Controls</w:t>
            </w:r>
            <w:r w:rsidDel="00000000" w:rsidR="00000000" w:rsidRPr="00000000">
              <w:rPr>
                <w:rtl w:val="0"/>
              </w:rPr>
            </w:r>
          </w:p>
        </w:tc>
        <w:tc>
          <w:tcPr/>
          <w:p w:rsidR="00000000" w:rsidDel="00000000" w:rsidP="00000000" w:rsidRDefault="00000000" w:rsidRPr="00000000" w14:paraId="00000033">
            <w:pPr>
              <w:rPr/>
            </w:pPr>
            <w:r w:rsidDel="00000000" w:rsidR="00000000" w:rsidRPr="00000000">
              <w:rPr>
                <w:b w:val="0"/>
                <w:bCs w:val="0"/>
                <w:color w:val="000000"/>
                <w:sz w:val="20"/>
                <w:szCs w:val="20"/>
                <w:rtl w:val="0"/>
              </w:rPr>
              <w:t xml:space="preserve">Quarterly</w:t>
            </w: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b w:val="0"/>
                <w:bCs w:val="0"/>
                <w:color w:val="000000"/>
                <w:sz w:val="20"/>
                <w:szCs w:val="20"/>
                <w:rtl w:val="0"/>
              </w:rPr>
              <w:t xml:space="preserve">Account-wide API tokens</w:t>
            </w:r>
            <w:r w:rsidDel="00000000" w:rsidR="00000000" w:rsidRPr="00000000">
              <w:rPr>
                <w:rtl w:val="0"/>
              </w:rPr>
            </w:r>
          </w:p>
        </w:tc>
        <w:tc>
          <w:tcPr/>
          <w:p w:rsidR="00000000" w:rsidDel="00000000" w:rsidP="00000000" w:rsidRDefault="00000000" w:rsidRPr="00000000" w14:paraId="00000035">
            <w:pPr>
              <w:rPr/>
            </w:pPr>
            <w:r w:rsidDel="00000000" w:rsidR="00000000" w:rsidRPr="00000000">
              <w:rPr>
                <w:b w:val="0"/>
                <w:bCs w:val="0"/>
                <w:color w:val="000000"/>
                <w:sz w:val="20"/>
                <w:szCs w:val="20"/>
                <w:rtl w:val="0"/>
              </w:rPr>
              <w:t xml:space="preserve">Settings &gt; Admin &gt; Account API Tokens</w:t>
            </w:r>
            <w:r w:rsidDel="00000000" w:rsidR="00000000" w:rsidRPr="00000000">
              <w:rPr>
                <w:rtl w:val="0"/>
              </w:rPr>
            </w:r>
          </w:p>
        </w:tc>
        <w:tc>
          <w:tcPr/>
          <w:p w:rsidR="00000000" w:rsidDel="00000000" w:rsidP="00000000" w:rsidRDefault="00000000" w:rsidRPr="00000000" w14:paraId="00000036">
            <w:pPr>
              <w:rPr/>
            </w:pPr>
            <w:r w:rsidDel="00000000" w:rsidR="00000000" w:rsidRPr="00000000">
              <w:rPr>
                <w:b w:val="0"/>
                <w:bCs w:val="0"/>
                <w:color w:val="000000"/>
                <w:sz w:val="20"/>
                <w:szCs w:val="20"/>
                <w:rtl w:val="0"/>
              </w:rPr>
              <w:t xml:space="preserve">Monthly</w:t>
            </w: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b w:val="0"/>
                <w:bCs w:val="0"/>
                <w:color w:val="000000"/>
                <w:sz w:val="20"/>
                <w:szCs w:val="20"/>
                <w:rtl w:val="0"/>
              </w:rPr>
              <w:t xml:space="preserve">Active integrations &amp; granted scopes</w:t>
            </w:r>
            <w:r w:rsidDel="00000000" w:rsidR="00000000" w:rsidRPr="00000000">
              <w:rPr>
                <w:rtl w:val="0"/>
              </w:rPr>
            </w:r>
          </w:p>
        </w:tc>
        <w:tc>
          <w:tcPr/>
          <w:p w:rsidR="00000000" w:rsidDel="00000000" w:rsidP="00000000" w:rsidRDefault="00000000" w:rsidRPr="00000000" w14:paraId="00000038">
            <w:pPr>
              <w:rPr/>
            </w:pPr>
            <w:r w:rsidDel="00000000" w:rsidR="00000000" w:rsidRPr="00000000">
              <w:rPr>
                <w:b w:val="0"/>
                <w:bCs w:val="0"/>
                <w:color w:val="000000"/>
                <w:sz w:val="20"/>
                <w:szCs w:val="20"/>
                <w:rtl w:val="0"/>
              </w:rPr>
              <w:t xml:space="preserve">Integrations tab</w:t>
            </w:r>
            <w:r w:rsidDel="00000000" w:rsidR="00000000" w:rsidRPr="00000000">
              <w:rPr>
                <w:rtl w:val="0"/>
              </w:rPr>
            </w:r>
          </w:p>
        </w:tc>
        <w:tc>
          <w:tcPr/>
          <w:p w:rsidR="00000000" w:rsidDel="00000000" w:rsidP="00000000" w:rsidRDefault="00000000" w:rsidRPr="00000000" w14:paraId="00000039">
            <w:pPr>
              <w:rPr/>
            </w:pPr>
            <w:r w:rsidDel="00000000" w:rsidR="00000000" w:rsidRPr="00000000">
              <w:rPr>
                <w:b w:val="0"/>
                <w:bCs w:val="0"/>
                <w:color w:val="000000"/>
                <w:sz w:val="20"/>
                <w:szCs w:val="20"/>
                <w:rtl w:val="0"/>
              </w:rPr>
              <w:t xml:space="preserve">Quarterly</w:t>
            </w:r>
            <w:r w:rsidDel="00000000" w:rsidR="00000000" w:rsidRPr="00000000">
              <w:rPr>
                <w:rtl w:val="0"/>
              </w:rPr>
            </w:r>
          </w:p>
        </w:tc>
      </w:tr>
    </w:tbl>
    <w:p w:rsidR="00000000" w:rsidDel="00000000" w:rsidP="00000000" w:rsidRDefault="00000000" w:rsidRPr="00000000" w14:paraId="0000003A">
      <w:pPr>
        <w:pStyle w:val="Heading1"/>
        <w:spacing w:after="200" w:before="300" w:lineRule="auto"/>
        <w:rPr/>
      </w:pPr>
      <w:r w:rsidDel="00000000" w:rsidR="00000000" w:rsidRPr="00000000">
        <w:rPr>
          <w:rtl w:val="0"/>
        </w:rPr>
        <w:t xml:space="preserve">7. Decommissioning</w:t>
      </w:r>
    </w:p>
    <w:p w:rsidR="00000000" w:rsidDel="00000000" w:rsidP="00000000" w:rsidRDefault="00000000" w:rsidRPr="00000000" w14:paraId="0000003B">
      <w:pPr>
        <w:spacing w:after="150" w:lineRule="auto"/>
        <w:rPr/>
      </w:pPr>
      <w:r w:rsidDel="00000000" w:rsidR="00000000" w:rsidRPr="00000000">
        <w:rPr>
          <w:rtl w:val="0"/>
        </w:rPr>
        <w:t xml:space="preserve">If JupiterOne GovCloud access is being decommissioned for a user, integration, or the account as a whole, customers should promptly revoke all associated API tokens, remove administrative and user access, and disable or delete integration service accounts to prevent residual access.</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6"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9uz5v8V0umyVl/SAV7bwAmJfkg==">CgMxLjA4AHIhMUxlaDZCOTYxMXdyUWdXbjR4eVNWR0g0bHp0MXhRZ25W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2026-08-10T16:35:21.795Z</dcterms:created>
  <dc:creator>Un-named</dc:creator>
</cp:coreProperties>
</file>

<file path=docProps/custom.xml><?xml version="1.0" encoding="utf-8"?>
<Properties xmlns="http://schemas.openxmlformats.org/officeDocument/2006/custom-properties" xmlns:vt="http://schemas.openxmlformats.org/officeDocument/2006/docPropsVTypes"/>
</file>