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lineRule="auto"/>
        <w:jc w:val="center"/>
        <w:rPr/>
      </w:pPr>
      <w:r w:rsidDel="00000000" w:rsidR="00000000" w:rsidRPr="00000000">
        <w:rPr>
          <w:b w:val="1"/>
          <w:bCs w:val="1"/>
          <w:color w:val="1f4e78"/>
          <w:sz w:val="28"/>
          <w:szCs w:val="28"/>
          <w:rtl w:val="0"/>
        </w:rPr>
        <w:t xml:space="preserve">JupiterOne — PAIN Rating Scoring Rubric</w:t>
      </w:r>
      <w:r w:rsidDel="00000000" w:rsidR="00000000" w:rsidRPr="00000000">
        <w:rPr>
          <w:rtl w:val="0"/>
        </w:rPr>
      </w:r>
    </w:p>
    <w:p w:rsidR="00000000" w:rsidDel="00000000" w:rsidP="00000000" w:rsidRDefault="00000000" w:rsidRPr="00000000" w14:paraId="00000002">
      <w:pPr>
        <w:spacing w:after="300" w:lineRule="auto"/>
        <w:jc w:val="center"/>
        <w:rPr/>
      </w:pPr>
      <w:r w:rsidDel="00000000" w:rsidR="00000000" w:rsidRPr="00000000">
        <w:rPr>
          <w:i w:val="1"/>
          <w:iCs w:val="1"/>
          <w:color w:val="595959"/>
          <w:sz w:val="18"/>
          <w:szCs w:val="18"/>
          <w:rtl w:val="0"/>
        </w:rPr>
        <w:t xml:space="preserve">Satisfies VDR-TFR-PVR (Mitigation and Remediation Expectations) and VER-TFR-EVU (Evaluate Vulnerabilities Quickly)</w:t>
      </w:r>
      <w:r w:rsidDel="00000000" w:rsidR="00000000" w:rsidRPr="00000000">
        <w:rPr>
          <w:rtl w:val="0"/>
        </w:rPr>
      </w:r>
    </w:p>
    <w:p w:rsidR="00000000" w:rsidDel="00000000" w:rsidP="00000000" w:rsidRDefault="00000000" w:rsidRPr="00000000" w14:paraId="00000003">
      <w:pPr>
        <w:pStyle w:val="Heading1"/>
        <w:spacing w:after="200" w:before="300" w:lineRule="auto"/>
        <w:rPr/>
      </w:pPr>
      <w:r w:rsidDel="00000000" w:rsidR="00000000" w:rsidRPr="00000000">
        <w:rPr>
          <w:rtl w:val="0"/>
        </w:rPr>
        <w:t xml:space="preserve">1. Purpose</w:t>
      </w:r>
    </w:p>
    <w:p w:rsidR="00000000" w:rsidDel="00000000" w:rsidP="00000000" w:rsidRDefault="00000000" w:rsidRPr="00000000" w14:paraId="00000004">
      <w:pPr>
        <w:spacing w:after="150" w:lineRule="auto"/>
        <w:rPr/>
      </w:pPr>
      <w:r w:rsidDel="00000000" w:rsidR="00000000" w:rsidRPr="00000000">
        <w:rPr>
          <w:rtl w:val="0"/>
        </w:rPr>
        <w:t xml:space="preserve">This rubric defines how JupiterOne assigns a Potential Agency Impact N-rating (PAIN, 1–5) to every detected vulnerability, and how that rating — combined with exploitability and reachability — determines the required remediation deadline. Every vulnerability MUST be evaluated within 14 days of detection (VER-TFR-EVU).</w:t>
      </w:r>
    </w:p>
    <w:p w:rsidR="00000000" w:rsidDel="00000000" w:rsidP="00000000" w:rsidRDefault="00000000" w:rsidRPr="00000000" w14:paraId="00000005">
      <w:pPr>
        <w:pStyle w:val="Heading1"/>
        <w:spacing w:after="200" w:before="300" w:lineRule="auto"/>
        <w:rPr/>
      </w:pPr>
      <w:r w:rsidDel="00000000" w:rsidR="00000000" w:rsidRPr="00000000">
        <w:rPr>
          <w:rtl w:val="0"/>
        </w:rPr>
        <w:t xml:space="preserve">2. PAIN Rating Scale (1–5)</w:t>
      </w:r>
    </w:p>
    <w:tbl>
      <w:tblPr>
        <w:tblStyle w:val="Table1"/>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5400"/>
        <w:gridCol w:w="2700"/>
        <w:tblGridChange w:id="0">
          <w:tblGrid>
            <w:gridCol w:w="1200"/>
            <w:gridCol w:w="5400"/>
            <w:gridCol w:w="2700"/>
          </w:tblGrid>
        </w:tblGridChange>
      </w:tblGrid>
      <w:tr>
        <w:trPr>
          <w:cantSplit w:val="0"/>
          <w:tblHeader w:val="0"/>
        </w:trPr>
        <w:tc>
          <w:tcPr>
            <w:shd w:fill="1f4e78" w:val="clear"/>
          </w:tcPr>
          <w:p w:rsidR="00000000" w:rsidDel="00000000" w:rsidP="00000000" w:rsidRDefault="00000000" w:rsidRPr="00000000" w14:paraId="00000006">
            <w:pPr>
              <w:rPr/>
            </w:pPr>
            <w:r w:rsidDel="00000000" w:rsidR="00000000" w:rsidRPr="00000000">
              <w:rPr>
                <w:b w:val="1"/>
                <w:bCs w:val="1"/>
                <w:color w:val="ffffff"/>
                <w:sz w:val="20"/>
                <w:szCs w:val="20"/>
                <w:rtl w:val="0"/>
              </w:rPr>
              <w:t xml:space="preserve">PAIN</w:t>
            </w:r>
            <w:r w:rsidDel="00000000" w:rsidR="00000000" w:rsidRPr="00000000">
              <w:rPr>
                <w:rtl w:val="0"/>
              </w:rPr>
            </w:r>
          </w:p>
        </w:tc>
        <w:tc>
          <w:tcPr>
            <w:shd w:fill="1f4e78" w:val="clear"/>
          </w:tcPr>
          <w:p w:rsidR="00000000" w:rsidDel="00000000" w:rsidP="00000000" w:rsidRDefault="00000000" w:rsidRPr="00000000" w14:paraId="00000007">
            <w:pPr>
              <w:rPr/>
            </w:pPr>
            <w:r w:rsidDel="00000000" w:rsidR="00000000" w:rsidRPr="00000000">
              <w:rPr>
                <w:b w:val="1"/>
                <w:bCs w:val="1"/>
                <w:color w:val="ffffff"/>
                <w:sz w:val="20"/>
                <w:szCs w:val="20"/>
                <w:rtl w:val="0"/>
              </w:rPr>
              <w:t xml:space="preserve">Definition</w:t>
            </w:r>
            <w:r w:rsidDel="00000000" w:rsidR="00000000" w:rsidRPr="00000000">
              <w:rPr>
                <w:rtl w:val="0"/>
              </w:rPr>
            </w:r>
          </w:p>
        </w:tc>
        <w:tc>
          <w:tcPr>
            <w:shd w:fill="1f4e78" w:val="clear"/>
          </w:tcPr>
          <w:p w:rsidR="00000000" w:rsidDel="00000000" w:rsidP="00000000" w:rsidRDefault="00000000" w:rsidRPr="00000000" w14:paraId="00000008">
            <w:pPr>
              <w:rPr/>
            </w:pPr>
            <w:r w:rsidDel="00000000" w:rsidR="00000000" w:rsidRPr="00000000">
              <w:rPr>
                <w:b w:val="1"/>
                <w:bCs w:val="1"/>
                <w:color w:val="ffffff"/>
                <w:sz w:val="20"/>
                <w:szCs w:val="20"/>
                <w:rtl w:val="0"/>
              </w:rPr>
              <w:t xml:space="preserve">Example</w:t>
            </w:r>
            <w:r w:rsidDel="00000000" w:rsidR="00000000" w:rsidRPr="00000000">
              <w:rPr>
                <w:rtl w:val="0"/>
              </w:rPr>
            </w:r>
          </w:p>
        </w:tc>
      </w:tr>
      <w:tr>
        <w:trPr>
          <w:cantSplit w:val="0"/>
          <w:tblHeader w:val="0"/>
        </w:trPr>
        <w:tc>
          <w:tcPr/>
          <w:p w:rsidR="00000000" w:rsidDel="00000000" w:rsidP="00000000" w:rsidRDefault="00000000" w:rsidRPr="00000000" w14:paraId="00000009">
            <w:pPr>
              <w:rPr/>
            </w:pPr>
            <w:r w:rsidDel="00000000" w:rsidR="00000000" w:rsidRPr="00000000">
              <w:rPr>
                <w:b w:val="0"/>
                <w:bCs w:val="0"/>
                <w:color w:val="000000"/>
                <w:sz w:val="20"/>
                <w:szCs w:val="20"/>
                <w:rtl w:val="0"/>
              </w:rPr>
              <w:t xml:space="preserve">5</w:t>
            </w:r>
            <w:r w:rsidDel="00000000" w:rsidR="00000000" w:rsidRPr="00000000">
              <w:rPr>
                <w:rtl w:val="0"/>
              </w:rPr>
            </w:r>
          </w:p>
        </w:tc>
        <w:tc>
          <w:tcPr/>
          <w:p w:rsidR="00000000" w:rsidDel="00000000" w:rsidP="00000000" w:rsidRDefault="00000000" w:rsidRPr="00000000" w14:paraId="0000000A">
            <w:pPr>
              <w:rPr/>
            </w:pPr>
            <w:r w:rsidDel="00000000" w:rsidR="00000000" w:rsidRPr="00000000">
              <w:rPr>
                <w:b w:val="0"/>
                <w:bCs w:val="0"/>
                <w:color w:val="000000"/>
                <w:sz w:val="20"/>
                <w:szCs w:val="20"/>
                <w:rtl w:val="0"/>
              </w:rPr>
              <w:t xml:space="preserve">Critical potential impact to agency confidentiality, integrity, or availability. Could enable full compromise of federal customer data or the offering itself.</w:t>
            </w:r>
            <w:r w:rsidDel="00000000" w:rsidR="00000000" w:rsidRPr="00000000">
              <w:rPr>
                <w:rtl w:val="0"/>
              </w:rPr>
            </w:r>
          </w:p>
        </w:tc>
        <w:tc>
          <w:tcPr/>
          <w:p w:rsidR="00000000" w:rsidDel="00000000" w:rsidP="00000000" w:rsidRDefault="00000000" w:rsidRPr="00000000" w14:paraId="0000000B">
            <w:pPr>
              <w:rPr/>
            </w:pPr>
            <w:r w:rsidDel="00000000" w:rsidR="00000000" w:rsidRPr="00000000">
              <w:rPr>
                <w:b w:val="0"/>
                <w:bCs w:val="0"/>
                <w:color w:val="000000"/>
                <w:sz w:val="20"/>
                <w:szCs w:val="20"/>
                <w:rtl w:val="0"/>
              </w:rPr>
              <w:t xml:space="preserve">Remote code execution on a system handling federal customer data; authentication bypass.</w:t>
            </w:r>
            <w:r w:rsidDel="00000000" w:rsidR="00000000" w:rsidRPr="00000000">
              <w:rPr>
                <w:rtl w:val="0"/>
              </w:rPr>
            </w:r>
          </w:p>
        </w:tc>
      </w:tr>
      <w:tr>
        <w:trPr>
          <w:cantSplit w:val="0"/>
          <w:tblHeader w:val="0"/>
        </w:trPr>
        <w:tc>
          <w:tcPr/>
          <w:p w:rsidR="00000000" w:rsidDel="00000000" w:rsidP="00000000" w:rsidRDefault="00000000" w:rsidRPr="00000000" w14:paraId="0000000C">
            <w:pPr>
              <w:rPr/>
            </w:pPr>
            <w:r w:rsidDel="00000000" w:rsidR="00000000" w:rsidRPr="00000000">
              <w:rPr>
                <w:b w:val="0"/>
                <w:bCs w:val="0"/>
                <w:color w:val="000000"/>
                <w:sz w:val="20"/>
                <w:szCs w:val="20"/>
                <w:rtl w:val="0"/>
              </w:rPr>
              <w:t xml:space="preserve">4</w:t>
            </w:r>
            <w:r w:rsidDel="00000000" w:rsidR="00000000" w:rsidRPr="00000000">
              <w:rPr>
                <w:rtl w:val="0"/>
              </w:rPr>
            </w:r>
          </w:p>
        </w:tc>
        <w:tc>
          <w:tcPr/>
          <w:p w:rsidR="00000000" w:rsidDel="00000000" w:rsidP="00000000" w:rsidRDefault="00000000" w:rsidRPr="00000000" w14:paraId="0000000D">
            <w:pPr>
              <w:rPr/>
            </w:pPr>
            <w:r w:rsidDel="00000000" w:rsidR="00000000" w:rsidRPr="00000000">
              <w:rPr>
                <w:b w:val="0"/>
                <w:bCs w:val="0"/>
                <w:color w:val="000000"/>
                <w:sz w:val="20"/>
                <w:szCs w:val="20"/>
                <w:rtl w:val="0"/>
              </w:rPr>
              <w:t xml:space="preserve">High potential impact. Significant data exposure or service disruption possible, but not full compromise.</w:t>
            </w:r>
            <w:r w:rsidDel="00000000" w:rsidR="00000000" w:rsidRPr="00000000">
              <w:rPr>
                <w:rtl w:val="0"/>
              </w:rPr>
            </w:r>
          </w:p>
        </w:tc>
        <w:tc>
          <w:tcPr/>
          <w:p w:rsidR="00000000" w:rsidDel="00000000" w:rsidP="00000000" w:rsidRDefault="00000000" w:rsidRPr="00000000" w14:paraId="0000000E">
            <w:pPr>
              <w:rPr/>
            </w:pPr>
            <w:r w:rsidDel="00000000" w:rsidR="00000000" w:rsidRPr="00000000">
              <w:rPr>
                <w:b w:val="0"/>
                <w:bCs w:val="0"/>
                <w:color w:val="000000"/>
                <w:sz w:val="20"/>
                <w:szCs w:val="20"/>
                <w:rtl w:val="0"/>
              </w:rPr>
              <w:t xml:space="preserve">Privilege escalation within a single tenant; SSRF reaching internal metadata services.</w:t>
            </w:r>
            <w:r w:rsidDel="00000000" w:rsidR="00000000" w:rsidRPr="00000000">
              <w:rPr>
                <w:rtl w:val="0"/>
              </w:rPr>
            </w:r>
          </w:p>
        </w:tc>
      </w:tr>
      <w:tr>
        <w:trPr>
          <w:cantSplit w:val="0"/>
          <w:tblHeader w:val="0"/>
        </w:trPr>
        <w:tc>
          <w:tcPr/>
          <w:p w:rsidR="00000000" w:rsidDel="00000000" w:rsidP="00000000" w:rsidRDefault="00000000" w:rsidRPr="00000000" w14:paraId="0000000F">
            <w:pPr>
              <w:rPr/>
            </w:pPr>
            <w:r w:rsidDel="00000000" w:rsidR="00000000" w:rsidRPr="00000000">
              <w:rPr>
                <w:b w:val="0"/>
                <w:bCs w:val="0"/>
                <w:color w:val="000000"/>
                <w:sz w:val="20"/>
                <w:szCs w:val="20"/>
                <w:rtl w:val="0"/>
              </w:rPr>
              <w:t xml:space="preserve">3</w:t>
            </w:r>
            <w:r w:rsidDel="00000000" w:rsidR="00000000" w:rsidRPr="00000000">
              <w:rPr>
                <w:rtl w:val="0"/>
              </w:rPr>
            </w:r>
          </w:p>
        </w:tc>
        <w:tc>
          <w:tcPr/>
          <w:p w:rsidR="00000000" w:rsidDel="00000000" w:rsidP="00000000" w:rsidRDefault="00000000" w:rsidRPr="00000000" w14:paraId="00000010">
            <w:pPr>
              <w:rPr/>
            </w:pPr>
            <w:r w:rsidDel="00000000" w:rsidR="00000000" w:rsidRPr="00000000">
              <w:rPr>
                <w:b w:val="0"/>
                <w:bCs w:val="0"/>
                <w:color w:val="000000"/>
                <w:sz w:val="20"/>
                <w:szCs w:val="20"/>
                <w:rtl w:val="0"/>
              </w:rPr>
              <w:t xml:space="preserve">Moderate potential impact. Limited data exposure or degraded functionality.</w:t>
            </w:r>
            <w:r w:rsidDel="00000000" w:rsidR="00000000" w:rsidRPr="00000000">
              <w:rPr>
                <w:rtl w:val="0"/>
              </w:rPr>
            </w:r>
          </w:p>
        </w:tc>
        <w:tc>
          <w:tcPr/>
          <w:p w:rsidR="00000000" w:rsidDel="00000000" w:rsidP="00000000" w:rsidRDefault="00000000" w:rsidRPr="00000000" w14:paraId="00000011">
            <w:pPr>
              <w:rPr/>
            </w:pPr>
            <w:r w:rsidDel="00000000" w:rsidR="00000000" w:rsidRPr="00000000">
              <w:rPr>
                <w:b w:val="0"/>
                <w:bCs w:val="0"/>
                <w:color w:val="000000"/>
                <w:sz w:val="20"/>
                <w:szCs w:val="20"/>
                <w:rtl w:val="0"/>
              </w:rPr>
              <w:t xml:space="preserve">Information disclosure of non-sensitive configuration data; denial of service on a non-critical component.</w:t>
            </w:r>
            <w:r w:rsidDel="00000000" w:rsidR="00000000" w:rsidRPr="00000000">
              <w:rPr>
                <w:rtl w:val="0"/>
              </w:rPr>
            </w:r>
          </w:p>
        </w:tc>
      </w:tr>
      <w:tr>
        <w:trPr>
          <w:cantSplit w:val="0"/>
          <w:tblHeader w:val="0"/>
        </w:trPr>
        <w:tc>
          <w:tcPr/>
          <w:p w:rsidR="00000000" w:rsidDel="00000000" w:rsidP="00000000" w:rsidRDefault="00000000" w:rsidRPr="00000000" w14:paraId="00000012">
            <w:pPr>
              <w:rPr/>
            </w:pPr>
            <w:r w:rsidDel="00000000" w:rsidR="00000000" w:rsidRPr="00000000">
              <w:rPr>
                <w:b w:val="0"/>
                <w:bCs w:val="0"/>
                <w:color w:val="000000"/>
                <w:sz w:val="20"/>
                <w:szCs w:val="20"/>
                <w:rtl w:val="0"/>
              </w:rPr>
              <w:t xml:space="preserve">2</w:t>
            </w:r>
            <w:r w:rsidDel="00000000" w:rsidR="00000000" w:rsidRPr="00000000">
              <w:rPr>
                <w:rtl w:val="0"/>
              </w:rPr>
            </w:r>
          </w:p>
        </w:tc>
        <w:tc>
          <w:tcPr/>
          <w:p w:rsidR="00000000" w:rsidDel="00000000" w:rsidP="00000000" w:rsidRDefault="00000000" w:rsidRPr="00000000" w14:paraId="00000013">
            <w:pPr>
              <w:rPr/>
            </w:pPr>
            <w:r w:rsidDel="00000000" w:rsidR="00000000" w:rsidRPr="00000000">
              <w:rPr>
                <w:b w:val="0"/>
                <w:bCs w:val="0"/>
                <w:color w:val="000000"/>
                <w:sz w:val="20"/>
                <w:szCs w:val="20"/>
                <w:rtl w:val="0"/>
              </w:rPr>
              <w:t xml:space="preserve">Low potential impact. Minimal or indirect risk to confidentiality, integrity, or availability.</w:t>
            </w:r>
            <w:r w:rsidDel="00000000" w:rsidR="00000000" w:rsidRPr="00000000">
              <w:rPr>
                <w:rtl w:val="0"/>
              </w:rPr>
            </w:r>
          </w:p>
        </w:tc>
        <w:tc>
          <w:tcPr/>
          <w:p w:rsidR="00000000" w:rsidDel="00000000" w:rsidP="00000000" w:rsidRDefault="00000000" w:rsidRPr="00000000" w14:paraId="00000014">
            <w:pPr>
              <w:rPr/>
            </w:pPr>
            <w:r w:rsidDel="00000000" w:rsidR="00000000" w:rsidRPr="00000000">
              <w:rPr>
                <w:b w:val="0"/>
                <w:bCs w:val="0"/>
                <w:color w:val="000000"/>
                <w:sz w:val="20"/>
                <w:szCs w:val="20"/>
                <w:rtl w:val="0"/>
              </w:rPr>
              <w:t xml:space="preserve">Verbose error messages; missing security headers with no direct exploit path.</w:t>
            </w:r>
            <w:r w:rsidDel="00000000" w:rsidR="00000000" w:rsidRPr="00000000">
              <w:rPr>
                <w:rtl w:val="0"/>
              </w:rPr>
            </w:r>
          </w:p>
        </w:tc>
      </w:tr>
      <w:tr>
        <w:trPr>
          <w:cantSplit w:val="0"/>
          <w:tblHeader w:val="0"/>
        </w:trPr>
        <w:tc>
          <w:tcPr/>
          <w:p w:rsidR="00000000" w:rsidDel="00000000" w:rsidP="00000000" w:rsidRDefault="00000000" w:rsidRPr="00000000" w14:paraId="00000015">
            <w:pPr>
              <w:rPr/>
            </w:pPr>
            <w:r w:rsidDel="00000000" w:rsidR="00000000" w:rsidRPr="00000000">
              <w:rPr>
                <w:b w:val="0"/>
                <w:bCs w:val="0"/>
                <w:color w:val="000000"/>
                <w:sz w:val="20"/>
                <w:szCs w:val="20"/>
                <w:rtl w:val="0"/>
              </w:rPr>
              <w:t xml:space="preserve">1</w:t>
            </w:r>
            <w:r w:rsidDel="00000000" w:rsidR="00000000" w:rsidRPr="00000000">
              <w:rPr>
                <w:rtl w:val="0"/>
              </w:rPr>
            </w:r>
          </w:p>
        </w:tc>
        <w:tc>
          <w:tcPr/>
          <w:p w:rsidR="00000000" w:rsidDel="00000000" w:rsidP="00000000" w:rsidRDefault="00000000" w:rsidRPr="00000000" w14:paraId="00000016">
            <w:pPr>
              <w:rPr/>
            </w:pPr>
            <w:r w:rsidDel="00000000" w:rsidR="00000000" w:rsidRPr="00000000">
              <w:rPr>
                <w:b w:val="0"/>
                <w:bCs w:val="0"/>
                <w:color w:val="000000"/>
                <w:sz w:val="20"/>
                <w:szCs w:val="20"/>
                <w:rtl w:val="0"/>
              </w:rPr>
              <w:t xml:space="preserve">Minimal/informational. Best-practice deviation with negligible real-world risk.</w:t>
            </w:r>
            <w:r w:rsidDel="00000000" w:rsidR="00000000" w:rsidRPr="00000000">
              <w:rPr>
                <w:rtl w:val="0"/>
              </w:rPr>
            </w:r>
          </w:p>
        </w:tc>
        <w:tc>
          <w:tcPr/>
          <w:p w:rsidR="00000000" w:rsidDel="00000000" w:rsidP="00000000" w:rsidRDefault="00000000" w:rsidRPr="00000000" w14:paraId="00000017">
            <w:pPr>
              <w:rPr/>
            </w:pPr>
            <w:r w:rsidDel="00000000" w:rsidR="00000000" w:rsidRPr="00000000">
              <w:rPr>
                <w:b w:val="0"/>
                <w:bCs w:val="0"/>
                <w:color w:val="000000"/>
                <w:sz w:val="20"/>
                <w:szCs w:val="20"/>
                <w:rtl w:val="0"/>
              </w:rPr>
              <w:t xml:space="preserve">Outdated library version with no known exploitable vulnerability; minor misconfiguration.</w:t>
            </w:r>
            <w:r w:rsidDel="00000000" w:rsidR="00000000" w:rsidRPr="00000000">
              <w:rPr>
                <w:rtl w:val="0"/>
              </w:rPr>
            </w:r>
          </w:p>
        </w:tc>
      </w:tr>
    </w:tbl>
    <w:p w:rsidR="00000000" w:rsidDel="00000000" w:rsidP="00000000" w:rsidRDefault="00000000" w:rsidRPr="00000000" w14:paraId="00000018">
      <w:pPr>
        <w:pStyle w:val="Heading1"/>
        <w:spacing w:after="200" w:before="300" w:lineRule="auto"/>
        <w:rPr/>
      </w:pPr>
      <w:r w:rsidDel="00000000" w:rsidR="00000000" w:rsidRPr="00000000">
        <w:rPr>
          <w:rtl w:val="0"/>
        </w:rPr>
        <w:t xml:space="preserve">3. Likely Exploitable Vulnerability (LEV) Determination</w:t>
      </w:r>
    </w:p>
    <w:p w:rsidR="00000000" w:rsidDel="00000000" w:rsidP="00000000" w:rsidRDefault="00000000" w:rsidRPr="00000000" w14:paraId="00000019">
      <w:pPr>
        <w:spacing w:after="150" w:lineRule="auto"/>
        <w:rPr/>
      </w:pPr>
      <w:r w:rsidDel="00000000" w:rsidR="00000000" w:rsidRPr="00000000">
        <w:rPr>
          <w:rtl w:val="0"/>
        </w:rPr>
        <w:t xml:space="preserve">A vulnerability is LEV (Likely Exploitable) if ANY of the following are true:</w:t>
      </w:r>
    </w:p>
    <w:p w:rsidR="00000000" w:rsidDel="00000000" w:rsidP="00000000" w:rsidRDefault="00000000" w:rsidRPr="00000000" w14:paraId="0000001A">
      <w:pPr>
        <w:spacing w:after="150" w:lineRule="auto"/>
        <w:rPr/>
      </w:pPr>
      <w:r w:rsidDel="00000000" w:rsidR="00000000" w:rsidRPr="00000000">
        <w:rPr>
          <w:rtl w:val="0"/>
        </w:rPr>
        <w:t xml:space="preserve">• A public exploit, proof-of-concept, or exploitation framework module (e.g., Metasploit) exists.• The vulnerability is listed in CISA's Known Exploited Vulnerabilities (KEV) catalog.• Active exploitation has been observed in the wild per threat intelligence sources.• The vulnerability requires no authentication and no user interaction to exploit.</w:t>
      </w:r>
    </w:p>
    <w:p w:rsidR="00000000" w:rsidDel="00000000" w:rsidP="00000000" w:rsidRDefault="00000000" w:rsidRPr="00000000" w14:paraId="0000001B">
      <w:pPr>
        <w:spacing w:after="150" w:lineRule="auto"/>
        <w:rPr/>
      </w:pPr>
      <w:r w:rsidDel="00000000" w:rsidR="00000000" w:rsidRPr="00000000">
        <w:rPr>
          <w:rtl w:val="0"/>
        </w:rPr>
        <w:t xml:space="preserve">A vulnerability is NLEV (Not Likely Exploitable) if none of the above apply and exploitation would require significant attacker resources, insider access, or highly specific conditions unlikely to occur.</w:t>
      </w:r>
    </w:p>
    <w:p w:rsidR="00000000" w:rsidDel="00000000" w:rsidP="00000000" w:rsidRDefault="00000000" w:rsidRPr="00000000" w14:paraId="0000001C">
      <w:pPr>
        <w:pStyle w:val="Heading1"/>
        <w:spacing w:after="200" w:before="300" w:lineRule="auto"/>
        <w:rPr/>
      </w:pPr>
      <w:r w:rsidDel="00000000" w:rsidR="00000000" w:rsidRPr="00000000">
        <w:rPr>
          <w:rtl w:val="0"/>
        </w:rPr>
        <w:t xml:space="preserve">4. Reachability Determination</w:t>
      </w:r>
    </w:p>
    <w:p w:rsidR="00000000" w:rsidDel="00000000" w:rsidP="00000000" w:rsidRDefault="00000000" w:rsidRPr="00000000" w14:paraId="0000001D">
      <w:pPr>
        <w:spacing w:after="150" w:lineRule="auto"/>
        <w:rPr/>
      </w:pPr>
      <w:r w:rsidDel="00000000" w:rsidR="00000000" w:rsidRPr="00000000">
        <w:rPr>
          <w:rtl w:val="0"/>
        </w:rPr>
        <w:t xml:space="preserve">An affected information resource is Internet-Reachable (IRV) if it is directly accessible from the public internet without requiring VPN, private network access, or other network-layer restriction. It is Not Internet-Reachable (NIRV) if access requires JupiterOne's VPN, is restricted to internal VPC/security-group-scoped traffic, or otherwise requires privileged network position.</w:t>
      </w:r>
    </w:p>
    <w:p w:rsidR="00000000" w:rsidDel="00000000" w:rsidP="00000000" w:rsidRDefault="00000000" w:rsidRPr="00000000" w14:paraId="0000001E">
      <w:pPr>
        <w:spacing w:after="150" w:lineRule="auto"/>
        <w:rPr/>
      </w:pPr>
      <w:r w:rsidDel="00000000" w:rsidR="00000000" w:rsidRPr="00000000">
        <w:rPr>
          <w:rtl w:val="0"/>
        </w:rPr>
        <w:t xml:space="preserve">Reachability determination should reference JupiterOne's own asset and network topology data (already maintained per KSI-CNA-RNT / MAS-CSO-IIR) rather than being assessed manually per finding where automatable.</w:t>
      </w:r>
    </w:p>
    <w:p w:rsidR="00000000" w:rsidDel="00000000" w:rsidP="00000000" w:rsidRDefault="00000000" w:rsidRPr="00000000" w14:paraId="0000001F">
      <w:pPr>
        <w:pStyle w:val="Heading1"/>
        <w:spacing w:after="200" w:before="300" w:lineRule="auto"/>
        <w:rPr/>
      </w:pPr>
      <w:r w:rsidDel="00000000" w:rsidR="00000000" w:rsidRPr="00000000">
        <w:rPr>
          <w:rtl w:val="0"/>
        </w:rPr>
        <w:t xml:space="preserve">5. Remediation Timeframe Table</w:t>
      </w:r>
    </w:p>
    <w:p w:rsidR="00000000" w:rsidDel="00000000" w:rsidP="00000000" w:rsidRDefault="00000000" w:rsidRPr="00000000" w14:paraId="00000020">
      <w:pPr>
        <w:spacing w:after="150" w:lineRule="auto"/>
        <w:rPr/>
      </w:pPr>
      <w:r w:rsidDel="00000000" w:rsidR="00000000" w:rsidRPr="00000000">
        <w:rPr>
          <w:rtl w:val="0"/>
        </w:rPr>
        <w:t xml:space="preserve">Once PAIN, LEV/NLEV, and reachability are determined, the following timeframe applies from the date of evaluation (not detection):</w:t>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2600"/>
        <w:gridCol w:w="2600"/>
        <w:gridCol w:w="2600"/>
        <w:tblGridChange w:id="0">
          <w:tblGrid>
            <w:gridCol w:w="1200"/>
            <w:gridCol w:w="2600"/>
            <w:gridCol w:w="2600"/>
            <w:gridCol w:w="2600"/>
          </w:tblGrid>
        </w:tblGridChange>
      </w:tblGrid>
      <w:tr>
        <w:trPr>
          <w:cantSplit w:val="0"/>
          <w:tblHeader w:val="0"/>
        </w:trPr>
        <w:tc>
          <w:tcPr>
            <w:shd w:fill="1f4e78" w:val="clear"/>
          </w:tcPr>
          <w:p w:rsidR="00000000" w:rsidDel="00000000" w:rsidP="00000000" w:rsidRDefault="00000000" w:rsidRPr="00000000" w14:paraId="00000021">
            <w:pPr>
              <w:rPr/>
            </w:pPr>
            <w:r w:rsidDel="00000000" w:rsidR="00000000" w:rsidRPr="00000000">
              <w:rPr>
                <w:b w:val="1"/>
                <w:bCs w:val="1"/>
                <w:color w:val="ffffff"/>
                <w:sz w:val="20"/>
                <w:szCs w:val="20"/>
                <w:rtl w:val="0"/>
              </w:rPr>
              <w:t xml:space="preserve">PAIN</w:t>
            </w:r>
            <w:r w:rsidDel="00000000" w:rsidR="00000000" w:rsidRPr="00000000">
              <w:rPr>
                <w:rtl w:val="0"/>
              </w:rPr>
            </w:r>
          </w:p>
        </w:tc>
        <w:tc>
          <w:tcPr>
            <w:shd w:fill="1f4e78" w:val="clear"/>
          </w:tcPr>
          <w:p w:rsidR="00000000" w:rsidDel="00000000" w:rsidP="00000000" w:rsidRDefault="00000000" w:rsidRPr="00000000" w14:paraId="00000022">
            <w:pPr>
              <w:rPr/>
            </w:pPr>
            <w:r w:rsidDel="00000000" w:rsidR="00000000" w:rsidRPr="00000000">
              <w:rPr>
                <w:b w:val="1"/>
                <w:bCs w:val="1"/>
                <w:color w:val="ffffff"/>
                <w:sz w:val="20"/>
                <w:szCs w:val="20"/>
                <w:rtl w:val="0"/>
              </w:rPr>
              <w:t xml:space="preserve">LEV + Internet-Reachable</w:t>
            </w:r>
            <w:r w:rsidDel="00000000" w:rsidR="00000000" w:rsidRPr="00000000">
              <w:rPr>
                <w:rtl w:val="0"/>
              </w:rPr>
            </w:r>
          </w:p>
        </w:tc>
        <w:tc>
          <w:tcPr>
            <w:shd w:fill="1f4e78" w:val="clear"/>
          </w:tcPr>
          <w:p w:rsidR="00000000" w:rsidDel="00000000" w:rsidP="00000000" w:rsidRDefault="00000000" w:rsidRPr="00000000" w14:paraId="00000023">
            <w:pPr>
              <w:rPr/>
            </w:pPr>
            <w:r w:rsidDel="00000000" w:rsidR="00000000" w:rsidRPr="00000000">
              <w:rPr>
                <w:b w:val="1"/>
                <w:bCs w:val="1"/>
                <w:color w:val="ffffff"/>
                <w:sz w:val="20"/>
                <w:szCs w:val="20"/>
                <w:rtl w:val="0"/>
              </w:rPr>
              <w:t xml:space="preserve">LEV + Not Internet-Reachable</w:t>
            </w:r>
            <w:r w:rsidDel="00000000" w:rsidR="00000000" w:rsidRPr="00000000">
              <w:rPr>
                <w:rtl w:val="0"/>
              </w:rPr>
            </w:r>
          </w:p>
        </w:tc>
        <w:tc>
          <w:tcPr>
            <w:shd w:fill="1f4e78" w:val="clear"/>
          </w:tcPr>
          <w:p w:rsidR="00000000" w:rsidDel="00000000" w:rsidP="00000000" w:rsidRDefault="00000000" w:rsidRPr="00000000" w14:paraId="00000024">
            <w:pPr>
              <w:rPr/>
            </w:pPr>
            <w:r w:rsidDel="00000000" w:rsidR="00000000" w:rsidRPr="00000000">
              <w:rPr>
                <w:b w:val="1"/>
                <w:bCs w:val="1"/>
                <w:color w:val="ffffff"/>
                <w:sz w:val="20"/>
                <w:szCs w:val="20"/>
                <w:rtl w:val="0"/>
              </w:rPr>
              <w:t xml:space="preserve">Not Likely Exploitable</w:t>
            </w:r>
            <w:r w:rsidDel="00000000" w:rsidR="00000000" w:rsidRPr="00000000">
              <w:rPr>
                <w:rtl w:val="0"/>
              </w:rPr>
            </w:r>
          </w:p>
        </w:tc>
      </w:tr>
      <w:tr>
        <w:trPr>
          <w:cantSplit w:val="0"/>
          <w:tblHeader w:val="0"/>
        </w:trPr>
        <w:tc>
          <w:tcPr/>
          <w:p w:rsidR="00000000" w:rsidDel="00000000" w:rsidP="00000000" w:rsidRDefault="00000000" w:rsidRPr="00000000" w14:paraId="00000025">
            <w:pPr>
              <w:rPr/>
            </w:pPr>
            <w:r w:rsidDel="00000000" w:rsidR="00000000" w:rsidRPr="00000000">
              <w:rPr>
                <w:b w:val="0"/>
                <w:bCs w:val="0"/>
                <w:color w:val="000000"/>
                <w:sz w:val="20"/>
                <w:szCs w:val="20"/>
                <w:rtl w:val="0"/>
              </w:rPr>
              <w:t xml:space="preserve">5</w:t>
            </w:r>
            <w:r w:rsidDel="00000000" w:rsidR="00000000" w:rsidRPr="00000000">
              <w:rPr>
                <w:rtl w:val="0"/>
              </w:rPr>
            </w:r>
          </w:p>
        </w:tc>
        <w:tc>
          <w:tcPr/>
          <w:p w:rsidR="00000000" w:rsidDel="00000000" w:rsidP="00000000" w:rsidRDefault="00000000" w:rsidRPr="00000000" w14:paraId="00000026">
            <w:pPr>
              <w:rPr/>
            </w:pPr>
            <w:r w:rsidDel="00000000" w:rsidR="00000000" w:rsidRPr="00000000">
              <w:rPr>
                <w:b w:val="0"/>
                <w:bCs w:val="0"/>
                <w:color w:val="000000"/>
                <w:sz w:val="20"/>
                <w:szCs w:val="20"/>
                <w:rtl w:val="0"/>
              </w:rPr>
              <w:t xml:space="preserve">4 days</w:t>
            </w:r>
            <w:r w:rsidDel="00000000" w:rsidR="00000000" w:rsidRPr="00000000">
              <w:rPr>
                <w:rtl w:val="0"/>
              </w:rPr>
            </w:r>
          </w:p>
        </w:tc>
        <w:tc>
          <w:tcPr/>
          <w:p w:rsidR="00000000" w:rsidDel="00000000" w:rsidP="00000000" w:rsidRDefault="00000000" w:rsidRPr="00000000" w14:paraId="00000027">
            <w:pPr>
              <w:rPr/>
            </w:pPr>
            <w:r w:rsidDel="00000000" w:rsidR="00000000" w:rsidRPr="00000000">
              <w:rPr>
                <w:b w:val="0"/>
                <w:bCs w:val="0"/>
                <w:color w:val="000000"/>
                <w:sz w:val="20"/>
                <w:szCs w:val="20"/>
                <w:rtl w:val="0"/>
              </w:rPr>
              <w:t xml:space="preserve">8 days</w:t>
            </w:r>
            <w:r w:rsidDel="00000000" w:rsidR="00000000" w:rsidRPr="00000000">
              <w:rPr>
                <w:rtl w:val="0"/>
              </w:rPr>
            </w:r>
          </w:p>
        </w:tc>
        <w:tc>
          <w:tcPr/>
          <w:p w:rsidR="00000000" w:rsidDel="00000000" w:rsidP="00000000" w:rsidRDefault="00000000" w:rsidRPr="00000000" w14:paraId="00000028">
            <w:pPr>
              <w:rPr/>
            </w:pPr>
            <w:r w:rsidDel="00000000" w:rsidR="00000000" w:rsidRPr="00000000">
              <w:rPr>
                <w:b w:val="0"/>
                <w:bCs w:val="0"/>
                <w:color w:val="000000"/>
                <w:sz w:val="20"/>
                <w:szCs w:val="20"/>
                <w:rtl w:val="0"/>
              </w:rPr>
              <w:t xml:space="preserve">32 days</w:t>
            </w:r>
            <w:r w:rsidDel="00000000" w:rsidR="00000000" w:rsidRPr="00000000">
              <w:rPr>
                <w:rtl w:val="0"/>
              </w:rPr>
            </w:r>
          </w:p>
        </w:tc>
      </w:tr>
      <w:tr>
        <w:trPr>
          <w:cantSplit w:val="0"/>
          <w:tblHeader w:val="0"/>
        </w:trPr>
        <w:tc>
          <w:tcPr/>
          <w:p w:rsidR="00000000" w:rsidDel="00000000" w:rsidP="00000000" w:rsidRDefault="00000000" w:rsidRPr="00000000" w14:paraId="00000029">
            <w:pPr>
              <w:rPr/>
            </w:pPr>
            <w:r w:rsidDel="00000000" w:rsidR="00000000" w:rsidRPr="00000000">
              <w:rPr>
                <w:b w:val="0"/>
                <w:bCs w:val="0"/>
                <w:color w:val="000000"/>
                <w:sz w:val="20"/>
                <w:szCs w:val="20"/>
                <w:rtl w:val="0"/>
              </w:rPr>
              <w:t xml:space="preserve">4</w:t>
            </w:r>
            <w:r w:rsidDel="00000000" w:rsidR="00000000" w:rsidRPr="00000000">
              <w:rPr>
                <w:rtl w:val="0"/>
              </w:rPr>
            </w:r>
          </w:p>
        </w:tc>
        <w:tc>
          <w:tcPr/>
          <w:p w:rsidR="00000000" w:rsidDel="00000000" w:rsidP="00000000" w:rsidRDefault="00000000" w:rsidRPr="00000000" w14:paraId="0000002A">
            <w:pPr>
              <w:rPr/>
            </w:pPr>
            <w:r w:rsidDel="00000000" w:rsidR="00000000" w:rsidRPr="00000000">
              <w:rPr>
                <w:b w:val="0"/>
                <w:bCs w:val="0"/>
                <w:color w:val="000000"/>
                <w:sz w:val="20"/>
                <w:szCs w:val="20"/>
                <w:rtl w:val="0"/>
              </w:rPr>
              <w:t xml:space="preserve">8 days</w:t>
            </w:r>
            <w:r w:rsidDel="00000000" w:rsidR="00000000" w:rsidRPr="00000000">
              <w:rPr>
                <w:rtl w:val="0"/>
              </w:rPr>
            </w:r>
          </w:p>
        </w:tc>
        <w:tc>
          <w:tcPr/>
          <w:p w:rsidR="00000000" w:rsidDel="00000000" w:rsidP="00000000" w:rsidRDefault="00000000" w:rsidRPr="00000000" w14:paraId="0000002B">
            <w:pPr>
              <w:rPr/>
            </w:pPr>
            <w:r w:rsidDel="00000000" w:rsidR="00000000" w:rsidRPr="00000000">
              <w:rPr>
                <w:b w:val="0"/>
                <w:bCs w:val="0"/>
                <w:color w:val="000000"/>
                <w:sz w:val="20"/>
                <w:szCs w:val="20"/>
                <w:rtl w:val="0"/>
              </w:rPr>
              <w:t xml:space="preserve">32 days</w:t>
            </w:r>
            <w:r w:rsidDel="00000000" w:rsidR="00000000" w:rsidRPr="00000000">
              <w:rPr>
                <w:rtl w:val="0"/>
              </w:rPr>
            </w:r>
          </w:p>
        </w:tc>
        <w:tc>
          <w:tcPr/>
          <w:p w:rsidR="00000000" w:rsidDel="00000000" w:rsidP="00000000" w:rsidRDefault="00000000" w:rsidRPr="00000000" w14:paraId="0000002C">
            <w:pPr>
              <w:rPr/>
            </w:pPr>
            <w:r w:rsidDel="00000000" w:rsidR="00000000" w:rsidRPr="00000000">
              <w:rPr>
                <w:b w:val="0"/>
                <w:bCs w:val="0"/>
                <w:color w:val="000000"/>
                <w:sz w:val="20"/>
                <w:szCs w:val="20"/>
                <w:rtl w:val="0"/>
              </w:rPr>
              <w:t xml:space="preserve">64 days</w:t>
            </w:r>
            <w:r w:rsidDel="00000000" w:rsidR="00000000" w:rsidRPr="00000000">
              <w:rPr>
                <w:rtl w:val="0"/>
              </w:rPr>
            </w:r>
          </w:p>
        </w:tc>
      </w:tr>
      <w:tr>
        <w:trPr>
          <w:cantSplit w:val="0"/>
          <w:tblHeader w:val="0"/>
        </w:trPr>
        <w:tc>
          <w:tcPr/>
          <w:p w:rsidR="00000000" w:rsidDel="00000000" w:rsidP="00000000" w:rsidRDefault="00000000" w:rsidRPr="00000000" w14:paraId="0000002D">
            <w:pPr>
              <w:rPr/>
            </w:pPr>
            <w:r w:rsidDel="00000000" w:rsidR="00000000" w:rsidRPr="00000000">
              <w:rPr>
                <w:b w:val="0"/>
                <w:bCs w:val="0"/>
                <w:color w:val="000000"/>
                <w:sz w:val="20"/>
                <w:szCs w:val="20"/>
                <w:rtl w:val="0"/>
              </w:rPr>
              <w:t xml:space="preserve">3</w:t>
            </w:r>
            <w:r w:rsidDel="00000000" w:rsidR="00000000" w:rsidRPr="00000000">
              <w:rPr>
                <w:rtl w:val="0"/>
              </w:rPr>
            </w:r>
          </w:p>
        </w:tc>
        <w:tc>
          <w:tcPr/>
          <w:p w:rsidR="00000000" w:rsidDel="00000000" w:rsidP="00000000" w:rsidRDefault="00000000" w:rsidRPr="00000000" w14:paraId="0000002E">
            <w:pPr>
              <w:rPr/>
            </w:pPr>
            <w:r w:rsidDel="00000000" w:rsidR="00000000" w:rsidRPr="00000000">
              <w:rPr>
                <w:b w:val="0"/>
                <w:bCs w:val="0"/>
                <w:color w:val="000000"/>
                <w:sz w:val="20"/>
                <w:szCs w:val="20"/>
                <w:rtl w:val="0"/>
              </w:rPr>
              <w:t xml:space="preserve">32 days</w:t>
            </w:r>
            <w:r w:rsidDel="00000000" w:rsidR="00000000" w:rsidRPr="00000000">
              <w:rPr>
                <w:rtl w:val="0"/>
              </w:rPr>
            </w:r>
          </w:p>
        </w:tc>
        <w:tc>
          <w:tcPr/>
          <w:p w:rsidR="00000000" w:rsidDel="00000000" w:rsidP="00000000" w:rsidRDefault="00000000" w:rsidRPr="00000000" w14:paraId="0000002F">
            <w:pPr>
              <w:rPr/>
            </w:pPr>
            <w:r w:rsidDel="00000000" w:rsidR="00000000" w:rsidRPr="00000000">
              <w:rPr>
                <w:b w:val="0"/>
                <w:bCs w:val="0"/>
                <w:color w:val="000000"/>
                <w:sz w:val="20"/>
                <w:szCs w:val="20"/>
                <w:rtl w:val="0"/>
              </w:rPr>
              <w:t xml:space="preserve">64 days</w:t>
            </w:r>
            <w:r w:rsidDel="00000000" w:rsidR="00000000" w:rsidRPr="00000000">
              <w:rPr>
                <w:rtl w:val="0"/>
              </w:rPr>
            </w:r>
          </w:p>
        </w:tc>
        <w:tc>
          <w:tcPr/>
          <w:p w:rsidR="00000000" w:rsidDel="00000000" w:rsidP="00000000" w:rsidRDefault="00000000" w:rsidRPr="00000000" w14:paraId="00000030">
            <w:pPr>
              <w:rPr/>
            </w:pPr>
            <w:r w:rsidDel="00000000" w:rsidR="00000000" w:rsidRPr="00000000">
              <w:rPr>
                <w:b w:val="0"/>
                <w:bCs w:val="0"/>
                <w:color w:val="000000"/>
                <w:sz w:val="20"/>
                <w:szCs w:val="20"/>
                <w:rtl w:val="0"/>
              </w:rPr>
              <w:t xml:space="preserve">192 days</w:t>
            </w:r>
            <w:r w:rsidDel="00000000" w:rsidR="00000000" w:rsidRPr="00000000">
              <w:rPr>
                <w:rtl w:val="0"/>
              </w:rPr>
            </w:r>
          </w:p>
        </w:tc>
      </w:tr>
      <w:tr>
        <w:trPr>
          <w:cantSplit w:val="0"/>
          <w:tblHeader w:val="0"/>
        </w:trPr>
        <w:tc>
          <w:tcPr/>
          <w:p w:rsidR="00000000" w:rsidDel="00000000" w:rsidP="00000000" w:rsidRDefault="00000000" w:rsidRPr="00000000" w14:paraId="00000031">
            <w:pPr>
              <w:rPr/>
            </w:pPr>
            <w:r w:rsidDel="00000000" w:rsidR="00000000" w:rsidRPr="00000000">
              <w:rPr>
                <w:b w:val="0"/>
                <w:bCs w:val="0"/>
                <w:color w:val="000000"/>
                <w:sz w:val="20"/>
                <w:szCs w:val="20"/>
                <w:rtl w:val="0"/>
              </w:rPr>
              <w:t xml:space="preserve">2</w:t>
            </w:r>
            <w:r w:rsidDel="00000000" w:rsidR="00000000" w:rsidRPr="00000000">
              <w:rPr>
                <w:rtl w:val="0"/>
              </w:rPr>
            </w:r>
          </w:p>
        </w:tc>
        <w:tc>
          <w:tcPr/>
          <w:p w:rsidR="00000000" w:rsidDel="00000000" w:rsidP="00000000" w:rsidRDefault="00000000" w:rsidRPr="00000000" w14:paraId="00000032">
            <w:pPr>
              <w:rPr/>
            </w:pPr>
            <w:r w:rsidDel="00000000" w:rsidR="00000000" w:rsidRPr="00000000">
              <w:rPr>
                <w:b w:val="0"/>
                <w:bCs w:val="0"/>
                <w:color w:val="000000"/>
                <w:sz w:val="20"/>
                <w:szCs w:val="20"/>
                <w:rtl w:val="0"/>
              </w:rPr>
              <w:t xml:space="preserve">96 days</w:t>
            </w:r>
            <w:r w:rsidDel="00000000" w:rsidR="00000000" w:rsidRPr="00000000">
              <w:rPr>
                <w:rtl w:val="0"/>
              </w:rPr>
            </w:r>
          </w:p>
        </w:tc>
        <w:tc>
          <w:tcPr/>
          <w:p w:rsidR="00000000" w:rsidDel="00000000" w:rsidP="00000000" w:rsidRDefault="00000000" w:rsidRPr="00000000" w14:paraId="00000033">
            <w:pPr>
              <w:rPr/>
            </w:pPr>
            <w:r w:rsidDel="00000000" w:rsidR="00000000" w:rsidRPr="00000000">
              <w:rPr>
                <w:b w:val="0"/>
                <w:bCs w:val="0"/>
                <w:color w:val="000000"/>
                <w:sz w:val="20"/>
                <w:szCs w:val="20"/>
                <w:rtl w:val="0"/>
              </w:rPr>
              <w:t xml:space="preserve">160 days</w:t>
            </w:r>
            <w:r w:rsidDel="00000000" w:rsidR="00000000" w:rsidRPr="00000000">
              <w:rPr>
                <w:rtl w:val="0"/>
              </w:rPr>
            </w:r>
          </w:p>
        </w:tc>
        <w:tc>
          <w:tcPr/>
          <w:p w:rsidR="00000000" w:rsidDel="00000000" w:rsidP="00000000" w:rsidRDefault="00000000" w:rsidRPr="00000000" w14:paraId="00000034">
            <w:pPr>
              <w:rPr/>
            </w:pPr>
            <w:r w:rsidDel="00000000" w:rsidR="00000000" w:rsidRPr="00000000">
              <w:rPr>
                <w:b w:val="0"/>
                <w:bCs w:val="0"/>
                <w:color w:val="000000"/>
                <w:sz w:val="20"/>
                <w:szCs w:val="20"/>
                <w:rtl w:val="0"/>
              </w:rPr>
              <w:t xml:space="preserve">192 days</w:t>
            </w:r>
            <w:r w:rsidDel="00000000" w:rsidR="00000000" w:rsidRPr="00000000">
              <w:rPr>
                <w:rtl w:val="0"/>
              </w:rPr>
            </w:r>
          </w:p>
        </w:tc>
      </w:tr>
    </w:tbl>
    <w:p w:rsidR="00000000" w:rsidDel="00000000" w:rsidP="00000000" w:rsidRDefault="00000000" w:rsidRPr="00000000" w14:paraId="00000035">
      <w:pPr>
        <w:spacing w:after="150" w:lineRule="auto"/>
        <w:rPr/>
      </w:pPr>
      <w:r w:rsidDel="00000000" w:rsidR="00000000" w:rsidRPr="00000000">
        <w:rPr>
          <w:rtl w:val="0"/>
        </w:rPr>
        <w:t xml:space="preserve">A vulnerability is considered remediated when it is fully mitigated, partially mitigated to reduce PAIN to an acceptable level, or resolved to a lower PAIN rating within the applicable timeframe.</w:t>
      </w:r>
    </w:p>
    <w:p w:rsidR="00000000" w:rsidDel="00000000" w:rsidP="00000000" w:rsidRDefault="00000000" w:rsidRPr="00000000" w14:paraId="00000036">
      <w:pPr>
        <w:pStyle w:val="Heading1"/>
        <w:spacing w:after="200" w:before="300" w:lineRule="auto"/>
        <w:rPr/>
      </w:pPr>
      <w:r w:rsidDel="00000000" w:rsidR="00000000" w:rsidRPr="00000000">
        <w:rPr>
          <w:rtl w:val="0"/>
        </w:rPr>
        <w:t xml:space="preserve">6. Evaluation Timing</w:t>
      </w:r>
    </w:p>
    <w:p w:rsidR="00000000" w:rsidDel="00000000" w:rsidP="00000000" w:rsidRDefault="00000000" w:rsidRPr="00000000" w14:paraId="00000037">
      <w:pPr>
        <w:spacing w:after="150" w:lineRule="auto"/>
        <w:rPr/>
      </w:pPr>
      <w:r w:rsidDel="00000000" w:rsidR="00000000" w:rsidRPr="00000000">
        <w:rPr>
          <w:rtl w:val="0"/>
        </w:rPr>
        <w:t xml:space="preserve">Every detected vulnerability MUST have a PAIN rating, LEV determination, and reachability determination assigned within 14 days of detection (VER-TFR-EVU). The remediation clock (Section 5) begins at the date of this evaluation, not the date of initial detection.</w:t>
      </w:r>
    </w:p>
    <w:p w:rsidR="00000000" w:rsidDel="00000000" w:rsidP="00000000" w:rsidRDefault="00000000" w:rsidRPr="00000000" w14:paraId="00000038">
      <w:pPr>
        <w:pStyle w:val="Heading1"/>
        <w:spacing w:after="200" w:before="300" w:lineRule="auto"/>
        <w:rPr/>
      </w:pPr>
      <w:r w:rsidDel="00000000" w:rsidR="00000000" w:rsidRPr="00000000">
        <w:rPr>
          <w:rtl w:val="0"/>
        </w:rPr>
        <w:t xml:space="preserve">7. Process Integration</w:t>
      </w:r>
    </w:p>
    <w:p w:rsidR="00000000" w:rsidDel="00000000" w:rsidP="00000000" w:rsidRDefault="00000000" w:rsidRPr="00000000" w14:paraId="00000039">
      <w:pPr>
        <w:spacing w:after="150" w:lineRule="auto"/>
        <w:rPr/>
      </w:pPr>
      <w:r w:rsidDel="00000000" w:rsidR="00000000" w:rsidRPr="00000000">
        <w:rPr>
          <w:rtl w:val="0"/>
        </w:rPr>
        <w:t xml:space="preserve">PAIN, LEV, and reachability fields should be added to whatever system tracks vulnerability findings (e.g., a custom field set in the existing ticketing/vulnerability management tooling), populated at evaluation time, with due dates calculated automatically from Section 5 and monitored for SLA compliance.</w:t>
      </w:r>
    </w:p>
    <w:p w:rsidR="00000000" w:rsidDel="00000000" w:rsidP="00000000" w:rsidRDefault="00000000" w:rsidRPr="00000000" w14:paraId="0000003A">
      <w:pPr>
        <w:pStyle w:val="Heading1"/>
        <w:spacing w:after="200" w:before="300" w:lineRule="auto"/>
        <w:rPr/>
      </w:pPr>
      <w:r w:rsidDel="00000000" w:rsidR="00000000" w:rsidRPr="00000000">
        <w:rPr>
          <w:rtl w:val="0"/>
        </w:rPr>
        <w:t xml:space="preserve">8. Ownership and Review</w:t>
      </w:r>
    </w:p>
    <w:p w:rsidR="00000000" w:rsidDel="00000000" w:rsidP="00000000" w:rsidRDefault="00000000" w:rsidRPr="00000000" w14:paraId="0000003B">
      <w:pPr>
        <w:spacing w:after="150" w:lineRule="auto"/>
        <w:rPr/>
      </w:pPr>
      <w:r w:rsidDel="00000000" w:rsidR="00000000" w:rsidRPr="00000000">
        <w:rPr>
          <w:rtl w:val="0"/>
        </w:rPr>
        <w:t xml:space="preserve">Christopher Doyle, Security Architect, owns this rubric and is responsible for its application. This rubric is reviewed on the same cadence as JupiterOne's vulnerability management process (recommend: annually, alongside SOC 2 CC7.1 testing).</w:t>
      </w:r>
    </w:p>
    <w:sectPr>
      <w:pgSz w:h="15840" w:w="12240" w:orient="portrait"/>
      <w:pgMar w:bottom="1080" w:top="108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43z8Ns/OR6ooCH1wdWe3V0a8FUg==">CgMxLjA4AHIhMVBRaG1PZXdsU29HUDk5akJPU3pRbFM0RUpuWmhDY3J3</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2026-09-03T18:01:43.351Z</dcterms:created>
  <dc:creator>Un-named</dc:creator>
</cp:coreProperties>
</file>

<file path=docProps/custom.xml><?xml version="1.0" encoding="utf-8"?>
<Properties xmlns="http://schemas.openxmlformats.org/officeDocument/2006/custom-properties" xmlns:vt="http://schemas.openxmlformats.org/officeDocument/2006/docPropsVTypes"/>
</file>