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sdt>
        <w:sdtPr>
          <w:id w:val="1685614300"/>
          <w:tag w:val="goog_rdk_0"/>
        </w:sdtPr>
        <w:sdtContent>
          <w:commentRangeStart w:id="0"/>
        </w:sdtContent>
      </w:sdt>
      <w:r w:rsidDel="00000000" w:rsidR="00000000" w:rsidRPr="00000000">
        <w:rPr>
          <w:b w:val="1"/>
          <w:bCs w:val="1"/>
          <w:color w:val="1f4e78"/>
          <w:sz w:val="28"/>
          <w:szCs w:val="28"/>
          <w:rtl w:val="0"/>
        </w:rPr>
        <w:t xml:space="preserve">JupiterOne — FedRAMP Reportability Addendum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i w:val="1"/>
          <w:iCs w:val="1"/>
          <w:color w:val="595959"/>
          <w:sz w:val="18"/>
          <w:szCs w:val="18"/>
          <w:rtl w:val="0"/>
        </w:rPr>
        <w:t xml:space="preserve">Addendum to the JupiterOne Incident Response Policy — satisfies IEC-CSO-EFR (Evaluate FedRAMP Reportability)</w:t>
      </w:r>
      <w:r w:rsidDel="00000000" w:rsidR="00000000" w:rsidRPr="00000000">
        <w:rPr>
          <w:rtl w:val="0"/>
        </w:rPr>
      </w:r>
    </w:p>
    <w:p w:rsidR="00000000" w:rsidDel="00000000" w:rsidP="00000000" w:rsidRDefault="00000000" w:rsidRPr="00000000" w14:paraId="00000003">
      <w:pPr>
        <w:pStyle w:val="Heading1"/>
        <w:spacing w:after="200" w:before="300" w:lineRule="auto"/>
        <w:rPr/>
      </w:pPr>
      <w:r w:rsidDel="00000000" w:rsidR="00000000" w:rsidRPr="00000000">
        <w:rPr>
          <w:rtl w:val="0"/>
        </w:rPr>
        <w:t xml:space="preserve">1. Purpose</w:t>
      </w:r>
    </w:p>
    <w:p w:rsidR="00000000" w:rsidDel="00000000" w:rsidP="00000000" w:rsidRDefault="00000000" w:rsidRPr="00000000" w14:paraId="00000004">
      <w:pPr>
        <w:spacing w:after="150" w:lineRule="auto"/>
        <w:rPr/>
      </w:pPr>
      <w:r w:rsidDel="00000000" w:rsidR="00000000" w:rsidRPr="00000000">
        <w:rPr>
          <w:rtl w:val="0"/>
        </w:rPr>
        <w:t xml:space="preserve">This addendum adds an explicit FedRAMP reportability evaluation step to JupiterOne's existing incident response and escalation procedure (see SOC 2 CC7.3). It does not replace the underlying incident response process — it adds a required decision point for any incident affecting JupiterOne GovCloud.</w:t>
      </w:r>
    </w:p>
    <w:p w:rsidR="00000000" w:rsidDel="00000000" w:rsidP="00000000" w:rsidRDefault="00000000" w:rsidRPr="00000000" w14:paraId="00000005">
      <w:pPr>
        <w:pStyle w:val="Heading1"/>
        <w:spacing w:after="200" w:before="300" w:lineRule="auto"/>
        <w:rPr/>
      </w:pPr>
      <w:r w:rsidDel="00000000" w:rsidR="00000000" w:rsidRPr="00000000">
        <w:rPr>
          <w:rtl w:val="0"/>
        </w:rPr>
        <w:t xml:space="preserve">2. Reportability Evaluation Step</w:t>
      </w:r>
    </w:p>
    <w:p w:rsidR="00000000" w:rsidDel="00000000" w:rsidP="00000000" w:rsidRDefault="00000000" w:rsidRPr="00000000" w14:paraId="00000006">
      <w:pPr>
        <w:spacing w:after="150" w:lineRule="auto"/>
        <w:rPr/>
      </w:pPr>
      <w:r w:rsidDel="00000000" w:rsidR="00000000" w:rsidRPr="00000000">
        <w:rPr>
          <w:rtl w:val="0"/>
        </w:rPr>
        <w:t xml:space="preserve">Upon classification of any security incident affecting JupiterOne GovCloud (per the existing severity classification process), the incident owner MUST additionally evaluate and document whether the incident meets FedRAMP's definition of a reportable incident, considering at minimum:</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Whether the incident involved unauthorized access to, or disclosure of, federal customer data or systems within the FedRAMP Minimum Assessment Scope.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Whether the incident resulted in a material loss of confidentiality, integrity, or availability of JupiterOne GovCloud.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Whether the incident affected any component identified in the FedRAMP Certification Package's information resource inventory.</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severity classification already assigned per the existing incident response procedure.</w:t>
      </w:r>
    </w:p>
    <w:p w:rsidR="00000000" w:rsidDel="00000000" w:rsidP="00000000" w:rsidRDefault="00000000" w:rsidRPr="00000000" w14:paraId="0000000B">
      <w:pPr>
        <w:pStyle w:val="Heading1"/>
        <w:spacing w:after="200" w:before="300" w:lineRule="auto"/>
        <w:rPr/>
      </w:pPr>
      <w:r w:rsidDel="00000000" w:rsidR="00000000" w:rsidRPr="00000000">
        <w:rPr>
          <w:rtl w:val="0"/>
        </w:rPr>
        <w:t xml:space="preserve">3. Decision &amp; Documentation</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00"/>
        <w:tblGridChange w:id="0">
          <w:tblGrid>
            <w:gridCol w:w="3200"/>
            <w:gridCol w:w="5800"/>
          </w:tblGrid>
        </w:tblGridChange>
      </w:tblGrid>
      <w:tr>
        <w:trPr>
          <w:cantSplit w:val="0"/>
          <w:tblHeader w:val="0"/>
        </w:trPr>
        <w:tc>
          <w:tcPr>
            <w:shd w:fill="1f4e78" w:val="clear"/>
          </w:tcPr>
          <w:p w:rsidR="00000000" w:rsidDel="00000000" w:rsidP="00000000" w:rsidRDefault="00000000" w:rsidRPr="00000000" w14:paraId="0000000C">
            <w:pPr>
              <w:rPr/>
            </w:pPr>
            <w:r w:rsidDel="00000000" w:rsidR="00000000" w:rsidRPr="00000000">
              <w:rPr>
                <w:b w:val="1"/>
                <w:bCs w:val="1"/>
                <w:color w:val="ffffff"/>
                <w:sz w:val="20"/>
                <w:szCs w:val="20"/>
                <w:rtl w:val="0"/>
              </w:rPr>
              <w:t xml:space="preserve">Outcome</w:t>
            </w:r>
            <w:r w:rsidDel="00000000" w:rsidR="00000000" w:rsidRPr="00000000">
              <w:rPr>
                <w:rtl w:val="0"/>
              </w:rPr>
            </w:r>
          </w:p>
        </w:tc>
        <w:tc>
          <w:tcPr>
            <w:shd w:fill="1f4e78" w:val="clear"/>
          </w:tcPr>
          <w:p w:rsidR="00000000" w:rsidDel="00000000" w:rsidP="00000000" w:rsidRDefault="00000000" w:rsidRPr="00000000" w14:paraId="0000000D">
            <w:pPr>
              <w:rPr/>
            </w:pPr>
            <w:r w:rsidDel="00000000" w:rsidR="00000000" w:rsidRPr="00000000">
              <w:rPr>
                <w:b w:val="1"/>
                <w:bCs w:val="1"/>
                <w:color w:val="ffffff"/>
                <w:sz w:val="20"/>
                <w:szCs w:val="20"/>
                <w:rtl w:val="0"/>
              </w:rPr>
              <w:t xml:space="preserve">Required Action</w:t>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b w:val="0"/>
                <w:bCs w:val="0"/>
                <w:color w:val="000000"/>
                <w:sz w:val="20"/>
                <w:szCs w:val="20"/>
                <w:rtl w:val="0"/>
              </w:rPr>
              <w:t xml:space="preserve">Determined FedRAMP Reportable</w:t>
            </w:r>
            <w:r w:rsidDel="00000000" w:rsidR="00000000" w:rsidRPr="00000000">
              <w:rPr>
                <w:rtl w:val="0"/>
              </w:rPr>
            </w:r>
          </w:p>
        </w:tc>
        <w:tc>
          <w:tcPr/>
          <w:p w:rsidR="00000000" w:rsidDel="00000000" w:rsidP="00000000" w:rsidRDefault="00000000" w:rsidRPr="00000000" w14:paraId="0000000F">
            <w:pPr>
              <w:rPr/>
            </w:pPr>
            <w:r w:rsidDel="00000000" w:rsidR="00000000" w:rsidRPr="00000000">
              <w:rPr>
                <w:b w:val="0"/>
                <w:bCs w:val="0"/>
                <w:color w:val="000000"/>
                <w:sz w:val="20"/>
                <w:szCs w:val="20"/>
                <w:rtl w:val="0"/>
              </w:rPr>
              <w:t xml:space="preserve">File an Initial Incident Report (IIR) with FedRAMP and affected agency customers per FedRAMP's incident communication timelines; issue Ongoing Incident Reports (OIR) as needed; issue a Final Incident Report (FIR) upon resolution using the JupiterOne FIR template.</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b w:val="0"/>
                <w:bCs w:val="0"/>
                <w:color w:val="000000"/>
                <w:sz w:val="20"/>
                <w:szCs w:val="20"/>
                <w:rtl w:val="0"/>
              </w:rPr>
              <w:t xml:space="preserve">Determined Not Reportable</w:t>
            </w:r>
            <w:r w:rsidDel="00000000" w:rsidR="00000000" w:rsidRPr="00000000">
              <w:rPr>
                <w:rtl w:val="0"/>
              </w:rPr>
            </w:r>
          </w:p>
        </w:tc>
        <w:tc>
          <w:tcPr/>
          <w:p w:rsidR="00000000" w:rsidDel="00000000" w:rsidP="00000000" w:rsidRDefault="00000000" w:rsidRPr="00000000" w14:paraId="00000011">
            <w:pPr>
              <w:rPr/>
            </w:pPr>
            <w:r w:rsidDel="00000000" w:rsidR="00000000" w:rsidRPr="00000000">
              <w:rPr>
                <w:b w:val="0"/>
                <w:bCs w:val="0"/>
                <w:color w:val="000000"/>
                <w:sz w:val="20"/>
                <w:szCs w:val="20"/>
                <w:rtl w:val="0"/>
              </w:rPr>
              <w:t xml:space="preserve">Document the basis for the determination (which criteria above were considered and why they were not met) in the incident ticket. No external FedRAMP reporting is required, but the determination itself must be retained.</w:t>
            </w:r>
            <w:r w:rsidDel="00000000" w:rsidR="00000000" w:rsidRPr="00000000">
              <w:rPr>
                <w:rtl w:val="0"/>
              </w:rPr>
            </w:r>
          </w:p>
        </w:tc>
      </w:tr>
    </w:tbl>
    <w:p w:rsidR="00000000" w:rsidDel="00000000" w:rsidP="00000000" w:rsidRDefault="00000000" w:rsidRPr="00000000" w14:paraId="00000012">
      <w:pPr>
        <w:pStyle w:val="Heading1"/>
        <w:spacing w:after="200" w:before="300" w:lineRule="auto"/>
        <w:rPr/>
      </w:pPr>
      <w:r w:rsidDel="00000000" w:rsidR="00000000" w:rsidRPr="00000000">
        <w:rPr>
          <w:rtl w:val="0"/>
        </w:rPr>
        <w:t xml:space="preserve">4. Ownership</w:t>
      </w:r>
    </w:p>
    <w:p w:rsidR="00000000" w:rsidDel="00000000" w:rsidP="00000000" w:rsidRDefault="00000000" w:rsidRPr="00000000" w14:paraId="00000013">
      <w:pPr>
        <w:spacing w:after="150" w:lineRule="auto"/>
        <w:rPr/>
      </w:pPr>
      <w:r w:rsidDel="00000000" w:rsidR="00000000" w:rsidRPr="00000000">
        <w:rPr>
          <w:rtl w:val="0"/>
        </w:rPr>
        <w:t xml:space="preserve">Christopher Doyle, Security Architect, is responsible for making and documenting the reportability determination for every incident affecting JupiterOne GovCloud, as part of the existing incident response and escalation procedure.</w:t>
      </w:r>
    </w:p>
    <w:p w:rsidR="00000000" w:rsidDel="00000000" w:rsidP="00000000" w:rsidRDefault="00000000" w:rsidRPr="00000000" w14:paraId="00000014">
      <w:pPr>
        <w:pStyle w:val="Heading1"/>
        <w:spacing w:after="200" w:before="300" w:lineRule="auto"/>
        <w:rPr/>
      </w:pPr>
      <w:r w:rsidDel="00000000" w:rsidR="00000000" w:rsidRPr="00000000">
        <w:rPr>
          <w:rtl w:val="0"/>
        </w:rPr>
        <w:t xml:space="preserve">5. Review Cadence</w:t>
      </w:r>
    </w:p>
    <w:p w:rsidR="00000000" w:rsidDel="00000000" w:rsidP="00000000" w:rsidRDefault="00000000" w:rsidRPr="00000000" w14:paraId="00000015">
      <w:pPr>
        <w:spacing w:after="150" w:lineRule="auto"/>
        <w:rPr/>
      </w:pPr>
      <w:r w:rsidDel="00000000" w:rsidR="00000000" w:rsidRPr="00000000">
        <w:rPr>
          <w:rtl w:val="0"/>
        </w:rPr>
        <w:t xml:space="preserve">This addendum is reviewed on the same annual cadence as the underlying Incident Response Policy (per SOC 2 CC7.3 testing).</w:t>
      </w:r>
    </w:p>
    <w:p w:rsidR="00000000" w:rsidDel="00000000" w:rsidP="00000000" w:rsidRDefault="00000000" w:rsidRPr="00000000" w14:paraId="00000016">
      <w:pPr>
        <w:spacing w:after="150" w:lineRule="auto"/>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100" w:before="600" w:lineRule="auto"/>
        <w:jc w:val="center"/>
        <w:rPr/>
      </w:pPr>
      <w:sdt>
        <w:sdtPr>
          <w:id w:val="790778217"/>
          <w:tag w:val="goog_rdk_1"/>
        </w:sdtPr>
        <w:sdtContent>
          <w:commentRangeStart w:id="1"/>
        </w:sdtContent>
      </w:sdt>
      <w:r w:rsidDel="00000000" w:rsidR="00000000" w:rsidRPr="00000000">
        <w:rPr>
          <w:b w:val="1"/>
          <w:bCs w:val="1"/>
          <w:color w:val="1f4e78"/>
          <w:sz w:val="28"/>
          <w:szCs w:val="28"/>
          <w:rtl w:val="0"/>
        </w:rPr>
        <w:t xml:space="preserve">JupiterOne — Agency Access Denial Notification Process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8">
      <w:pPr>
        <w:spacing w:after="300" w:lineRule="auto"/>
        <w:jc w:val="center"/>
        <w:rPr/>
      </w:pPr>
      <w:r w:rsidDel="00000000" w:rsidR="00000000" w:rsidRPr="00000000">
        <w:rPr>
          <w:i w:val="1"/>
          <w:iCs w:val="1"/>
          <w:color w:val="595959"/>
          <w:sz w:val="18"/>
          <w:szCs w:val="18"/>
          <w:rtl w:val="0"/>
        </w:rPr>
        <w:t xml:space="preserve">Internal process — satisfies CDS-UTC-AAD (Agency Access Denial)</w:t>
      </w:r>
      <w:r w:rsidDel="00000000" w:rsidR="00000000" w:rsidRPr="00000000">
        <w:rPr>
          <w:rtl w:val="0"/>
        </w:rPr>
      </w:r>
    </w:p>
    <w:p w:rsidR="00000000" w:rsidDel="00000000" w:rsidP="00000000" w:rsidRDefault="00000000" w:rsidRPr="00000000" w14:paraId="00000019">
      <w:pPr>
        <w:pStyle w:val="Heading1"/>
        <w:spacing w:after="200" w:before="300" w:lineRule="auto"/>
        <w:rPr/>
      </w:pPr>
      <w:r w:rsidDel="00000000" w:rsidR="00000000" w:rsidRPr="00000000">
        <w:rPr>
          <w:rtl w:val="0"/>
        </w:rPr>
        <w:t xml:space="preserve">1. Purpose</w:t>
      </w:r>
    </w:p>
    <w:p w:rsidR="00000000" w:rsidDel="00000000" w:rsidP="00000000" w:rsidRDefault="00000000" w:rsidRPr="00000000" w14:paraId="0000001A">
      <w:pPr>
        <w:spacing w:after="150" w:lineRule="auto"/>
        <w:rPr/>
      </w:pPr>
      <w:r w:rsidDel="00000000" w:rsidR="00000000" w:rsidRPr="00000000">
        <w:rPr>
          <w:rtl w:val="0"/>
        </w:rPr>
        <w:t xml:space="preserve">FedRAMP requires that if JupiterOne denies a federal agency's request to access FedRAMP Certification Data (e.g., materials in the Trust Center / Legal and Security Hub), JupiterOne must notify FedRAMP within 5 business days of the denial. This process defines how that requirement is met.</w:t>
      </w:r>
    </w:p>
    <w:p w:rsidR="00000000" w:rsidDel="00000000" w:rsidP="00000000" w:rsidRDefault="00000000" w:rsidRPr="00000000" w14:paraId="0000001B">
      <w:pPr>
        <w:pStyle w:val="Heading1"/>
        <w:spacing w:after="200" w:before="300" w:lineRule="auto"/>
        <w:rPr/>
      </w:pPr>
      <w:r w:rsidDel="00000000" w:rsidR="00000000" w:rsidRPr="00000000">
        <w:rPr>
          <w:rtl w:val="0"/>
        </w:rPr>
        <w:t xml:space="preserve">2. Process Steps</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100"/>
        <w:gridCol w:w="2000"/>
        <w:tblGridChange w:id="0">
          <w:tblGrid>
            <w:gridCol w:w="900"/>
            <w:gridCol w:w="6100"/>
            <w:gridCol w:w="2000"/>
          </w:tblGrid>
        </w:tblGridChange>
      </w:tblGrid>
      <w:tr>
        <w:trPr>
          <w:cantSplit w:val="0"/>
          <w:tblHeader w:val="0"/>
        </w:trPr>
        <w:tc>
          <w:tcPr>
            <w:shd w:fill="1f4e78" w:val="clear"/>
          </w:tcPr>
          <w:p w:rsidR="00000000" w:rsidDel="00000000" w:rsidP="00000000" w:rsidRDefault="00000000" w:rsidRPr="00000000" w14:paraId="0000001C">
            <w:pPr>
              <w:rPr/>
            </w:pPr>
            <w:r w:rsidDel="00000000" w:rsidR="00000000" w:rsidRPr="00000000">
              <w:rPr>
                <w:b w:val="1"/>
                <w:bCs w:val="1"/>
                <w:color w:val="ffffff"/>
                <w:sz w:val="20"/>
                <w:szCs w:val="20"/>
                <w:rtl w:val="0"/>
              </w:rPr>
              <w:t xml:space="preserve">Step</w:t>
            </w:r>
            <w:r w:rsidDel="00000000" w:rsidR="00000000" w:rsidRPr="00000000">
              <w:rPr>
                <w:rtl w:val="0"/>
              </w:rPr>
            </w:r>
          </w:p>
        </w:tc>
        <w:tc>
          <w:tcPr>
            <w:shd w:fill="1f4e78" w:val="clear"/>
          </w:tcPr>
          <w:p w:rsidR="00000000" w:rsidDel="00000000" w:rsidP="00000000" w:rsidRDefault="00000000" w:rsidRPr="00000000" w14:paraId="0000001D">
            <w:pPr>
              <w:rPr/>
            </w:pPr>
            <w:r w:rsidDel="00000000" w:rsidR="00000000" w:rsidRPr="00000000">
              <w:rPr>
                <w:b w:val="1"/>
                <w:bCs w:val="1"/>
                <w:color w:val="ffffff"/>
                <w:sz w:val="20"/>
                <w:szCs w:val="20"/>
                <w:rtl w:val="0"/>
              </w:rPr>
              <w:t xml:space="preserve">Action</w:t>
            </w:r>
            <w:r w:rsidDel="00000000" w:rsidR="00000000" w:rsidRPr="00000000">
              <w:rPr>
                <w:rtl w:val="0"/>
              </w:rPr>
            </w:r>
          </w:p>
        </w:tc>
        <w:tc>
          <w:tcPr>
            <w:shd w:fill="1f4e78" w:val="clear"/>
          </w:tcPr>
          <w:p w:rsidR="00000000" w:rsidDel="00000000" w:rsidP="00000000" w:rsidRDefault="00000000" w:rsidRPr="00000000" w14:paraId="0000001E">
            <w:pPr>
              <w:rPr/>
            </w:pPr>
            <w:r w:rsidDel="00000000" w:rsidR="00000000" w:rsidRPr="00000000">
              <w:rPr>
                <w:b w:val="1"/>
                <w:bCs w:val="1"/>
                <w:color w:val="ffffff"/>
                <w:sz w:val="20"/>
                <w:szCs w:val="20"/>
                <w:rtl w:val="0"/>
              </w:rPr>
              <w:t xml:space="preserve">Owner</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b w:val="0"/>
                <w:bCs w:val="0"/>
                <w:color w:val="000000"/>
                <w:sz w:val="20"/>
                <w:szCs w:val="20"/>
                <w:rtl w:val="0"/>
              </w:rPr>
              <w:t xml:space="preserve">1</w:t>
            </w:r>
            <w:r w:rsidDel="00000000" w:rsidR="00000000" w:rsidRPr="00000000">
              <w:rPr>
                <w:rtl w:val="0"/>
              </w:rPr>
            </w:r>
          </w:p>
        </w:tc>
        <w:tc>
          <w:tcPr/>
          <w:p w:rsidR="00000000" w:rsidDel="00000000" w:rsidP="00000000" w:rsidRDefault="00000000" w:rsidRPr="00000000" w14:paraId="00000020">
            <w:pPr>
              <w:rPr/>
            </w:pPr>
            <w:r w:rsidDel="00000000" w:rsidR="00000000" w:rsidRPr="00000000">
              <w:rPr>
                <w:b w:val="0"/>
                <w:bCs w:val="0"/>
                <w:color w:val="000000"/>
                <w:sz w:val="20"/>
                <w:szCs w:val="20"/>
                <w:rtl w:val="0"/>
              </w:rPr>
              <w:t xml:space="preserve">Log every agency access request received (via the Trust Portal NDA click-through or direct outreach to the security/sales contacts) as a ticket in Jira.</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0"/>
                <w:bCs w:val="0"/>
                <w:color w:val="000000"/>
                <w:sz w:val="20"/>
                <w:szCs w:val="20"/>
                <w:rtl w:val="0"/>
              </w:rPr>
              <w:t xml:space="preserve">Christopher Doyle, Security Architect</w:t>
            </w: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b w:val="0"/>
                <w:bCs w:val="0"/>
                <w:color w:val="000000"/>
                <w:sz w:val="20"/>
                <w:szCs w:val="20"/>
                <w:rtl w:val="0"/>
              </w:rPr>
              <w:t xml:space="preserve">2</w:t>
            </w:r>
            <w:r w:rsidDel="00000000" w:rsidR="00000000" w:rsidRPr="00000000">
              <w:rPr>
                <w:rtl w:val="0"/>
              </w:rPr>
            </w:r>
          </w:p>
        </w:tc>
        <w:tc>
          <w:tcPr/>
          <w:p w:rsidR="00000000" w:rsidDel="00000000" w:rsidP="00000000" w:rsidRDefault="00000000" w:rsidRPr="00000000" w14:paraId="00000023">
            <w:pPr>
              <w:rPr/>
            </w:pPr>
            <w:r w:rsidDel="00000000" w:rsidR="00000000" w:rsidRPr="00000000">
              <w:rPr>
                <w:b w:val="0"/>
                <w:bCs w:val="0"/>
                <w:color w:val="000000"/>
                <w:sz w:val="20"/>
                <w:szCs w:val="20"/>
                <w:rtl w:val="0"/>
              </w:rPr>
              <w:t xml:space="preserve">If a request is denied for any reason, flag the Jira ticket immediately with the date of denial and the reason.</w:t>
            </w:r>
            <w:r w:rsidDel="00000000" w:rsidR="00000000" w:rsidRPr="00000000">
              <w:rPr>
                <w:rtl w:val="0"/>
              </w:rPr>
            </w:r>
          </w:p>
        </w:tc>
        <w:tc>
          <w:tcPr/>
          <w:p w:rsidR="00000000" w:rsidDel="00000000" w:rsidP="00000000" w:rsidRDefault="00000000" w:rsidRPr="00000000" w14:paraId="00000024">
            <w:pPr>
              <w:rPr/>
            </w:pPr>
            <w:r w:rsidDel="00000000" w:rsidR="00000000" w:rsidRPr="00000000">
              <w:rPr>
                <w:b w:val="0"/>
                <w:bCs w:val="0"/>
                <w:color w:val="000000"/>
                <w:sz w:val="20"/>
                <w:szCs w:val="20"/>
                <w:rtl w:val="0"/>
              </w:rPr>
              <w:t xml:space="preserve">Christopher Doyle, Security Architect</w:t>
            </w: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b w:val="0"/>
                <w:bCs w:val="0"/>
                <w:color w:val="000000"/>
                <w:sz w:val="20"/>
                <w:szCs w:val="20"/>
                <w:rtl w:val="0"/>
              </w:rPr>
              <w:t xml:space="preserve">3</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0"/>
                <w:bCs w:val="0"/>
                <w:color w:val="000000"/>
                <w:sz w:val="20"/>
                <w:szCs w:val="20"/>
                <w:rtl w:val="0"/>
              </w:rPr>
              <w:t xml:space="preserve">Within 5 business days of the denial, submit the [CSP] Agency Access Denial form to FedRAMP.</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0"/>
                <w:bCs w:val="0"/>
                <w:color w:val="000000"/>
                <w:sz w:val="20"/>
                <w:szCs w:val="20"/>
                <w:rtl w:val="0"/>
              </w:rPr>
              <w:t xml:space="preserve">Christopher Doyle, Security Architect</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b w:val="0"/>
                <w:bCs w:val="0"/>
                <w:color w:val="000000"/>
                <w:sz w:val="20"/>
                <w:szCs w:val="20"/>
                <w:rtl w:val="0"/>
              </w:rPr>
              <w:t xml:space="preserve">4</w:t>
            </w:r>
            <w:r w:rsidDel="00000000" w:rsidR="00000000" w:rsidRPr="00000000">
              <w:rPr>
                <w:rtl w:val="0"/>
              </w:rPr>
            </w:r>
          </w:p>
        </w:tc>
        <w:tc>
          <w:tcPr/>
          <w:p w:rsidR="00000000" w:rsidDel="00000000" w:rsidP="00000000" w:rsidRDefault="00000000" w:rsidRPr="00000000" w14:paraId="00000029">
            <w:pPr>
              <w:rPr/>
            </w:pPr>
            <w:r w:rsidDel="00000000" w:rsidR="00000000" w:rsidRPr="00000000">
              <w:rPr>
                <w:b w:val="0"/>
                <w:bCs w:val="0"/>
                <w:color w:val="000000"/>
                <w:sz w:val="20"/>
                <w:szCs w:val="20"/>
                <w:rtl w:val="0"/>
              </w:rPr>
              <w:t xml:space="preserve">Retain a record of the notification and FedRAMP's acknowledgment, if any, attached to the original Jira ticket.</w:t>
            </w:r>
            <w:r w:rsidDel="00000000" w:rsidR="00000000" w:rsidRPr="00000000">
              <w:rPr>
                <w:rtl w:val="0"/>
              </w:rPr>
            </w:r>
          </w:p>
        </w:tc>
        <w:tc>
          <w:tcPr/>
          <w:p w:rsidR="00000000" w:rsidDel="00000000" w:rsidP="00000000" w:rsidRDefault="00000000" w:rsidRPr="00000000" w14:paraId="0000002A">
            <w:pPr>
              <w:rPr/>
            </w:pPr>
            <w:r w:rsidDel="00000000" w:rsidR="00000000" w:rsidRPr="00000000">
              <w:rPr>
                <w:b w:val="0"/>
                <w:bCs w:val="0"/>
                <w:color w:val="000000"/>
                <w:sz w:val="20"/>
                <w:szCs w:val="20"/>
                <w:rtl w:val="0"/>
              </w:rPr>
              <w:t xml:space="preserve">Christopher Doyle, Security Architect</w:t>
            </w:r>
            <w:r w:rsidDel="00000000" w:rsidR="00000000" w:rsidRPr="00000000">
              <w:rPr>
                <w:rtl w:val="0"/>
              </w:rPr>
            </w:r>
          </w:p>
        </w:tc>
      </w:tr>
    </w:tbl>
    <w:p w:rsidR="00000000" w:rsidDel="00000000" w:rsidP="00000000" w:rsidRDefault="00000000" w:rsidRPr="00000000" w14:paraId="0000002B">
      <w:pPr>
        <w:pStyle w:val="Heading1"/>
        <w:spacing w:after="200" w:before="300" w:lineRule="auto"/>
        <w:rPr/>
      </w:pPr>
      <w:r w:rsidDel="00000000" w:rsidR="00000000" w:rsidRPr="00000000">
        <w:rPr>
          <w:rtl w:val="0"/>
        </w:rPr>
        <w:t xml:space="preserve">3. Ownership</w:t>
      </w:r>
    </w:p>
    <w:p w:rsidR="00000000" w:rsidDel="00000000" w:rsidP="00000000" w:rsidRDefault="00000000" w:rsidRPr="00000000" w14:paraId="0000002C">
      <w:pPr>
        <w:spacing w:after="150" w:lineRule="auto"/>
        <w:rPr/>
      </w:pPr>
      <w:r w:rsidDel="00000000" w:rsidR="00000000" w:rsidRPr="00000000">
        <w:rPr>
          <w:rtl w:val="0"/>
        </w:rPr>
        <w:t xml:space="preserve">Christopher Doyle, Security Architect, is responsible for monitoring Jira for incoming access requests and ensuring the 5-business-day notification deadline is met.</w:t>
      </w:r>
    </w:p>
    <w:p w:rsidR="00000000" w:rsidDel="00000000" w:rsidP="00000000" w:rsidRDefault="00000000" w:rsidRPr="00000000" w14:paraId="0000002D">
      <w:pPr>
        <w:pStyle w:val="Heading1"/>
        <w:spacing w:after="200" w:before="300" w:lineRule="auto"/>
        <w:rPr/>
      </w:pPr>
      <w:r w:rsidDel="00000000" w:rsidR="00000000" w:rsidRPr="00000000">
        <w:rPr>
          <w:rtl w:val="0"/>
        </w:rPr>
        <w:t xml:space="preserve">4. Review Cadence</w:t>
      </w:r>
    </w:p>
    <w:p w:rsidR="00000000" w:rsidDel="00000000" w:rsidP="00000000" w:rsidRDefault="00000000" w:rsidRPr="00000000" w14:paraId="0000002E">
      <w:pPr>
        <w:spacing w:after="150" w:lineRule="auto"/>
        <w:rPr/>
      </w:pPr>
      <w:r w:rsidDel="00000000" w:rsidR="00000000" w:rsidRPr="00000000">
        <w:rPr>
          <w:rtl w:val="0"/>
        </w:rPr>
        <w:t xml:space="preserve">This process is reviewed at least annually, and after any change to how the Trust Center/Legal and Security Hub handles access requests.</w:t>
      </w:r>
    </w:p>
    <w:sectPr>
      <w:pgSz w:h="15840" w:w="12240"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 Doyle" w:id="0" w:date="2026-08-10T17:29:08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addendum formally adopted into JupiterOne's actual Incident Response Policy to close IEC-CSO-EFR.</w:t>
      </w:r>
    </w:p>
  </w:comment>
  <w:comment w:author="Chris Doyle" w:id="1" w:date="2026-08-10T17:30:12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Jira the project/label is access-request tracking.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F" w15:done="0"/>
  <w15:commentEx w15:paraId="0000003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6"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0DiUMWiVpX4YZrsf+SakZVeN2g==">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2026-08-10T17:09:26.028Z</dcterms:created>
  <dc:creator>Un-named</dc:creator>
</cp:coreProperties>
</file>

<file path=docProps/custom.xml><?xml version="1.0" encoding="utf-8"?>
<Properties xmlns="http://schemas.openxmlformats.org/officeDocument/2006/custom-properties" xmlns:vt="http://schemas.openxmlformats.org/officeDocument/2006/docPropsVTypes"/>
</file>