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548A" w14:textId="6F584BA9" w:rsidR="00E71CEC" w:rsidRDefault="00935A61">
      <w:pPr>
        <w:jc w:val="center"/>
      </w:pPr>
      <w:r>
        <w:rPr>
          <w:b/>
          <w:sz w:val="36"/>
        </w:rPr>
        <w:t>Risk Categories — Summary Report</w:t>
      </w:r>
    </w:p>
    <w:p w14:paraId="73160F57" w14:textId="77777777" w:rsidR="00E71CEC" w:rsidRDefault="00935A61">
      <w:pPr>
        <w:jc w:val="center"/>
      </w:pPr>
      <w:r>
        <w:t>2025-11-15</w:t>
      </w:r>
    </w:p>
    <w:p w14:paraId="30577B4F" w14:textId="77777777" w:rsidR="00E71CEC" w:rsidRDefault="00935A61">
      <w:r>
        <w:rPr>
          <w:b/>
        </w:rPr>
        <w:t>Overview</w:t>
      </w:r>
    </w:p>
    <w:p w14:paraId="1156DD2B" w14:textId="51F46B7A" w:rsidR="00320E84" w:rsidRDefault="004D067A" w:rsidP="008A66B8">
      <w:r w:rsidRPr="004D067A">
        <w:t>This report summarizes the frequency of risk categories across the dataset. Here, “count” refers to the number of documents associated with each risk category</w:t>
      </w:r>
      <w:r>
        <w:t xml:space="preserve"> (based on the semantic</w:t>
      </w:r>
      <w:r w:rsidR="00935A61">
        <w:t xml:space="preserve"> similarity metric we use)</w:t>
      </w:r>
      <w:r w:rsidRPr="004D067A">
        <w:t>.</w:t>
      </w:r>
    </w:p>
    <w:p w14:paraId="1711CE01" w14:textId="77777777" w:rsidR="00E71CEC" w:rsidRDefault="00935A61">
      <w:r>
        <w:t>K</w:t>
      </w:r>
      <w:r>
        <w:t>ey figures:</w:t>
      </w:r>
    </w:p>
    <w:p w14:paraId="2118A7F9" w14:textId="77777777" w:rsidR="00E71CEC" w:rsidRDefault="00935A61">
      <w:pPr>
        <w:pStyle w:val="ListBullet"/>
      </w:pPr>
      <w:r>
        <w:t>Raw rows: 143</w:t>
      </w:r>
    </w:p>
    <w:p w14:paraId="3313F998" w14:textId="405D7DBA" w:rsidR="00E71CEC" w:rsidRDefault="00935A61">
      <w:pPr>
        <w:pStyle w:val="ListBullet"/>
      </w:pPr>
      <w:r>
        <w:t>Unique categories</w:t>
      </w:r>
      <w:r w:rsidR="00AB30D0">
        <w:t xml:space="preserve">: </w:t>
      </w:r>
      <w:r>
        <w:t>140</w:t>
      </w:r>
    </w:p>
    <w:p w14:paraId="358FE92A" w14:textId="77777777" w:rsidR="00E71CEC" w:rsidRDefault="00935A61">
      <w:pPr>
        <w:pStyle w:val="ListBullet"/>
      </w:pPr>
      <w:r>
        <w:t>Total count: 1,486,624</w:t>
      </w:r>
    </w:p>
    <w:p w14:paraId="6CF0BD82" w14:textId="77777777" w:rsidR="00E71CEC" w:rsidRDefault="00935A61">
      <w:pPr>
        <w:pStyle w:val="ListBullet"/>
      </w:pPr>
      <w:r>
        <w:t>Mean per category: 10618.7</w:t>
      </w:r>
    </w:p>
    <w:p w14:paraId="6AA3087A" w14:textId="77777777" w:rsidR="00E71CEC" w:rsidRDefault="00935A61">
      <w:pPr>
        <w:pStyle w:val="ListBullet"/>
      </w:pPr>
      <w:r>
        <w:t>Median per category: 10253.5</w:t>
      </w:r>
    </w:p>
    <w:p w14:paraId="0B893206" w14:textId="77777777" w:rsidR="00E71CEC" w:rsidRDefault="00935A61">
      <w:pPr>
        <w:pStyle w:val="ListBullet"/>
      </w:pPr>
      <w:r>
        <w:t>Standard deviation: 5814.9</w:t>
      </w:r>
    </w:p>
    <w:p w14:paraId="2950D3C4" w14:textId="77777777" w:rsidR="00E71CEC" w:rsidRDefault="00935A61">
      <w:r>
        <w:t>Top 10 categories by count: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1CEC" w14:paraId="262BA97A" w14:textId="77777777">
        <w:tc>
          <w:tcPr>
            <w:tcW w:w="4320" w:type="dxa"/>
          </w:tcPr>
          <w:p w14:paraId="1CD8D9E7" w14:textId="77777777" w:rsidR="00E71CEC" w:rsidRDefault="00935A61">
            <w:r>
              <w:t>Category</w:t>
            </w:r>
          </w:p>
        </w:tc>
        <w:tc>
          <w:tcPr>
            <w:tcW w:w="4320" w:type="dxa"/>
          </w:tcPr>
          <w:p w14:paraId="462C2246" w14:textId="77777777" w:rsidR="00E71CEC" w:rsidRDefault="00935A61">
            <w:r>
              <w:t>Count</w:t>
            </w:r>
          </w:p>
        </w:tc>
      </w:tr>
      <w:tr w:rsidR="00E71CEC" w14:paraId="386404F0" w14:textId="77777777">
        <w:tc>
          <w:tcPr>
            <w:tcW w:w="4320" w:type="dxa"/>
          </w:tcPr>
          <w:p w14:paraId="7411832F" w14:textId="77777777" w:rsidR="00E71CEC" w:rsidRDefault="00935A61">
            <w:r>
              <w:t>Net Stable Funding Ratio (NSFR)-related Risk</w:t>
            </w:r>
          </w:p>
        </w:tc>
        <w:tc>
          <w:tcPr>
            <w:tcW w:w="4320" w:type="dxa"/>
          </w:tcPr>
          <w:p w14:paraId="5EE2A86B" w14:textId="77777777" w:rsidR="00E71CEC" w:rsidRDefault="00935A61">
            <w:r>
              <w:t>28,875</w:t>
            </w:r>
          </w:p>
        </w:tc>
      </w:tr>
      <w:tr w:rsidR="00E71CEC" w14:paraId="7DD6A832" w14:textId="77777777">
        <w:tc>
          <w:tcPr>
            <w:tcW w:w="4320" w:type="dxa"/>
          </w:tcPr>
          <w:p w14:paraId="701E2C86" w14:textId="77777777" w:rsidR="00E71CEC" w:rsidRDefault="00935A61">
            <w:r>
              <w:t>Liquidity Coverage Ratio (LCR)-related Risk</w:t>
            </w:r>
          </w:p>
        </w:tc>
        <w:tc>
          <w:tcPr>
            <w:tcW w:w="4320" w:type="dxa"/>
          </w:tcPr>
          <w:p w14:paraId="509EF981" w14:textId="77777777" w:rsidR="00E71CEC" w:rsidRDefault="00935A61">
            <w:r>
              <w:t>27,612</w:t>
            </w:r>
          </w:p>
        </w:tc>
      </w:tr>
      <w:tr w:rsidR="00E71CEC" w14:paraId="1E879A07" w14:textId="77777777">
        <w:tc>
          <w:tcPr>
            <w:tcW w:w="4320" w:type="dxa"/>
          </w:tcPr>
          <w:p w14:paraId="2EFF7A4E" w14:textId="77777777" w:rsidR="00E71CEC" w:rsidRDefault="00935A61">
            <w:r>
              <w:t>Rollover / Refinancing Risk</w:t>
            </w:r>
          </w:p>
        </w:tc>
        <w:tc>
          <w:tcPr>
            <w:tcW w:w="4320" w:type="dxa"/>
          </w:tcPr>
          <w:p w14:paraId="1A03CACB" w14:textId="77777777" w:rsidR="00E71CEC" w:rsidRDefault="00935A61">
            <w:r>
              <w:t>26,650</w:t>
            </w:r>
          </w:p>
        </w:tc>
      </w:tr>
      <w:tr w:rsidR="00E71CEC" w14:paraId="3D6DFCD4" w14:textId="77777777">
        <w:tc>
          <w:tcPr>
            <w:tcW w:w="4320" w:type="dxa"/>
          </w:tcPr>
          <w:p w14:paraId="532CAE92" w14:textId="77777777" w:rsidR="00E71CEC" w:rsidRDefault="00935A61">
            <w:r>
              <w:t>Violations of laws, regulations, or internal policies</w:t>
            </w:r>
          </w:p>
        </w:tc>
        <w:tc>
          <w:tcPr>
            <w:tcW w:w="4320" w:type="dxa"/>
          </w:tcPr>
          <w:p w14:paraId="7432016F" w14:textId="77777777" w:rsidR="00E71CEC" w:rsidRDefault="00935A61">
            <w:r>
              <w:t>26,562</w:t>
            </w:r>
          </w:p>
        </w:tc>
      </w:tr>
      <w:tr w:rsidR="00E71CEC" w14:paraId="60C4D3D4" w14:textId="77777777">
        <w:tc>
          <w:tcPr>
            <w:tcW w:w="4320" w:type="dxa"/>
          </w:tcPr>
          <w:p w14:paraId="3F893472" w14:textId="77777777" w:rsidR="00E71CEC" w:rsidRDefault="00935A61">
            <w:r>
              <w:t>Risk transfer failure</w:t>
            </w:r>
          </w:p>
        </w:tc>
        <w:tc>
          <w:tcPr>
            <w:tcW w:w="4320" w:type="dxa"/>
          </w:tcPr>
          <w:p w14:paraId="0DADD4AE" w14:textId="77777777" w:rsidR="00E71CEC" w:rsidRDefault="00935A61">
            <w:r>
              <w:t>23,118</w:t>
            </w:r>
          </w:p>
        </w:tc>
      </w:tr>
      <w:tr w:rsidR="00E71CEC" w14:paraId="59CCE9D9" w14:textId="77777777">
        <w:tc>
          <w:tcPr>
            <w:tcW w:w="4320" w:type="dxa"/>
          </w:tcPr>
          <w:p w14:paraId="79FF43D4" w14:textId="77777777" w:rsidR="00E71CEC" w:rsidRDefault="00935A61">
            <w:r>
              <w:t>Dependence on external providers or counterparties</w:t>
            </w:r>
          </w:p>
        </w:tc>
        <w:tc>
          <w:tcPr>
            <w:tcW w:w="4320" w:type="dxa"/>
          </w:tcPr>
          <w:p w14:paraId="50DA17B9" w14:textId="77777777" w:rsidR="00E71CEC" w:rsidRDefault="00935A61">
            <w:r>
              <w:t>22,734</w:t>
            </w:r>
          </w:p>
        </w:tc>
      </w:tr>
      <w:tr w:rsidR="00E71CEC" w14:paraId="3C59B67B" w14:textId="77777777">
        <w:tc>
          <w:tcPr>
            <w:tcW w:w="4320" w:type="dxa"/>
          </w:tcPr>
          <w:p w14:paraId="25341B47" w14:textId="77777777" w:rsidR="00E71CEC" w:rsidRDefault="00935A61">
            <w:r>
              <w:t>Bank may be unable to roll over central-bank credit once it expires</w:t>
            </w:r>
          </w:p>
        </w:tc>
        <w:tc>
          <w:tcPr>
            <w:tcW w:w="4320" w:type="dxa"/>
          </w:tcPr>
          <w:p w14:paraId="5B07266B" w14:textId="77777777" w:rsidR="00E71CEC" w:rsidRDefault="00935A61">
            <w:r>
              <w:t>22,729</w:t>
            </w:r>
          </w:p>
        </w:tc>
      </w:tr>
      <w:tr w:rsidR="00E71CEC" w14:paraId="41F1FEC5" w14:textId="77777777">
        <w:tc>
          <w:tcPr>
            <w:tcW w:w="4320" w:type="dxa"/>
          </w:tcPr>
          <w:p w14:paraId="58BA5DD4" w14:textId="77777777" w:rsidR="00E71CEC" w:rsidRDefault="00935A61">
            <w:r>
              <w:t>Vendor or service-provider failures</w:t>
            </w:r>
          </w:p>
        </w:tc>
        <w:tc>
          <w:tcPr>
            <w:tcW w:w="4320" w:type="dxa"/>
          </w:tcPr>
          <w:p w14:paraId="00AE835C" w14:textId="77777777" w:rsidR="00E71CEC" w:rsidRDefault="00935A61">
            <w:r>
              <w:t>22,392</w:t>
            </w:r>
          </w:p>
        </w:tc>
      </w:tr>
      <w:tr w:rsidR="00E71CEC" w14:paraId="4DACC220" w14:textId="77777777">
        <w:tc>
          <w:tcPr>
            <w:tcW w:w="4320" w:type="dxa"/>
          </w:tcPr>
          <w:p w14:paraId="7BC794B2" w14:textId="77777777" w:rsidR="00E71CEC" w:rsidRDefault="00935A61">
            <w:r>
              <w:t>Losses from staff errors, negligence, or misconduct</w:t>
            </w:r>
          </w:p>
        </w:tc>
        <w:tc>
          <w:tcPr>
            <w:tcW w:w="4320" w:type="dxa"/>
          </w:tcPr>
          <w:p w14:paraId="32A060C2" w14:textId="77777777" w:rsidR="00E71CEC" w:rsidRDefault="00935A61">
            <w:r>
              <w:t>22,157</w:t>
            </w:r>
          </w:p>
        </w:tc>
      </w:tr>
      <w:tr w:rsidR="00E71CEC" w14:paraId="4C64E5AE" w14:textId="77777777">
        <w:tc>
          <w:tcPr>
            <w:tcW w:w="4320" w:type="dxa"/>
          </w:tcPr>
          <w:p w14:paraId="77A022AF" w14:textId="77777777" w:rsidR="00E71CEC" w:rsidRDefault="00935A61">
            <w:r>
              <w:lastRenderedPageBreak/>
              <w:t>Network or application failures</w:t>
            </w:r>
          </w:p>
        </w:tc>
        <w:tc>
          <w:tcPr>
            <w:tcW w:w="4320" w:type="dxa"/>
          </w:tcPr>
          <w:p w14:paraId="555F8457" w14:textId="77777777" w:rsidR="00E71CEC" w:rsidRDefault="00935A61">
            <w:r>
              <w:t>22,020</w:t>
            </w:r>
          </w:p>
        </w:tc>
      </w:tr>
    </w:tbl>
    <w:p w14:paraId="55CC2983" w14:textId="77777777" w:rsidR="00E71CEC" w:rsidRDefault="00E71CEC"/>
    <w:p w14:paraId="1461769C" w14:textId="77777777" w:rsidR="00E71CEC" w:rsidRDefault="00935A61">
      <w:r>
        <w:t>Figure: Top 20 categories</w:t>
      </w:r>
    </w:p>
    <w:p w14:paraId="7A100759" w14:textId="77777777" w:rsidR="00E71CEC" w:rsidRDefault="00935A61">
      <w:r>
        <w:rPr>
          <w:noProof/>
        </w:rPr>
        <w:drawing>
          <wp:inline distT="0" distB="0" distL="0" distR="0" wp14:anchorId="66A7CEE4" wp14:editId="4EB8F51E">
            <wp:extent cx="5943600" cy="475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20_risk_categori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E8E0" w14:textId="77777777" w:rsidR="00E71CEC" w:rsidRDefault="00E71CEC"/>
    <w:p w14:paraId="4250C9D8" w14:textId="77777777" w:rsidR="00E71CEC" w:rsidRDefault="00935A61">
      <w:r>
        <w:t>Bottom 10 categories by count: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1CEC" w14:paraId="5C1F50E9" w14:textId="77777777">
        <w:tc>
          <w:tcPr>
            <w:tcW w:w="4320" w:type="dxa"/>
          </w:tcPr>
          <w:p w14:paraId="305C2F99" w14:textId="77777777" w:rsidR="00E71CEC" w:rsidRDefault="00935A61">
            <w:r>
              <w:t>Category</w:t>
            </w:r>
          </w:p>
        </w:tc>
        <w:tc>
          <w:tcPr>
            <w:tcW w:w="4320" w:type="dxa"/>
          </w:tcPr>
          <w:p w14:paraId="5B9AC909" w14:textId="77777777" w:rsidR="00E71CEC" w:rsidRDefault="00935A61">
            <w:r>
              <w:t>Count</w:t>
            </w:r>
          </w:p>
        </w:tc>
      </w:tr>
      <w:tr w:rsidR="00E71CEC" w14:paraId="595EE743" w14:textId="77777777">
        <w:tc>
          <w:tcPr>
            <w:tcW w:w="4320" w:type="dxa"/>
          </w:tcPr>
          <w:p w14:paraId="386FD10A" w14:textId="77777777" w:rsidR="00E71CEC" w:rsidRDefault="00935A61">
            <w:r>
              <w:t>Collateral underperformance</w:t>
            </w:r>
          </w:p>
        </w:tc>
        <w:tc>
          <w:tcPr>
            <w:tcW w:w="4320" w:type="dxa"/>
          </w:tcPr>
          <w:p w14:paraId="34B330AB" w14:textId="77777777" w:rsidR="00E71CEC" w:rsidRDefault="00935A61">
            <w:r>
              <w:t>2,022</w:t>
            </w:r>
          </w:p>
        </w:tc>
      </w:tr>
      <w:tr w:rsidR="00E71CEC" w14:paraId="22D6B61B" w14:textId="77777777">
        <w:tc>
          <w:tcPr>
            <w:tcW w:w="4320" w:type="dxa"/>
          </w:tcPr>
          <w:p w14:paraId="28DAD8B2" w14:textId="77777777" w:rsidR="00E71CEC" w:rsidRDefault="00935A61">
            <w:r>
              <w:t>Hardware or infrastructure disruptions</w:t>
            </w:r>
          </w:p>
        </w:tc>
        <w:tc>
          <w:tcPr>
            <w:tcW w:w="4320" w:type="dxa"/>
          </w:tcPr>
          <w:p w14:paraId="6EB7F8F5" w14:textId="77777777" w:rsidR="00E71CEC" w:rsidRDefault="00935A61">
            <w:r>
              <w:t>1,806</w:t>
            </w:r>
          </w:p>
        </w:tc>
      </w:tr>
      <w:tr w:rsidR="00E71CEC" w14:paraId="4A12BBB5" w14:textId="77777777">
        <w:tc>
          <w:tcPr>
            <w:tcW w:w="4320" w:type="dxa"/>
          </w:tcPr>
          <w:p w14:paraId="22150141" w14:textId="77777777" w:rsidR="00E71CEC" w:rsidRDefault="00935A61">
            <w:r>
              <w:t>Mitigation shortfall</w:t>
            </w:r>
          </w:p>
        </w:tc>
        <w:tc>
          <w:tcPr>
            <w:tcW w:w="4320" w:type="dxa"/>
          </w:tcPr>
          <w:p w14:paraId="1ADDCD1E" w14:textId="77777777" w:rsidR="00E71CEC" w:rsidRDefault="00935A61">
            <w:r>
              <w:t>1,773</w:t>
            </w:r>
          </w:p>
        </w:tc>
      </w:tr>
      <w:tr w:rsidR="00E71CEC" w14:paraId="6D89E0AD" w14:textId="77777777">
        <w:tc>
          <w:tcPr>
            <w:tcW w:w="4320" w:type="dxa"/>
          </w:tcPr>
          <w:p w14:paraId="4BB7F75A" w14:textId="77777777" w:rsidR="00E71CEC" w:rsidRDefault="00935A61">
            <w:r>
              <w:t>Counterparty deterioration</w:t>
            </w:r>
          </w:p>
        </w:tc>
        <w:tc>
          <w:tcPr>
            <w:tcW w:w="4320" w:type="dxa"/>
          </w:tcPr>
          <w:p w14:paraId="6B992769" w14:textId="77777777" w:rsidR="00E71CEC" w:rsidRDefault="00935A61">
            <w:r>
              <w:t>1,765</w:t>
            </w:r>
          </w:p>
        </w:tc>
      </w:tr>
      <w:tr w:rsidR="00E71CEC" w14:paraId="47FF19F2" w14:textId="77777777">
        <w:tc>
          <w:tcPr>
            <w:tcW w:w="4320" w:type="dxa"/>
          </w:tcPr>
          <w:p w14:paraId="5D7D3EAA" w14:textId="77777777" w:rsidR="00E71CEC" w:rsidRDefault="00935A61">
            <w:r>
              <w:lastRenderedPageBreak/>
              <w:t>Settlement and reconciliation failures</w:t>
            </w:r>
          </w:p>
        </w:tc>
        <w:tc>
          <w:tcPr>
            <w:tcW w:w="4320" w:type="dxa"/>
          </w:tcPr>
          <w:p w14:paraId="28D9D64D" w14:textId="77777777" w:rsidR="00E71CEC" w:rsidRDefault="00935A61">
            <w:r>
              <w:t>1,733</w:t>
            </w:r>
          </w:p>
        </w:tc>
      </w:tr>
      <w:tr w:rsidR="00E71CEC" w14:paraId="54B67F5F" w14:textId="77777777">
        <w:tc>
          <w:tcPr>
            <w:tcW w:w="4320" w:type="dxa"/>
          </w:tcPr>
          <w:p w14:paraId="209327D1" w14:textId="77777777" w:rsidR="00E71CEC" w:rsidRDefault="00935A61">
            <w:r>
              <w:t>Haircuts / Margin insufficiency</w:t>
            </w:r>
          </w:p>
        </w:tc>
        <w:tc>
          <w:tcPr>
            <w:tcW w:w="4320" w:type="dxa"/>
          </w:tcPr>
          <w:p w14:paraId="486B3AAB" w14:textId="77777777" w:rsidR="00E71CEC" w:rsidRDefault="00935A61">
            <w:r>
              <w:t>1,659</w:t>
            </w:r>
          </w:p>
        </w:tc>
      </w:tr>
      <w:tr w:rsidR="00E71CEC" w14:paraId="54C3856A" w14:textId="77777777">
        <w:tc>
          <w:tcPr>
            <w:tcW w:w="4320" w:type="dxa"/>
          </w:tcPr>
          <w:p w14:paraId="784143C3" w14:textId="77777777" w:rsidR="00E71CEC" w:rsidRDefault="00935A61">
            <w:r>
              <w:t>Recovery shortfall</w:t>
            </w:r>
          </w:p>
        </w:tc>
        <w:tc>
          <w:tcPr>
            <w:tcW w:w="4320" w:type="dxa"/>
          </w:tcPr>
          <w:p w14:paraId="7AD19163" w14:textId="77777777" w:rsidR="00E71CEC" w:rsidRDefault="00935A61">
            <w:r>
              <w:t>1,630</w:t>
            </w:r>
          </w:p>
        </w:tc>
      </w:tr>
      <w:tr w:rsidR="00E71CEC" w14:paraId="2E21336A" w14:textId="77777777">
        <w:tc>
          <w:tcPr>
            <w:tcW w:w="4320" w:type="dxa"/>
          </w:tcPr>
          <w:p w14:paraId="6BE2167C" w14:textId="77777777" w:rsidR="00E71CEC" w:rsidRDefault="00935A61">
            <w:r>
              <w:t>Hedging insufficiency</w:t>
            </w:r>
          </w:p>
        </w:tc>
        <w:tc>
          <w:tcPr>
            <w:tcW w:w="4320" w:type="dxa"/>
          </w:tcPr>
          <w:p w14:paraId="5B85913A" w14:textId="77777777" w:rsidR="00E71CEC" w:rsidRDefault="00935A61">
            <w:r>
              <w:t>1,154</w:t>
            </w:r>
          </w:p>
        </w:tc>
      </w:tr>
      <w:tr w:rsidR="00E71CEC" w14:paraId="6BA98EFC" w14:textId="77777777">
        <w:tc>
          <w:tcPr>
            <w:tcW w:w="4320" w:type="dxa"/>
          </w:tcPr>
          <w:p w14:paraId="4ABE3F13" w14:textId="77777777" w:rsidR="00E71CEC" w:rsidRDefault="00935A61">
            <w:r>
              <w:t>Portfolio diversification</w:t>
            </w:r>
          </w:p>
        </w:tc>
        <w:tc>
          <w:tcPr>
            <w:tcW w:w="4320" w:type="dxa"/>
          </w:tcPr>
          <w:p w14:paraId="7F86A65F" w14:textId="77777777" w:rsidR="00E71CEC" w:rsidRDefault="00935A61">
            <w:r>
              <w:t>1,075</w:t>
            </w:r>
          </w:p>
        </w:tc>
      </w:tr>
      <w:tr w:rsidR="00E71CEC" w14:paraId="09B1A49B" w14:textId="77777777">
        <w:tc>
          <w:tcPr>
            <w:tcW w:w="4320" w:type="dxa"/>
          </w:tcPr>
          <w:p w14:paraId="62DF38C7" w14:textId="77777777" w:rsidR="00E71CEC" w:rsidRDefault="00935A61">
            <w:r>
              <w:t>Collateral devaluation</w:t>
            </w:r>
          </w:p>
        </w:tc>
        <w:tc>
          <w:tcPr>
            <w:tcW w:w="4320" w:type="dxa"/>
          </w:tcPr>
          <w:p w14:paraId="28922567" w14:textId="77777777" w:rsidR="00E71CEC" w:rsidRDefault="00935A61">
            <w:r>
              <w:t>987</w:t>
            </w:r>
          </w:p>
        </w:tc>
      </w:tr>
    </w:tbl>
    <w:p w14:paraId="7F048D05" w14:textId="77777777" w:rsidR="00E71CEC" w:rsidRDefault="00E71CEC"/>
    <w:p w14:paraId="6CA2FA4A" w14:textId="77777777" w:rsidR="00E71CEC" w:rsidRDefault="00935A61">
      <w:r>
        <w:t>Figure: Bottom 20 categories</w:t>
      </w:r>
    </w:p>
    <w:p w14:paraId="4368E44A" w14:textId="77777777" w:rsidR="00E71CEC" w:rsidRDefault="00935A61">
      <w:r>
        <w:rPr>
          <w:noProof/>
        </w:rPr>
        <w:drawing>
          <wp:inline distT="0" distB="0" distL="0" distR="0" wp14:anchorId="28A05625" wp14:editId="2A157F8B">
            <wp:extent cx="5943600" cy="4754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tom20_risk_categ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3403" w14:textId="77777777" w:rsidR="00935A61" w:rsidRDefault="00935A61"/>
    <w:p w14:paraId="50E368EC" w14:textId="771BC27B" w:rsidR="00E71CEC" w:rsidRDefault="00E71CEC"/>
    <w:sectPr w:rsidR="00E71CEC" w:rsidSect="00034616">
      <w:headerReference w:type="even" r:id="rId10"/>
      <w:head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47D4" w14:textId="77777777" w:rsidR="003C2489" w:rsidRDefault="003C2489" w:rsidP="003C2489">
      <w:pPr>
        <w:spacing w:after="0" w:line="240" w:lineRule="auto"/>
      </w:pPr>
      <w:r>
        <w:separator/>
      </w:r>
    </w:p>
  </w:endnote>
  <w:endnote w:type="continuationSeparator" w:id="0">
    <w:p w14:paraId="539698A3" w14:textId="77777777" w:rsidR="003C2489" w:rsidRDefault="003C2489" w:rsidP="003C2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CB38" w14:textId="77777777" w:rsidR="003C2489" w:rsidRDefault="003C2489" w:rsidP="003C2489">
      <w:pPr>
        <w:spacing w:after="0" w:line="240" w:lineRule="auto"/>
      </w:pPr>
      <w:r>
        <w:separator/>
      </w:r>
    </w:p>
  </w:footnote>
  <w:footnote w:type="continuationSeparator" w:id="0">
    <w:p w14:paraId="5CD96387" w14:textId="77777777" w:rsidR="003C2489" w:rsidRDefault="003C2489" w:rsidP="003C2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0F7C" w14:textId="433A76D9" w:rsidR="003C2489" w:rsidRDefault="003C24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EE2D76" wp14:editId="6475B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8130" cy="386715"/>
              <wp:effectExtent l="0" t="0" r="0" b="13335"/>
              <wp:wrapNone/>
              <wp:docPr id="231269613" name="Text Box 2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8130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B31CC" w14:textId="7B324349" w:rsidR="003C2489" w:rsidRPr="003C2489" w:rsidRDefault="003C2489" w:rsidP="003C24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C248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E2D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UNI Luottamuksellinen - Confidential (3Y)" style="position:absolute;margin-left:170.7pt;margin-top:0;width:221.9pt;height:30.4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27B31CC" w14:textId="7B324349" w:rsidR="003C2489" w:rsidRPr="003C2489" w:rsidRDefault="003C2489" w:rsidP="003C24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C2489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ECAC7" w14:textId="79C090E0" w:rsidR="003C2489" w:rsidRDefault="003C24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B82ED6A" wp14:editId="687C9C8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18130" cy="386715"/>
              <wp:effectExtent l="0" t="0" r="0" b="13335"/>
              <wp:wrapNone/>
              <wp:docPr id="119638081" name="Text Box 1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8130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60D4B" w14:textId="7448AAEB" w:rsidR="003C2489" w:rsidRPr="003C2489" w:rsidRDefault="003C2489" w:rsidP="003C24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C248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2ED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UNI Luottamuksellinen - Confidential (3Y)" style="position:absolute;margin-left:170.7pt;margin-top:0;width:221.9pt;height:30.4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4560D4B" w14:textId="7448AAEB" w:rsidR="003C2489" w:rsidRPr="003C2489" w:rsidRDefault="003C2489" w:rsidP="003C24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C2489">
                      <w:rPr>
                        <w:rFonts w:ascii="Aptos" w:eastAsia="Aptos" w:hAnsi="Aptos" w:cs="Aptos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3F2CDA"/>
    <w:multiLevelType w:val="hybridMultilevel"/>
    <w:tmpl w:val="BC64E3A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86567">
    <w:abstractNumId w:val="8"/>
  </w:num>
  <w:num w:numId="2" w16cid:durableId="2066761031">
    <w:abstractNumId w:val="6"/>
  </w:num>
  <w:num w:numId="3" w16cid:durableId="1220358504">
    <w:abstractNumId w:val="5"/>
  </w:num>
  <w:num w:numId="4" w16cid:durableId="405614953">
    <w:abstractNumId w:val="4"/>
  </w:num>
  <w:num w:numId="5" w16cid:durableId="99834485">
    <w:abstractNumId w:val="7"/>
  </w:num>
  <w:num w:numId="6" w16cid:durableId="362899611">
    <w:abstractNumId w:val="3"/>
  </w:num>
  <w:num w:numId="7" w16cid:durableId="1068959009">
    <w:abstractNumId w:val="2"/>
  </w:num>
  <w:num w:numId="8" w16cid:durableId="568269443">
    <w:abstractNumId w:val="1"/>
  </w:num>
  <w:num w:numId="9" w16cid:durableId="1484394328">
    <w:abstractNumId w:val="0"/>
  </w:num>
  <w:num w:numId="10" w16cid:durableId="770399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84"/>
    <w:rsid w:val="00326F90"/>
    <w:rsid w:val="003B36C4"/>
    <w:rsid w:val="003C2489"/>
    <w:rsid w:val="004D067A"/>
    <w:rsid w:val="00807546"/>
    <w:rsid w:val="008A66B8"/>
    <w:rsid w:val="00935A61"/>
    <w:rsid w:val="00A441C5"/>
    <w:rsid w:val="00AA1D8D"/>
    <w:rsid w:val="00AB30D0"/>
    <w:rsid w:val="00B47730"/>
    <w:rsid w:val="00C004EF"/>
    <w:rsid w:val="00CB0664"/>
    <w:rsid w:val="00DB0B43"/>
    <w:rsid w:val="00E71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062061"/>
  <w14:defaultImageDpi w14:val="300"/>
  <w15:docId w15:val="{E47DF972-F1AD-43D1-91A7-7F2D3821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Reijo Jaakkola (TAU)</cp:lastModifiedBy>
  <cp:revision>9</cp:revision>
  <dcterms:created xsi:type="dcterms:W3CDTF">2013-12-23T23:15:00Z</dcterms:created>
  <dcterms:modified xsi:type="dcterms:W3CDTF">2025-11-15T19:45:00Z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7218841,dc8e4ed,31d08434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TUNI Luottamuksellinen - Confidential (3Y)</vt:lpwstr>
  </property>
</Properties>
</file>