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Model 1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6.318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(0.007)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NativeLanguageOther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0.156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(0.011)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1659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0.102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0.101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-179.8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-163.6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Log.Lik.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92.917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188.227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12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RMSE</w:t>
            </w:r>
          </w:p>
        </w:tc>
        <w:tc>
          <w:tcPr>
            <w:tcBorders>
              <w:bottom w:val="single" w:sz="12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chenjuqiang</cp:lastModifiedBy>
  <cp:revision>9</cp:revision>
  <dcterms:created xsi:type="dcterms:W3CDTF">2017-02-28T11:18:00Z</dcterms:created>
  <dcterms:modified xsi:type="dcterms:W3CDTF">2025-08-12T22:42:34Z</dcterms:modified>
  <cp:category/>
</cp:coreProperties>
</file>