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2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44"/>
              </w:rPr>
              <w:t>Vision Attorneys LF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ECDEBC"/>
                <w:sz w:val="18"/>
              </w:rPr>
              <w:t>One-Page Institutional Capability Statement | Advocates &amp; Commissioner for Oaths</w:t>
            </w:r>
          </w:p>
        </w:tc>
      </w:tr>
    </w:tbl>
    <w:p>
      <w:pPr>
        <w:spacing w:after="80"/>
      </w:pPr>
      <w:r>
        <w:rPr>
          <w:rFonts w:ascii="Aptos" w:hAnsi="Aptos"/>
          <w:color w:val="232A34"/>
          <w:sz w:val="18"/>
        </w:rPr>
        <w:t>Vision Attorneys LF is a professional law firm positioned to support government agencies, NGOs, development partners, embassies, corporate clients, investors, and high-net-worth individuals with practical, ethical, and institutionally aware legal services in South Sudan and the wider East African region.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968"/>
            <w:shd w:fill="EEF3F8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0B2545"/>
                <w:sz w:val="20"/>
              </w:rPr>
              <w:t>Core Legal Services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6"/>
              </w:rPr>
              <w:t>Legal advisory; litigation and dispute resolution; contract drafting and review; employment and labour advisory; property and land law; regulatory compliance; arbitration and mediation; Commissioner for Oaths services.</w:t>
            </w:r>
          </w:p>
        </w:tc>
        <w:tc>
          <w:tcPr>
            <w:tcW w:type="dxa" w:w="4968"/>
            <w:shd w:fill="F5EFE3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0B2545"/>
                <w:sz w:val="20"/>
              </w:rPr>
              <w:t>Industries Served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6"/>
              </w:rPr>
              <w:t>NGOs and humanitarian organizations; government institutions; financial institutions; construction and engineering; telecommunications; oil and gas; agriculture; real estate; education; SMEs and startups.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Competitive Advantages</w:t>
            </w:r>
          </w:p>
        </w:tc>
        <w:tc>
          <w:tcPr>
            <w:tcW w:type="dxa" w:w="75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Deep South Sudan legal environment knowledge; practical business-oriented advice; ethical and confidential representation; institutional and NGO experience; responsive communication; long-term client relationship focus.</w:t>
            </w:r>
          </w:p>
        </w:tc>
      </w:tr>
      <w:tr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Geographic Coverage</w:t>
            </w:r>
          </w:p>
        </w:tc>
        <w:tc>
          <w:tcPr>
            <w:tcW w:type="dxa" w:w="75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Juba; Central Equatoria; Western Equatoria; Eastern Equatoria; nationwide representation; regional/East African legal support through professional networks and referrals.</w:t>
            </w:r>
          </w:p>
        </w:tc>
      </w:tr>
      <w:tr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Institutional Fit</w:t>
            </w:r>
          </w:p>
        </w:tc>
        <w:tc>
          <w:tcPr>
            <w:tcW w:type="dxa" w:w="75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Suitable for government tenders, NGO procurement opportunities, corporate introductions, development partner engagements, embassy briefings, and partnership discussions.</w:t>
            </w:r>
          </w:p>
        </w:tc>
      </w:tr>
      <w:tr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Contact Information</w:t>
            </w:r>
          </w:p>
        </w:tc>
        <w:tc>
          <w:tcPr>
            <w:tcW w:type="dxa" w:w="75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Address: [Insert Physical Address] | Phone: [Insert Telephone Numbers] | Email: [Insert Email Address] | Website: [Insert Website URL]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900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30"/>
              </w:rPr>
              <w:t>Procurement-Ready Legal Capability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ECDEBC"/>
                <w:sz w:val="19"/>
              </w:rPr>
              <w:t>[Insert firm registration, tax, bar membership, and institutional compliance details as required.]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504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color w:val="596069"/>
        <w:sz w:val="17"/>
      </w:rPr>
      <w:t>Vision Attorneys LF | Institutional Corporate Profile</w:t>
    </w:r>
    <w:r>
      <w:rPr>
        <w:rFonts w:ascii="Aptos" w:hAnsi="Aptos"/>
        <w:color w:val="596069"/>
        <w:sz w:val="17"/>
      </w:rPr>
      <w:t xml:space="preserve">    Page </w:t>
    </w: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3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55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04" w:hanging="245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04" w:hanging="245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