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240" w:type="dxa"/>
              <w:start w:w="240" w:type="dxa"/>
              <w:bottom w:w="240" w:type="dxa"/>
              <w:end w:w="240" w:type="dxa"/>
            </w:tcMar>
          </w:tcPr>
          <w:p>
            <w:pPr>
              <w:jc w:val="center"/>
            </w:pPr>
            <w:r>
              <w:rPr>
                <w:rFonts w:ascii="Aptos" w:hAnsi="Aptos"/>
                <w:i/>
                <w:color w:val="FFFFFF"/>
                <w:sz w:val="22"/>
              </w:rPr>
              <w:t>[Insert Firm Logo]</w:t>
            </w:r>
          </w:p>
          <w:p>
            <w:pPr>
              <w:jc w:val="center"/>
            </w:pPr>
            <w:r>
              <w:rPr>
                <w:rFonts w:ascii="Aptos Display" w:hAnsi="Aptos Display"/>
                <w:b/>
                <w:color w:val="AE822A"/>
                <w:sz w:val="22"/>
              </w:rPr>
              <w:t>INSTITUTIONAL CORPORATE PROFILE</w:t>
            </w:r>
          </w:p>
        </w:tc>
      </w:tr>
    </w:tbl>
    <w:p>
      <w:pPr>
        <w:spacing w:before="520" w:after="40"/>
        <w:jc w:val="center"/>
      </w:pPr>
      <w:r>
        <w:rPr>
          <w:rFonts w:ascii="Aptos" w:hAnsi="Aptos"/>
          <w:b/>
          <w:color w:val="0B2545"/>
          <w:sz w:val="62"/>
        </w:rPr>
        <w:t>Vision Attorneys LF</w:t>
      </w:r>
    </w:p>
    <w:p>
      <w:pPr>
        <w:spacing w:after="200"/>
        <w:jc w:val="center"/>
      </w:pPr>
      <w:r>
        <w:rPr>
          <w:rFonts w:ascii="Aptos" w:hAnsi="Aptos"/>
          <w:b/>
          <w:color w:val="AE822A"/>
          <w:sz w:val="28"/>
        </w:rPr>
        <w:t>(Advocates &amp; Commissioner for Oaths)</w:t>
      </w:r>
    </w:p>
    <w:p>
      <w:pPr>
        <w:spacing w:after="280"/>
        <w:pBdr>
          <w:bottom w:val="single" w:sz="18" w:space="4" w:color="AE822A"/>
        </w:pBdr>
      </w:pPr>
    </w:p>
    <w:p>
      <w:pPr>
        <w:spacing w:after="440"/>
        <w:jc w:val="center"/>
      </w:pPr>
      <w:r>
        <w:rPr>
          <w:rFonts w:ascii="Aptos" w:hAnsi="Aptos"/>
          <w:i/>
          <w:color w:val="596069"/>
          <w:sz w:val="25"/>
        </w:rPr>
        <w:t>[Insert Firm Tagline or Institutional Positioning Statement]</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Prepared for Institutional, Corporate, and High-Value Client Engagements</w:t>
            </w:r>
          </w:p>
          <w:p>
            <w:pPr>
              <w:spacing w:after="0"/>
            </w:pPr>
            <w:r>
              <w:rPr>
                <w:rFonts w:ascii="Aptos" w:hAnsi="Aptos"/>
                <w:color w:val="2A323C"/>
                <w:sz w:val="20"/>
              </w:rPr>
              <w:t>A premium, fully editable profile for government agencies, NGOs, international organizations, embassies, development partners, corporate clients, investors, and high-net-worth individuals.</w:t>
            </w:r>
          </w:p>
        </w:tc>
      </w:tr>
    </w:tbl>
    <w:p>
      <w:pPr>
        <w:spacing w:after="240"/>
      </w:pPr>
    </w:p>
    <w:tbl>
      <w:tblPr>
        <w:tblStyle w:val="TableGrid"/>
        <w:tblW w:type="auto" w:w="0"/>
        <w:jc w:val="center"/>
        <w:tblLayout w:type="fixed"/>
        <w:tblLook w:firstColumn="1" w:firstRow="1" w:lastColumn="0" w:lastRow="0" w:noHBand="0" w:noVBand="1" w:val="04A0"/>
      </w:tblPr>
      <w:tblGrid>
        <w:gridCol w:w="4939"/>
        <w:gridCol w:w="4939"/>
      </w:tblGrid>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Head Office</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Physical Address, Juba, South Sudan]</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Telephone</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Telephone Numbers]</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Email</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Institutional Email Address]</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Website</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Website URL]</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Prepared</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Month Year]</w:t>
            </w:r>
          </w:p>
        </w:tc>
      </w:tr>
    </w:tbl>
    <w:p>
      <w:r>
        <w:br w:type="page"/>
      </w:r>
    </w:p>
    <w:p>
      <w:pPr>
        <w:pStyle w:val="Heading1"/>
      </w:pPr>
      <w:r>
        <w:t>Table of Contents</w:t>
      </w:r>
    </w:p>
    <w:p>
      <w:r>
        <w:fldChar w:fldCharType="begin"/>
        <w:instrText xml:space="preserve"> TOC \o "1-2" \h \z \u </w:instrText>
        <w:fldChar w:fldCharType="separate"/>
        <w:fldChar w:fldCharType="end"/>
      </w:r>
    </w:p>
    <w:p>
      <w:pPr>
        <w:spacing w:after="20"/>
      </w:pPr>
      <w:r>
        <w:rPr>
          <w:rFonts w:ascii="Aptos" w:hAnsi="Aptos"/>
          <w:color w:val="2D3540"/>
          <w:sz w:val="17"/>
        </w:rPr>
        <w:t>1. Executive Summary</w:t>
      </w:r>
    </w:p>
    <w:p>
      <w:pPr>
        <w:spacing w:after="20"/>
      </w:pPr>
      <w:r>
        <w:rPr>
          <w:rFonts w:ascii="Aptos" w:hAnsi="Aptos"/>
          <w:color w:val="2D3540"/>
          <w:sz w:val="17"/>
        </w:rPr>
        <w:t>2. Message from the Managing Partner</w:t>
      </w:r>
    </w:p>
    <w:p>
      <w:pPr>
        <w:spacing w:after="20"/>
      </w:pPr>
      <w:r>
        <w:rPr>
          <w:rFonts w:ascii="Aptos" w:hAnsi="Aptos"/>
          <w:color w:val="2D3540"/>
          <w:sz w:val="17"/>
        </w:rPr>
        <w:t>3. About the Firm</w:t>
      </w:r>
    </w:p>
    <w:p>
      <w:pPr>
        <w:spacing w:after="20"/>
      </w:pPr>
      <w:r>
        <w:rPr>
          <w:rFonts w:ascii="Aptos" w:hAnsi="Aptos"/>
          <w:color w:val="2D3540"/>
          <w:sz w:val="17"/>
        </w:rPr>
        <w:t>4. Organizational Structure</w:t>
      </w:r>
    </w:p>
    <w:p>
      <w:pPr>
        <w:spacing w:after="20"/>
      </w:pPr>
      <w:r>
        <w:rPr>
          <w:rFonts w:ascii="Aptos" w:hAnsi="Aptos"/>
          <w:color w:val="2D3540"/>
          <w:sz w:val="17"/>
        </w:rPr>
        <w:t>5. Professional Memberships &amp; Affiliations</w:t>
      </w:r>
    </w:p>
    <w:p>
      <w:pPr>
        <w:spacing w:after="20"/>
      </w:pPr>
      <w:r>
        <w:rPr>
          <w:rFonts w:ascii="Aptos" w:hAnsi="Aptos"/>
          <w:color w:val="2D3540"/>
          <w:sz w:val="17"/>
        </w:rPr>
        <w:t>6. Our Legal Services</w:t>
      </w:r>
    </w:p>
    <w:p>
      <w:pPr>
        <w:spacing w:after="20"/>
      </w:pPr>
      <w:r>
        <w:rPr>
          <w:rFonts w:ascii="Aptos" w:hAnsi="Aptos"/>
          <w:color w:val="2D3540"/>
          <w:sz w:val="17"/>
        </w:rPr>
        <w:t>7. Industries Served</w:t>
      </w:r>
    </w:p>
    <w:p>
      <w:pPr>
        <w:spacing w:after="20"/>
      </w:pPr>
      <w:r>
        <w:rPr>
          <w:rFonts w:ascii="Aptos" w:hAnsi="Aptos"/>
          <w:color w:val="2D3540"/>
          <w:sz w:val="17"/>
        </w:rPr>
        <w:t>8. Geographic Coverage</w:t>
      </w:r>
    </w:p>
    <w:p>
      <w:pPr>
        <w:spacing w:after="20"/>
      </w:pPr>
      <w:r>
        <w:rPr>
          <w:rFonts w:ascii="Aptos" w:hAnsi="Aptos"/>
          <w:color w:val="2D3540"/>
          <w:sz w:val="17"/>
        </w:rPr>
        <w:t>9. Our Team</w:t>
      </w:r>
    </w:p>
    <w:p>
      <w:pPr>
        <w:spacing w:after="20"/>
      </w:pPr>
      <w:r>
        <w:rPr>
          <w:rFonts w:ascii="Aptos" w:hAnsi="Aptos"/>
          <w:color w:val="2D3540"/>
          <w:sz w:val="17"/>
        </w:rPr>
        <w:t>10. Why Clients Trust Us</w:t>
      </w:r>
    </w:p>
    <w:p>
      <w:pPr>
        <w:spacing w:after="20"/>
      </w:pPr>
      <w:r>
        <w:rPr>
          <w:rFonts w:ascii="Aptos" w:hAnsi="Aptos"/>
          <w:color w:val="2D3540"/>
          <w:sz w:val="17"/>
        </w:rPr>
        <w:t>11. Key Practice Areas</w:t>
      </w:r>
    </w:p>
    <w:p>
      <w:pPr>
        <w:spacing w:after="20"/>
      </w:pPr>
      <w:r>
        <w:rPr>
          <w:rFonts w:ascii="Aptos" w:hAnsi="Aptos"/>
          <w:color w:val="2D3540"/>
          <w:sz w:val="17"/>
        </w:rPr>
        <w:t>12. Representative Transactions and Assignments</w:t>
      </w:r>
    </w:p>
    <w:p>
      <w:pPr>
        <w:spacing w:after="20"/>
      </w:pPr>
      <w:r>
        <w:rPr>
          <w:rFonts w:ascii="Aptos" w:hAnsi="Aptos"/>
          <w:color w:val="2D3540"/>
          <w:sz w:val="17"/>
        </w:rPr>
        <w:t>13. Representative Clients</w:t>
      </w:r>
    </w:p>
    <w:p>
      <w:pPr>
        <w:spacing w:after="20"/>
      </w:pPr>
      <w:r>
        <w:rPr>
          <w:rFonts w:ascii="Aptos" w:hAnsi="Aptos"/>
          <w:color w:val="2D3540"/>
          <w:sz w:val="17"/>
        </w:rPr>
        <w:t>14. Client Testimonials</w:t>
      </w:r>
    </w:p>
    <w:p>
      <w:pPr>
        <w:spacing w:after="20"/>
      </w:pPr>
      <w:r>
        <w:rPr>
          <w:rFonts w:ascii="Aptos" w:hAnsi="Aptos"/>
          <w:color w:val="2D3540"/>
          <w:sz w:val="17"/>
        </w:rPr>
        <w:t>15. Selected Cases &amp; Success Stories</w:t>
      </w:r>
    </w:p>
    <w:p>
      <w:pPr>
        <w:spacing w:after="20"/>
      </w:pPr>
      <w:r>
        <w:rPr>
          <w:rFonts w:ascii="Aptos" w:hAnsi="Aptos"/>
          <w:color w:val="2D3540"/>
          <w:sz w:val="17"/>
        </w:rPr>
        <w:t>16. Firm Achievements &amp; Milestones</w:t>
      </w:r>
    </w:p>
    <w:p>
      <w:pPr>
        <w:spacing w:after="20"/>
      </w:pPr>
      <w:r>
        <w:rPr>
          <w:rFonts w:ascii="Aptos" w:hAnsi="Aptos"/>
          <w:color w:val="2D3540"/>
          <w:sz w:val="17"/>
        </w:rPr>
        <w:t>17. Corporate Governance &amp; Ethics</w:t>
      </w:r>
    </w:p>
    <w:p>
      <w:pPr>
        <w:spacing w:after="20"/>
      </w:pPr>
      <w:r>
        <w:rPr>
          <w:rFonts w:ascii="Aptos" w:hAnsi="Aptos"/>
          <w:color w:val="2D3540"/>
          <w:sz w:val="17"/>
        </w:rPr>
        <w:t>18. Corporate Social Responsibility</w:t>
      </w:r>
    </w:p>
    <w:p>
      <w:pPr>
        <w:spacing w:after="20"/>
      </w:pPr>
      <w:r>
        <w:rPr>
          <w:rFonts w:ascii="Aptos" w:hAnsi="Aptos"/>
          <w:color w:val="2D3540"/>
          <w:sz w:val="17"/>
        </w:rPr>
        <w:t>19. Strategic Partnerships</w:t>
      </w:r>
    </w:p>
    <w:p>
      <w:pPr>
        <w:spacing w:after="20"/>
      </w:pPr>
      <w:r>
        <w:rPr>
          <w:rFonts w:ascii="Aptos" w:hAnsi="Aptos"/>
          <w:color w:val="2D3540"/>
          <w:sz w:val="17"/>
        </w:rPr>
        <w:t>20. Strategic Vision 2030</w:t>
      </w:r>
    </w:p>
    <w:p>
      <w:pPr>
        <w:spacing w:after="20"/>
      </w:pPr>
      <w:r>
        <w:rPr>
          <w:rFonts w:ascii="Aptos" w:hAnsi="Aptos"/>
          <w:color w:val="2D3540"/>
          <w:sz w:val="17"/>
        </w:rPr>
        <w:t>21. Frequently Asked Questions</w:t>
      </w:r>
    </w:p>
    <w:p>
      <w:pPr>
        <w:spacing w:after="20"/>
      </w:pPr>
      <w:r>
        <w:rPr>
          <w:rFonts w:ascii="Aptos" w:hAnsi="Aptos"/>
          <w:color w:val="2D3540"/>
          <w:sz w:val="17"/>
        </w:rPr>
        <w:t>22. Contact Information</w:t>
      </w:r>
    </w:p>
    <w:p>
      <w:pPr>
        <w:spacing w:after="20"/>
      </w:pPr>
      <w:r>
        <w:rPr>
          <w:rFonts w:ascii="Aptos" w:hAnsi="Aptos"/>
          <w:color w:val="2D3540"/>
          <w:sz w:val="17"/>
        </w:rPr>
        <w:t>23. Legal Disclaimer</w:t>
      </w:r>
    </w:p>
    <w:p>
      <w:r>
        <w:rPr>
          <w:rFonts w:ascii="Aptos" w:hAnsi="Aptos"/>
          <w:i/>
          <w:color w:val="596069"/>
          <w:sz w:val="17"/>
        </w:rPr>
        <w:t>Note: In Microsoft Word, right-click the table above and select Update Field after editing headings or page numbers.</w:t>
      </w:r>
    </w:p>
    <w:p>
      <w:r>
        <w:br w:type="page"/>
      </w:r>
    </w:p>
    <w:p>
      <w:pPr>
        <w:pStyle w:val="Heading1"/>
      </w:pPr>
      <w:r>
        <w:t>1. Executive Summary</w:t>
      </w: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180" w:type="dxa"/>
              <w:start w:w="220" w:type="dxa"/>
              <w:bottom w:w="180" w:type="dxa"/>
              <w:end w:w="220" w:type="dxa"/>
            </w:tcMar>
          </w:tcPr>
          <w:p>
            <w:r>
              <w:rPr>
                <w:rFonts w:ascii="Aptos Display" w:hAnsi="Aptos Display"/>
                <w:b/>
                <w:color w:val="FFFFFF"/>
                <w:sz w:val="30"/>
              </w:rPr>
              <w:t>Institutional Legal Profile</w:t>
            </w:r>
          </w:p>
          <w:p>
            <w:pPr>
              <w:spacing w:after="0"/>
            </w:pPr>
            <w:r>
              <w:rPr>
                <w:rFonts w:ascii="Aptos" w:hAnsi="Aptos"/>
                <w:i/>
                <w:color w:val="ECDEBC"/>
                <w:sz w:val="19"/>
              </w:rPr>
              <w:t>A premium profile for formal engagements, proposals, tenders, and partnership discussions.</w:t>
            </w:r>
          </w:p>
        </w:tc>
      </w:tr>
    </w:tbl>
    <w:p>
      <w:r>
        <w:rPr>
          <w:rFonts w:ascii="Aptos" w:hAnsi="Aptos"/>
        </w:rPr>
        <w:t>Vision Attorneys LF (Advocates &amp; Commissioner for Oaths) is positioned as a professional, ethical, and institutionally capable law firm serving individuals, businesses, public institutions, non-governmental organizations, international partners, and development-focused stakeholders. The firm provides legal representation, advisory services, dispute resolution support, and documentation services with a strong commitment to integrity, confidentiality, and practical outcomes.</w:t>
      </w:r>
    </w:p>
    <w:p>
      <w:r>
        <w:rPr>
          <w:rFonts w:ascii="Aptos" w:hAnsi="Aptos"/>
        </w:rPr>
        <w:t>[Insert firm-specific introduction, founding background, jurisdiction of practice, registration details, and institutional credentials.]</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Institutional Value Proposition</w:t>
            </w:r>
          </w:p>
          <w:p>
            <w:pPr>
              <w:spacing w:after="0"/>
            </w:pPr>
            <w:r>
              <w:rPr>
                <w:rFonts w:ascii="Aptos" w:hAnsi="Aptos"/>
                <w:color w:val="2A323C"/>
                <w:sz w:val="20"/>
              </w:rPr>
              <w:t>Vision Attorneys LF combines legal discipline, client care, strong research, practical judgment, and ethical advocacy to help clients manage risk, resolve disputes, structure transactions, and protect their legal interests.</w:t>
            </w:r>
          </w:p>
        </w:tc>
      </w:tr>
    </w:tbl>
    <w:p>
      <w:r>
        <w:br w:type="page"/>
      </w:r>
    </w:p>
    <w:p>
      <w:pPr>
        <w:pStyle w:val="Heading1"/>
      </w:pPr>
      <w:r>
        <w:t>2. Message from the Managing Partner</w:t>
      </w:r>
    </w:p>
    <w:p>
      <w:pPr>
        <w:spacing w:after="80"/>
        <w:jc w:val="right"/>
      </w:pPr>
      <w:r>
        <w:rPr>
          <w:rFonts w:ascii="Aptos" w:hAnsi="Aptos"/>
          <w:i/>
          <w:color w:val="596069"/>
          <w:sz w:val="18"/>
        </w:rPr>
        <w:t>[Insert Managing Partner Photo]</w:t>
      </w:r>
    </w:p>
    <w:p>
      <w:r>
        <w:rPr>
          <w:rFonts w:ascii="Aptos" w:hAnsi="Aptos"/>
        </w:rPr>
        <w:t>Welcome to Vision Attorneys LF. Our firm was built on a simple but powerful philosophy: legal service must be principled, practical, confidential, and responsive to the real needs of clients. Whether representing an individual, advising an institution, supporting a development partner, or guiding a corporate client through a complex matter, we approach every engagement with discipline, integrity, and respect for the rule of law.</w:t>
      </w:r>
    </w:p>
    <w:p>
      <w:r>
        <w:rPr>
          <w:rFonts w:ascii="Aptos" w:hAnsi="Aptos"/>
        </w:rPr>
        <w:t>We believe that justice is strengthened when legal professionals combine technical competence with courage, fairness, and service. Our role is not only to interpret the law, but to help clients make informed decisions, manage risk, protect their rights, and pursue lawful solutions with confidence.</w:t>
      </w:r>
    </w:p>
    <w:p>
      <w:r>
        <w:rPr>
          <w:rFonts w:ascii="Aptos" w:hAnsi="Aptos"/>
        </w:rPr>
        <w:t>At Vision Attorneys LF, client service is central to our identity. We value clear communication, timely updates, careful preparation, and professional confidentiality. We understand that clients often come to lawyers during important, sensitive, or high-pressure moments, and we consider it our duty to provide guidance that is both legally sound and practically useful.</w:t>
      </w:r>
    </w:p>
    <w:p>
      <w:r>
        <w:rPr>
          <w:rFonts w:ascii="Aptos" w:hAnsi="Aptos"/>
        </w:rPr>
        <w:t>Looking ahead, our vision is to grow into a leading institutional law firm known for ethical advocacy, regional collaboration, strong legal research, and specialized legal services that support South Sudan's public, private, and development sectors. [Insert future vision specific to the firm.]</w:t>
      </w:r>
    </w:p>
    <w:p>
      <w:pPr>
        <w:spacing w:before="200" w:after="20"/>
      </w:pPr>
      <w:r>
        <w:rPr>
          <w:rFonts w:ascii="Aptos" w:hAnsi="Aptos"/>
          <w:b/>
          <w:color w:val="0B2545"/>
          <w:sz w:val="22"/>
        </w:rPr>
        <w:t>[Insert Managing Partner Name]</w:t>
      </w:r>
    </w:p>
    <w:p>
      <w:r>
        <w:rPr>
          <w:rFonts w:ascii="Aptos" w:hAnsi="Aptos"/>
          <w:b/>
          <w:color w:val="AE822A"/>
          <w:sz w:val="19"/>
        </w:rPr>
        <w:t>Managing Partner, Vision Attorneys LF</w:t>
      </w:r>
    </w:p>
    <w:p>
      <w:r>
        <w:br w:type="page"/>
      </w:r>
    </w:p>
    <w:p>
      <w:pPr>
        <w:pStyle w:val="Heading1"/>
      </w:pPr>
      <w:r>
        <w:t>3. About the Firm</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Firm History</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firm history, year established, founding partners, early clients, and growth milestones.]</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Vision Statement</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vision statement focused on justice, institutional excellence, and trusted legal service.]</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Mission Statement</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mission statement describing legal representation, advisory support, and client-centered solutions.]</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Core Values</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Integrity; confidentiality; professionalism; accountability; service; excellence; respect for the rule of law.</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Areas of Specialization</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Commercial law, litigation, property, employment, family law, legal advisory, mediation, arbitration, and Commissioner for Oaths services.</w:t>
            </w:r>
          </w:p>
        </w:tc>
      </w:tr>
    </w:tbl>
    <w:p>
      <w:pPr>
        <w:pStyle w:val="Heading1"/>
      </w:pPr>
      <w:r>
        <w:t>4. Organizational Structure</w:t>
      </w:r>
    </w:p>
    <w:p>
      <w:r>
        <w:rPr>
          <w:rFonts w:ascii="Aptos" w:hAnsi="Aptos"/>
        </w:rPr>
        <w:t>The organizational structure below may be customized to reflect the firm's actual staffing, reporting lines, and operational departments.</w:t>
      </w:r>
    </w:p>
    <w:tbl>
      <w:tblPr>
        <w:tblW w:type="auto" w:w="0"/>
        <w:jc w:val="center"/>
        <w:tblLayout w:type="fixed"/>
        <w:tblLook w:firstColumn="1" w:firstRow="1" w:lastColumn="0" w:lastRow="0" w:noHBand="0" w:noVBand="1" w:val="04A0"/>
      </w:tblPr>
      <w:tblGrid>
        <w:gridCol w:w="4939"/>
        <w:gridCol w:w="4939"/>
      </w:tblGrid>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0B2545"/>
          </w:tcPr>
          <w:p>
            <w:r>
              <w:rPr>
                <w:rFonts w:ascii="Aptos" w:hAnsi="Aptos"/>
                <w:b/>
                <w:color w:val="FFFFFF"/>
                <w:sz w:val="18"/>
              </w:rPr>
              <w:t>Managing Partner</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Strategic leadership, client relations, institutional oversight</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F5EFE3"/>
          </w:tcPr>
          <w:p>
            <w:r>
              <w:rPr>
                <w:rFonts w:ascii="Aptos" w:hAnsi="Aptos"/>
                <w:b/>
                <w:color w:val="0B2545"/>
                <w:sz w:val="18"/>
              </w:rPr>
              <w:t>Senior Advocates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Complex matters, litigation leadership, supervision</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EEF3F8"/>
          </w:tcPr>
          <w:p>
            <w:r>
              <w:rPr>
                <w:rFonts w:ascii="Aptos" w:hAnsi="Aptos"/>
                <w:b/>
                <w:color w:val="0B2545"/>
                <w:sz w:val="18"/>
              </w:rPr>
              <w:t>Associate Advocates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Client matters, research, drafting, appearances</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F5EFE3"/>
          </w:tcPr>
          <w:p>
            <w:r>
              <w:rPr>
                <w:rFonts w:ascii="Aptos" w:hAnsi="Aptos"/>
                <w:b/>
                <w:color w:val="0B2545"/>
                <w:sz w:val="18"/>
              </w:rPr>
              <w:t>Legal Researchers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Case law, statutory review, legal opinions</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EEF3F8"/>
          </w:tcPr>
          <w:p>
            <w:r>
              <w:rPr>
                <w:rFonts w:ascii="Aptos" w:hAnsi="Aptos"/>
                <w:b/>
                <w:color w:val="0B2545"/>
                <w:sz w:val="18"/>
              </w:rPr>
              <w:t>Legal Assistants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Documentation, filing, client coordination</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F5EFE3"/>
          </w:tcPr>
          <w:p>
            <w:r>
              <w:rPr>
                <w:rFonts w:ascii="Aptos" w:hAnsi="Aptos"/>
                <w:b/>
                <w:color w:val="0B2545"/>
                <w:sz w:val="18"/>
              </w:rPr>
              <w:t>Administrative Staff</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Office management, finance, scheduling, records</w:t>
            </w:r>
          </w:p>
        </w:tc>
      </w:tr>
    </w:tbl>
    <w:p>
      <w:r>
        <w:br w:type="page"/>
      </w:r>
    </w:p>
    <w:p>
      <w:pPr>
        <w:pStyle w:val="Heading1"/>
      </w:pPr>
      <w:r>
        <w:t>5. Professional Memberships &amp; Affiliations</w:t>
      </w:r>
    </w:p>
    <w:tbl>
      <w:tblPr>
        <w:tblStyle w:val="TableGrid"/>
        <w:tblW w:type="auto" w:w="0"/>
        <w:jc w:val="center"/>
        <w:tblLayout w:type="fixed"/>
        <w:tblLook w:firstColumn="1" w:firstRow="1" w:lastColumn="0" w:lastRow="0" w:noHBand="0" w:noVBand="1" w:val="04A0"/>
      </w:tblPr>
      <w:tblGrid>
        <w:gridCol w:w="4939"/>
        <w:gridCol w:w="4939"/>
      </w:tblGrid>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South Sudan Bar Association</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membership status, registration number, and active standing details.]</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East Africa Law Society</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membership or affiliation details where applicable.]</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International Bar Association</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membership, participation, or future affiliation status where applicable.]</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Other Legal Bodies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courts, professional associations, legal networks, chambers, or institutional affiliations.]</w:t>
            </w:r>
          </w:p>
        </w:tc>
      </w:tr>
    </w:tbl>
    <w:p>
      <w:pPr>
        <w:pStyle w:val="Heading1"/>
      </w:pPr>
      <w:r>
        <w:t>6. Our Legal Services</w:t>
      </w:r>
    </w:p>
    <w:tbl>
      <w:tblPr>
        <w:tblW w:type="auto" w:w="0"/>
        <w:jc w:val="center"/>
        <w:tblLayout w:type="fixed"/>
        <w:tblLook w:firstColumn="1" w:firstRow="1" w:lastColumn="0" w:lastRow="0" w:noHBand="0" w:noVBand="1" w:val="04A0"/>
      </w:tblPr>
      <w:tblGrid>
        <w:gridCol w:w="4939"/>
        <w:gridCol w:w="4939"/>
      </w:tblGrid>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CL  Corporate and Commercial Law</w:t>
            </w:r>
          </w:p>
          <w:p>
            <w:pPr>
              <w:spacing w:after="0"/>
            </w:pPr>
            <w:r>
              <w:rPr>
                <w:rFonts w:ascii="Aptos" w:hAnsi="Aptos"/>
                <w:color w:val="2D3540"/>
                <w:sz w:val="18"/>
              </w:rPr>
              <w:t>Company formation, governance, compliance, commercial contracts, shareholder matters, restructurings, and transaction support.</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LT  Civil Litigation</w:t>
            </w:r>
          </w:p>
          <w:p>
            <w:pPr>
              <w:spacing w:after="0"/>
            </w:pPr>
            <w:r>
              <w:rPr>
                <w:rFonts w:ascii="Aptos" w:hAnsi="Aptos"/>
                <w:color w:val="2D3540"/>
                <w:sz w:val="18"/>
              </w:rPr>
              <w:t>Claims, defenses, pleadings, court representation, injunctions, enforcement, settlement strategy, and dispute management.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CD  Criminal Defense</w:t>
            </w:r>
          </w:p>
          <w:p>
            <w:pPr>
              <w:spacing w:after="0"/>
            </w:pPr>
            <w:r>
              <w:rPr>
                <w:rFonts w:ascii="Aptos" w:hAnsi="Aptos"/>
                <w:color w:val="2D3540"/>
                <w:sz w:val="18"/>
              </w:rPr>
              <w:t>Advisory and representation for suspects, accused persons, bail, trial preparation, appeals, and rights protection.</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FL  Family Law</w:t>
            </w:r>
          </w:p>
          <w:p>
            <w:pPr>
              <w:spacing w:after="0"/>
            </w:pPr>
            <w:r>
              <w:rPr>
                <w:rFonts w:ascii="Aptos" w:hAnsi="Aptos"/>
                <w:color w:val="2D3540"/>
                <w:sz w:val="18"/>
              </w:rPr>
              <w:t>Divorce, custody, maintenance, succession, adoption, family settlements, and confidential family advisory support.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EL  Employment and Labour Law</w:t>
            </w:r>
          </w:p>
          <w:p>
            <w:pPr>
              <w:spacing w:after="0"/>
            </w:pPr>
            <w:r>
              <w:rPr>
                <w:rFonts w:ascii="Aptos" w:hAnsi="Aptos"/>
                <w:color w:val="2D3540"/>
                <w:sz w:val="18"/>
              </w:rPr>
              <w:t>Employment contracts, HR policies, disciplinary procedures, termination, labour disputes, and compliance advisory.</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PL  Property and Land Law</w:t>
            </w:r>
          </w:p>
          <w:p>
            <w:pPr>
              <w:spacing w:after="0"/>
            </w:pPr>
            <w:r>
              <w:rPr>
                <w:rFonts w:ascii="Aptos" w:hAnsi="Aptos"/>
                <w:color w:val="2D3540"/>
                <w:sz w:val="18"/>
              </w:rPr>
              <w:t>Land due diligence, leases, transfers, title review, property disputes, and real estate transaction support.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CR  Contract Drafting and Review</w:t>
            </w:r>
          </w:p>
          <w:p>
            <w:pPr>
              <w:spacing w:after="0"/>
            </w:pPr>
            <w:r>
              <w:rPr>
                <w:rFonts w:ascii="Aptos" w:hAnsi="Aptos"/>
                <w:color w:val="2D3540"/>
                <w:sz w:val="18"/>
              </w:rPr>
              <w:t>Drafting, review, negotiation, risk allocation, enforceability checks, and plain-language contract advice.</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AM  Arbitration and Mediation</w:t>
            </w:r>
          </w:p>
          <w:p>
            <w:pPr>
              <w:spacing w:after="0"/>
            </w:pPr>
            <w:r>
              <w:rPr>
                <w:rFonts w:ascii="Aptos" w:hAnsi="Aptos"/>
                <w:color w:val="2D3540"/>
                <w:sz w:val="18"/>
              </w:rPr>
              <w:t>Alternative dispute resolution, mediation strategy, arbitration preparation, negotiation, and settlement support.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LA  Legal Advisory Services</w:t>
            </w:r>
          </w:p>
          <w:p>
            <w:pPr>
              <w:spacing w:after="0"/>
            </w:pPr>
            <w:r>
              <w:rPr>
                <w:rFonts w:ascii="Aptos" w:hAnsi="Aptos"/>
                <w:color w:val="2D3540"/>
                <w:sz w:val="18"/>
              </w:rPr>
              <w:t>Legal opinions, compliance guidance, institutional retainers, regulatory advice, and legal risk management.</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CO  Commissioner for Oaths Services</w:t>
            </w:r>
          </w:p>
          <w:p>
            <w:pPr>
              <w:spacing w:after="0"/>
            </w:pPr>
            <w:r>
              <w:rPr>
                <w:rFonts w:ascii="Aptos" w:hAnsi="Aptos"/>
                <w:color w:val="2D3540"/>
                <w:sz w:val="18"/>
              </w:rPr>
              <w:t>Affidavits, declarations, oaths, witnessing, certifications, and documentation support as permitted by law.</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AS  Additional Services</w:t>
            </w:r>
          </w:p>
          <w:p>
            <w:pPr>
              <w:spacing w:after="0"/>
            </w:pPr>
            <w:r>
              <w:rPr>
                <w:rFonts w:ascii="Aptos" w:hAnsi="Aptos"/>
                <w:color w:val="2D3540"/>
                <w:sz w:val="18"/>
              </w:rPr>
              <w:t>[Insert additional approved legal services, sector-specific capabilities, and emerging practice areas.]</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p>
        </w:tc>
      </w:tr>
    </w:tbl>
    <w:p>
      <w:pPr>
        <w:pStyle w:val="Heading1"/>
      </w:pPr>
      <w:r>
        <w:t>7. Industries Served</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NGOs and Humanitarian Organizations</w:t>
            </w:r>
          </w:p>
          <w:p>
            <w:pPr>
              <w:spacing w:after="0"/>
            </w:pPr>
            <w:r>
              <w:rPr>
                <w:rFonts w:ascii="Aptos" w:hAnsi="Aptos"/>
                <w:color w:val="2D3540"/>
                <w:sz w:val="17"/>
              </w:rPr>
              <w:t>Compliance, contracts, employment, partnerships, registrations, and operational legal support.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Government Institutions</w:t>
            </w:r>
          </w:p>
          <w:p>
            <w:pPr>
              <w:spacing w:after="0"/>
            </w:pPr>
            <w:r>
              <w:rPr>
                <w:rFonts w:ascii="Aptos" w:hAnsi="Aptos"/>
                <w:color w:val="2D3540"/>
                <w:sz w:val="17"/>
              </w:rPr>
              <w:t>Advisory, documentation, dispute support, procurement-related legal review, and institutional representation.</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Financial Institutions</w:t>
            </w:r>
          </w:p>
          <w:p>
            <w:pPr>
              <w:spacing w:after="0"/>
            </w:pPr>
            <w:r>
              <w:rPr>
                <w:rFonts w:ascii="Aptos" w:hAnsi="Aptos"/>
                <w:color w:val="2D3540"/>
                <w:sz w:val="17"/>
              </w:rPr>
              <w:t>Security documentation, recovery matters, regulatory compliance, contracts, and dispute resolution.</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Construction and Engineering Companies</w:t>
            </w:r>
          </w:p>
          <w:p>
            <w:pPr>
              <w:spacing w:after="0"/>
            </w:pPr>
            <w:r>
              <w:rPr>
                <w:rFonts w:ascii="Aptos" w:hAnsi="Aptos"/>
                <w:color w:val="2D3540"/>
                <w:sz w:val="17"/>
              </w:rPr>
              <w:t>Project contracts, claims, land issues, employment matters, and commercial disputes.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Telecommunications</w:t>
            </w:r>
          </w:p>
          <w:p>
            <w:pPr>
              <w:spacing w:after="0"/>
            </w:pPr>
            <w:r>
              <w:rPr>
                <w:rFonts w:ascii="Aptos" w:hAnsi="Aptos"/>
                <w:color w:val="2D3540"/>
                <w:sz w:val="17"/>
              </w:rPr>
              <w:t>Commercial agreements, compliance, employment, licensing support, and dispute management.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Oil and Gas</w:t>
            </w:r>
          </w:p>
          <w:p>
            <w:pPr>
              <w:spacing w:after="0"/>
            </w:pPr>
            <w:r>
              <w:rPr>
                <w:rFonts w:ascii="Aptos" w:hAnsi="Aptos"/>
                <w:color w:val="2D3540"/>
                <w:sz w:val="17"/>
              </w:rPr>
              <w:t>Regulatory advisory, contract review, land and community matters, employment, and compliance support.</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Agriculture</w:t>
            </w:r>
          </w:p>
          <w:p>
            <w:pPr>
              <w:spacing w:after="0"/>
            </w:pPr>
            <w:r>
              <w:rPr>
                <w:rFonts w:ascii="Aptos" w:hAnsi="Aptos"/>
                <w:color w:val="2D3540"/>
                <w:sz w:val="17"/>
              </w:rPr>
              <w:t>Land, supply contracts, cooperatives, employment, regulatory issues, and transaction support.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Real Estate and Property Development</w:t>
            </w:r>
          </w:p>
          <w:p>
            <w:pPr>
              <w:spacing w:after="0"/>
            </w:pPr>
            <w:r>
              <w:rPr>
                <w:rFonts w:ascii="Aptos" w:hAnsi="Aptos"/>
                <w:color w:val="2D3540"/>
                <w:sz w:val="17"/>
              </w:rPr>
              <w:t>Due diligence, leases, sales, transfers, title review, and property disputes.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Education Institutions</w:t>
            </w:r>
          </w:p>
          <w:p>
            <w:pPr>
              <w:spacing w:after="0"/>
            </w:pPr>
            <w:r>
              <w:rPr>
                <w:rFonts w:ascii="Aptos" w:hAnsi="Aptos"/>
                <w:color w:val="2D3540"/>
                <w:sz w:val="17"/>
              </w:rPr>
              <w:t>Governance, employment, policies, contracts, compliance, and dispute resolution.</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SMEs and Startups</w:t>
            </w:r>
          </w:p>
          <w:p>
            <w:pPr>
              <w:spacing w:after="0"/>
            </w:pPr>
            <w:r>
              <w:rPr>
                <w:rFonts w:ascii="Aptos" w:hAnsi="Aptos"/>
                <w:color w:val="2D3540"/>
                <w:sz w:val="17"/>
              </w:rPr>
              <w:t>Formation, contracts, advisory retainers, employment, intellectual property referrals, and growth-stage legal support.</w:t>
            </w:r>
          </w:p>
        </w:tc>
      </w:tr>
    </w:tbl>
    <w:p>
      <w:pPr>
        <w:pStyle w:val="Heading1"/>
      </w:pPr>
      <w:r>
        <w:t>8. Geographic Coverage</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Juba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Head office support, institutional meetings, court representation, client advisory, and documentation services.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Central Equatoria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Regional advisory, property matters, dispute support, institutional engagement, and client representation.</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Western Equatoria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Representation and advisory support through case-specific arrangements and partner coordination.</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Eastern Equatoria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Legal support for client matters requiring regional coordination and field-level engagement.</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Nationwide Representation</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Representation across South Sudan subject to jurisdiction, logistics, and formal engagement terms.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Regional / East African Legal Support</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Cross-border support through professional networks, referrals, and regional collaboration where appropriate.</w:t>
            </w:r>
          </w:p>
        </w:tc>
      </w:tr>
    </w:tbl>
    <w:p>
      <w:r>
        <w:br w:type="page"/>
      </w:r>
    </w:p>
    <w:p>
      <w:pPr>
        <w:pStyle w:val="Heading1"/>
      </w:pPr>
      <w:r>
        <w:t>9. Our Team</w:t>
      </w:r>
    </w:p>
    <w:p>
      <w:r>
        <w:rPr>
          <w:rFonts w:ascii="Aptos" w:hAnsi="Aptos"/>
        </w:rPr>
        <w:t>The firm may replace the placeholders below with approved biographies, professional portraits, qualifications, bar admissions, and selected experience.</w:t>
      </w:r>
    </w:p>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Managing Partner Profile Template</w:t>
            </w:r>
          </w:p>
          <w:p>
            <w:pPr>
              <w:spacing w:after="20"/>
            </w:pPr>
            <w:r>
              <w:rPr>
                <w:rFonts w:ascii="Aptos" w:hAnsi="Aptos"/>
                <w:b/>
                <w:color w:val="0B2545"/>
                <w:sz w:val="18"/>
              </w:rPr>
              <w:t xml:space="preserve">Name: </w:t>
            </w:r>
            <w:r>
              <w:rPr>
                <w:rFonts w:ascii="Aptos" w:hAnsi="Aptos"/>
                <w:color w:val="2D3540"/>
                <w:sz w:val="18"/>
              </w:rPr>
              <w:t>[Insert Managing Partner Name]</w:t>
            </w:r>
          </w:p>
          <w:p>
            <w:pPr>
              <w:spacing w:after="20"/>
            </w:pPr>
            <w:r>
              <w:rPr>
                <w:rFonts w:ascii="Aptos" w:hAnsi="Aptos"/>
                <w:b/>
                <w:color w:val="0B2545"/>
                <w:sz w:val="18"/>
              </w:rPr>
              <w:t xml:space="preserve">Position: </w:t>
            </w:r>
            <w:r>
              <w:rPr>
                <w:rFonts w:ascii="Aptos" w:hAnsi="Aptos"/>
                <w:color w:val="2D3540"/>
                <w:sz w:val="18"/>
              </w:rPr>
              <w:t>Managing Partner</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Senior Advocate Profile Template</w:t>
            </w:r>
          </w:p>
          <w:p>
            <w:pPr>
              <w:spacing w:after="20"/>
            </w:pPr>
            <w:r>
              <w:rPr>
                <w:rFonts w:ascii="Aptos" w:hAnsi="Aptos"/>
                <w:b/>
                <w:color w:val="0B2545"/>
                <w:sz w:val="18"/>
              </w:rPr>
              <w:t xml:space="preserve">Name: </w:t>
            </w:r>
            <w:r>
              <w:rPr>
                <w:rFonts w:ascii="Aptos" w:hAnsi="Aptos"/>
                <w:color w:val="2D3540"/>
                <w:sz w:val="18"/>
              </w:rPr>
              <w:t>[Insert Senior Advocate Name]</w:t>
            </w:r>
          </w:p>
          <w:p>
            <w:pPr>
              <w:spacing w:after="20"/>
            </w:pPr>
            <w:r>
              <w:rPr>
                <w:rFonts w:ascii="Aptos" w:hAnsi="Aptos"/>
                <w:b/>
                <w:color w:val="0B2545"/>
                <w:sz w:val="18"/>
              </w:rPr>
              <w:t xml:space="preserve">Position: </w:t>
            </w:r>
            <w:r>
              <w:rPr>
                <w:rFonts w:ascii="Aptos" w:hAnsi="Aptos"/>
                <w:color w:val="2D3540"/>
                <w:sz w:val="18"/>
              </w:rPr>
              <w:t>Senior Advocate</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Associate Advocate Profile Template</w:t>
            </w:r>
          </w:p>
          <w:p>
            <w:pPr>
              <w:spacing w:after="20"/>
            </w:pPr>
            <w:r>
              <w:rPr>
                <w:rFonts w:ascii="Aptos" w:hAnsi="Aptos"/>
                <w:b/>
                <w:color w:val="0B2545"/>
                <w:sz w:val="18"/>
              </w:rPr>
              <w:t xml:space="preserve">Name: </w:t>
            </w:r>
            <w:r>
              <w:rPr>
                <w:rFonts w:ascii="Aptos" w:hAnsi="Aptos"/>
                <w:color w:val="2D3540"/>
                <w:sz w:val="18"/>
              </w:rPr>
              <w:t>[Insert Associate Advocate Name]</w:t>
            </w:r>
          </w:p>
          <w:p>
            <w:pPr>
              <w:spacing w:after="20"/>
            </w:pPr>
            <w:r>
              <w:rPr>
                <w:rFonts w:ascii="Aptos" w:hAnsi="Aptos"/>
                <w:b/>
                <w:color w:val="0B2545"/>
                <w:sz w:val="18"/>
              </w:rPr>
              <w:t xml:space="preserve">Position: </w:t>
            </w:r>
            <w:r>
              <w:rPr>
                <w:rFonts w:ascii="Aptos" w:hAnsi="Aptos"/>
                <w:color w:val="2D3540"/>
                <w:sz w:val="18"/>
              </w:rPr>
              <w:t>Associate Advocate</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Legal Researcher / Legal Assistant Template</w:t>
            </w:r>
          </w:p>
          <w:p>
            <w:pPr>
              <w:spacing w:after="20"/>
            </w:pPr>
            <w:r>
              <w:rPr>
                <w:rFonts w:ascii="Aptos" w:hAnsi="Aptos"/>
                <w:b/>
                <w:color w:val="0B2545"/>
                <w:sz w:val="18"/>
              </w:rPr>
              <w:t xml:space="preserve">Name: </w:t>
            </w:r>
            <w:r>
              <w:rPr>
                <w:rFonts w:ascii="Aptos" w:hAnsi="Aptos"/>
                <w:color w:val="2D3540"/>
                <w:sz w:val="18"/>
              </w:rPr>
              <w:t>[Insert Team Member Name]</w:t>
            </w:r>
          </w:p>
          <w:p>
            <w:pPr>
              <w:spacing w:after="20"/>
            </w:pPr>
            <w:r>
              <w:rPr>
                <w:rFonts w:ascii="Aptos" w:hAnsi="Aptos"/>
                <w:b/>
                <w:color w:val="0B2545"/>
                <w:sz w:val="18"/>
              </w:rPr>
              <w:t xml:space="preserve">Position: </w:t>
            </w:r>
            <w:r>
              <w:rPr>
                <w:rFonts w:ascii="Aptos" w:hAnsi="Aptos"/>
                <w:color w:val="2D3540"/>
                <w:sz w:val="18"/>
              </w:rPr>
              <w:t>[Insert Position]</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p>
      <w:pPr>
        <w:pStyle w:val="Heading1"/>
      </w:pPr>
      <w:r>
        <w:t>10. Why Clients Trust Us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CONF  Confidentiality</w:t>
            </w:r>
          </w:p>
          <w:p>
            <w:pPr>
              <w:spacing w:after="0"/>
            </w:pPr>
            <w:r>
              <w:rPr>
                <w:rFonts w:ascii="Aptos" w:hAnsi="Aptos"/>
                <w:color w:val="2D3540"/>
                <w:sz w:val="17"/>
              </w:rPr>
              <w:t>Strict handling of sensitive legal, personal, commercial, and institutional information.</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INT  Integrity</w:t>
            </w:r>
          </w:p>
          <w:p>
            <w:pPr>
              <w:spacing w:after="0"/>
            </w:pPr>
            <w:r>
              <w:rPr>
                <w:rFonts w:ascii="Aptos" w:hAnsi="Aptos"/>
                <w:color w:val="2D3540"/>
                <w:sz w:val="17"/>
              </w:rPr>
              <w:t>Ethical advocacy, honest advice, and respect for professional responsibility.</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TIME  Timely Service</w:t>
            </w:r>
          </w:p>
          <w:p>
            <w:pPr>
              <w:spacing w:after="0"/>
            </w:pPr>
            <w:r>
              <w:rPr>
                <w:rFonts w:ascii="Aptos" w:hAnsi="Aptos"/>
                <w:color w:val="2D3540"/>
                <w:sz w:val="17"/>
              </w:rPr>
              <w:t>Prompt communication, clear next steps, and organized matter management.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RES  Strong Legal Research</w:t>
            </w:r>
          </w:p>
          <w:p>
            <w:pPr>
              <w:spacing w:after="0"/>
            </w:pPr>
            <w:r>
              <w:rPr>
                <w:rFonts w:ascii="Aptos" w:hAnsi="Aptos"/>
                <w:color w:val="2D3540"/>
                <w:sz w:val="17"/>
              </w:rPr>
              <w:t>Careful review of laws, regulations, case law, and factual records.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TEAM  Experienced Team</w:t>
            </w:r>
          </w:p>
          <w:p>
            <w:pPr>
              <w:spacing w:after="0"/>
            </w:pPr>
            <w:r>
              <w:rPr>
                <w:rFonts w:ascii="Aptos" w:hAnsi="Aptos"/>
                <w:color w:val="2D3540"/>
                <w:sz w:val="17"/>
              </w:rPr>
              <w:t>Collaborative legal professionals supporting complex and routine matters.</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PRAC  Practical Solutions</w:t>
            </w:r>
          </w:p>
          <w:p>
            <w:pPr>
              <w:spacing w:after="0"/>
            </w:pPr>
            <w:r>
              <w:rPr>
                <w:rFonts w:ascii="Aptos" w:hAnsi="Aptos"/>
                <w:color w:val="2D3540"/>
                <w:sz w:val="17"/>
              </w:rPr>
              <w:t>Advice that balances legal rights, risk, cost, timing, and client objectives.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CARE  Client-Centered Approach</w:t>
            </w:r>
          </w:p>
          <w:p>
            <w:pPr>
              <w:spacing w:after="0"/>
            </w:pPr>
            <w:r>
              <w:rPr>
                <w:rFonts w:ascii="Aptos" w:hAnsi="Aptos"/>
                <w:color w:val="2D3540"/>
                <w:sz w:val="17"/>
              </w:rPr>
              <w:t>Responsive service built around client priorities and informed decision-making.</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tc>
      </w:tr>
    </w:tbl>
    <w:p>
      <w:pPr>
        <w:pStyle w:val="Heading1"/>
      </w:pPr>
      <w:r>
        <w:t>11. Key Practice Areas</w:t>
      </w:r>
    </w:p>
    <w:p>
      <w:pPr>
        <w:pStyle w:val="Heading2"/>
      </w:pPr>
      <w:r>
        <w:t>11.1 Commercial Law</w:t>
      </w:r>
    </w:p>
    <w:p>
      <w:r>
        <w:rPr>
          <w:rFonts w:ascii="Aptos" w:hAnsi="Aptos"/>
        </w:rPr>
        <w:t>Commercial advisory for companies, institutions, entrepreneurs, and investors, including contracts, governance, compliance, and transaction support. [Insert firm-specific examples, credentials, and jurisdictional details.]</w:t>
      </w:r>
    </w:p>
    <w:p>
      <w:pPr>
        <w:pStyle w:val="Heading2"/>
      </w:pPr>
      <w:r>
        <w:t>11.2 Litigation</w:t>
      </w:r>
    </w:p>
    <w:p>
      <w:r>
        <w:rPr>
          <w:rFonts w:ascii="Aptos" w:hAnsi="Aptos"/>
        </w:rPr>
        <w:t>Representation in civil, commercial, employment, land, family, and institutional disputes through disciplined case preparation and strategic advocacy. [Insert firm-specific examples, credentials, and jurisdictional details.]</w:t>
      </w:r>
    </w:p>
    <w:p>
      <w:pPr>
        <w:pStyle w:val="Heading2"/>
      </w:pPr>
      <w:r>
        <w:t>11.3 Property Law</w:t>
      </w:r>
    </w:p>
    <w:p>
      <w:r>
        <w:rPr>
          <w:rFonts w:ascii="Aptos" w:hAnsi="Aptos"/>
        </w:rPr>
        <w:t>Support for land due diligence, leases, transfers, title review, property development, disputes, and regulatory issues. [Insert firm-specific examples, credentials, and jurisdictional details.]</w:t>
      </w:r>
    </w:p>
    <w:p>
      <w:pPr>
        <w:pStyle w:val="Heading2"/>
      </w:pPr>
      <w:r>
        <w:t>11.4 Employment Law</w:t>
      </w:r>
    </w:p>
    <w:p>
      <w:r>
        <w:rPr>
          <w:rFonts w:ascii="Aptos" w:hAnsi="Aptos"/>
        </w:rPr>
        <w:t>Guidance for employers and employees on employment contracts, workplace policies, termination, disciplinary process, and labour disputes. [Insert firm-specific examples, credentials, and jurisdictional details.]</w:t>
      </w:r>
    </w:p>
    <w:p>
      <w:pPr>
        <w:pStyle w:val="Heading2"/>
      </w:pPr>
      <w:r>
        <w:t>11.5 Family Law</w:t>
      </w:r>
    </w:p>
    <w:p>
      <w:r>
        <w:rPr>
          <w:rFonts w:ascii="Aptos" w:hAnsi="Aptos"/>
        </w:rPr>
        <w:t>Confidential legal support for family matters, including divorce, custody, maintenance, succession, adoption, and negotiated family settlements. [Insert firm-specific examples, credentials, and jurisdictional details.]</w:t>
      </w:r>
    </w:p>
    <w:p>
      <w:r>
        <w:br w:type="page"/>
      </w:r>
    </w:p>
    <w:p>
      <w:pPr>
        <w:pStyle w:val="Heading1"/>
      </w:pPr>
      <w:r>
        <w:t>12. Representative Transactions and Assignments</w:t>
      </w:r>
    </w:p>
    <w:tbl>
      <w:tblPr>
        <w:tblStyle w:val="TableGrid"/>
        <w:tblW w:type="auto" w:w="0"/>
        <w:jc w:val="center"/>
        <w:tblLayout w:type="fixed"/>
        <w:tblLook w:firstColumn="1" w:firstRow="1" w:lastColumn="0" w:lastRow="0" w:noHBand="0" w:noVBand="1" w:val="04A0"/>
      </w:tblPr>
      <w:tblGrid>
        <w:gridCol w:w="4939"/>
        <w:gridCol w:w="4939"/>
      </w:tblGrid>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Corporate Advisory</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company advisory, governance, registration, compliance, or board-support assignments.]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Contract Negotiations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major contract negotiation support, supplier agreements, service contracts, or partnership agreements.]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Due Diligence</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land, corporate, employment, regulatory, or transaction due diligence assignments.]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Regulatory Compliance</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licensing, statutory filings, policy review, and compliance advisory work.]</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Land Transactions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leases, purchases, transfers, title review, or property development matters.]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Employment Matters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employment advisory, termination, workplace investigation, dispute, or policy work.]</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Litigation and Dispute Resolution</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representative disputes, arbitration, mediation, settlement, or court matters.]</w:t>
            </w:r>
          </w:p>
        </w:tc>
      </w:tr>
    </w:tbl>
    <w:p>
      <w:pPr>
        <w:pStyle w:val="Heading1"/>
      </w:pPr>
      <w:r>
        <w:t>13. Representative Clients</w:t>
      </w:r>
    </w:p>
    <w:p>
      <w:r>
        <w:rPr>
          <w:rFonts w:ascii="Aptos" w:hAnsi="Aptos"/>
        </w:rPr>
        <w:t>Client names should be included only with authorization. The categories below may be used where confidentiality or professional responsibility requires anonymized presentation.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Government Institutions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names or anonymized categories subject to permission.]</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NGOs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humanitarian, development, or civil society sectors served.]</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Private Companies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industries or approved company names.]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Individuals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high-net-worth individuals, entrepreneurs, families, employees, or landowners.]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International Organizations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international organizations, embassies, agencies, or development partners.]</w:t>
            </w:r>
          </w:p>
        </w:tc>
      </w:tr>
    </w:tbl>
    <w:p>
      <w:pPr>
        <w:pStyle w:val="Heading1"/>
      </w:pPr>
      <w:r>
        <w:t>14. Client Testimonials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F5EFE3"/>
          </w:tcPr>
          <w:p>
            <w:r>
              <w:rPr>
                <w:rFonts w:ascii="Aptos" w:hAnsi="Aptos"/>
                <w:b/>
                <w:color w:val="0B2545"/>
                <w:sz w:val="19"/>
              </w:rPr>
              <w:t>Institutional Client</w:t>
            </w:r>
          </w:p>
          <w:p>
            <w:pPr>
              <w:spacing w:after="0"/>
            </w:pPr>
            <w:r>
              <w:rPr>
                <w:rFonts w:ascii="Aptos" w:hAnsi="Aptos"/>
                <w:i/>
                <w:color w:val="2D3540"/>
                <w:sz w:val="17"/>
              </w:rPr>
              <w:t>[Insert testimonial from government agency, NGO, embassy, development partner, or institutional client.]</w:t>
            </w:r>
          </w:p>
        </w:tc>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EEF3F8"/>
          </w:tcPr>
          <w:p>
            <w:r>
              <w:rPr>
                <w:rFonts w:ascii="Aptos" w:hAnsi="Aptos"/>
                <w:b/>
                <w:color w:val="0B2545"/>
                <w:sz w:val="19"/>
              </w:rPr>
              <w:t>Corporate Client</w:t>
            </w:r>
          </w:p>
          <w:p>
            <w:pPr>
              <w:spacing w:after="0"/>
            </w:pPr>
            <w:r>
              <w:rPr>
                <w:rFonts w:ascii="Aptos" w:hAnsi="Aptos"/>
                <w:i/>
                <w:color w:val="2D3540"/>
                <w:sz w:val="17"/>
              </w:rPr>
              <w:t>[Insert testimonial from company, investor, SME, or commercial client.]</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F5EFE3"/>
          </w:tcPr>
          <w:p>
            <w:r>
              <w:rPr>
                <w:rFonts w:ascii="Aptos" w:hAnsi="Aptos"/>
                <w:b/>
                <w:color w:val="0B2545"/>
                <w:sz w:val="19"/>
              </w:rPr>
              <w:t>Individual Client</w:t>
            </w:r>
          </w:p>
          <w:p>
            <w:pPr>
              <w:spacing w:after="0"/>
            </w:pPr>
            <w:r>
              <w:rPr>
                <w:rFonts w:ascii="Aptos" w:hAnsi="Aptos"/>
                <w:i/>
                <w:color w:val="2D3540"/>
                <w:sz w:val="17"/>
              </w:rPr>
              <w:t>[Insert testimonial from high-net-worth individual, family client, property client, or private client.]</w:t>
            </w:r>
          </w:p>
        </w:tc>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EEF3F8"/>
          </w:tcPr>
          <w:p>
            <w:r>
              <w:rPr>
                <w:rFonts w:ascii="Aptos" w:hAnsi="Aptos"/>
                <w:b/>
                <w:color w:val="0B2545"/>
                <w:sz w:val="19"/>
              </w:rPr>
              <w:t>Partner / Referrer</w:t>
            </w:r>
          </w:p>
          <w:p>
            <w:pPr>
              <w:spacing w:after="0"/>
            </w:pPr>
            <w:r>
              <w:rPr>
                <w:rFonts w:ascii="Aptos" w:hAnsi="Aptos"/>
                <w:i/>
                <w:color w:val="2D3540"/>
                <w:sz w:val="17"/>
              </w:rPr>
              <w:t>[Insert testimonial from strategic partner, referral partner, or professional collaborator.]</w:t>
            </w:r>
          </w:p>
        </w:tc>
      </w:tr>
    </w:tbl>
    <w:p>
      <w:pPr>
        <w:pStyle w:val="Heading1"/>
      </w:pPr>
      <w:r>
        <w:t>15. Selected Cases &amp; Success Stories</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Confidentiality Disclaimer</w:t>
            </w:r>
          </w:p>
          <w:p>
            <w:pPr>
              <w:spacing w:after="0"/>
            </w:pPr>
            <w:r>
              <w:rPr>
                <w:rFonts w:ascii="Aptos" w:hAnsi="Aptos"/>
                <w:color w:val="2A323C"/>
                <w:sz w:val="20"/>
              </w:rPr>
              <w:t>Case information may be presented subject to client confidentiality obligations.</w:t>
            </w:r>
          </w:p>
        </w:tc>
      </w:tr>
    </w:tbl>
    <w:tbl>
      <w:tblPr>
        <w:tblStyle w:val="TableGrid"/>
        <w:tblW w:type="auto" w:w="0"/>
        <w:jc w:val="center"/>
        <w:tblLayout w:type="fixed"/>
        <w:tblLook w:firstColumn="1" w:firstRow="1" w:lastColumn="0" w:lastRow="0" w:noHBand="0" w:noVBand="1" w:val="04A0"/>
      </w:tblPr>
      <w:tblGrid>
        <w:gridCol w:w="4939"/>
        <w:gridCol w:w="4939"/>
      </w:tblGrid>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Matter Title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anonymized or approved matter title.]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Client Sector</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sector or client category.]</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Legal Issue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concise description of legal challenge.]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Firm Role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advisory, litigation, negotiation, drafting, or compliance role.]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Outcome / Value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result, settlement, risk avoided, commercial value, or institutional benefit.]</w:t>
            </w:r>
          </w:p>
        </w:tc>
      </w:tr>
    </w:tbl>
    <w:p>
      <w:pPr>
        <w:pStyle w:val="Heading1"/>
      </w:pPr>
      <w:r>
        <w:t>16. Firm Achievements &amp; Milestones</w:t>
      </w:r>
    </w:p>
    <w:tbl>
      <w:tblPr>
        <w:tblW w:type="auto" w:w="0"/>
        <w:jc w:val="center"/>
        <w:tblLayout w:type="fixed"/>
        <w:tblLook w:firstColumn="1" w:firstRow="1" w:lastColumn="0" w:lastRow="0" w:noHBand="0" w:noVBand="1" w:val="04A0"/>
      </w:tblPr>
      <w:tblGrid>
        <w:gridCol w:w="4939"/>
        <w:gridCol w:w="4939"/>
      </w:tblGrid>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Year Established</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year established and founding context.]</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Major Growth Milestones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expansion of team, office capacity, client portfolio, or practice systems.]</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Landmark Cases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approved landmark cases or anonymized significant matters.]</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Expansion of Services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new practice areas, Commissioner for Oaths services, ADR, or institutional advisory services.]</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Strategic Partnerships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referral networks, professional partnerships, or institutional collaborations.]</w:t>
            </w:r>
          </w:p>
        </w:tc>
      </w:tr>
    </w:tbl>
    <w:p>
      <w:r>
        <w:br w:type="page"/>
      </w:r>
    </w:p>
    <w:p>
      <w:pPr>
        <w:pStyle w:val="Heading1"/>
      </w:pPr>
      <w:r>
        <w:t>17. Corporate Governance &amp; Ethics</w:t>
      </w:r>
    </w:p>
    <w:p>
      <w:r>
        <w:rPr>
          <w:rFonts w:ascii="Aptos" w:hAnsi="Aptos"/>
        </w:rPr>
        <w:t>Vision Attorneys LF is committed to professional conduct, ethical representation, legal compliance, and responsible client service. This section may be customized to reflect the firm's formal policies and internal procedures.</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Professional Conduct</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expects all personnel to observe professional discipline, respect court processes, and uphold the dignity of legal practice.</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Anti-Corruption Commitment</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does not support bribery, improper influence, conflict-driven representation, or unlawful shortcuts.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Client Confidentiality</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Client information, documents, instructions, and legal strategy are handled with discretion and professional care.</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Conflict-of-Interest Policy</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Potential conflicts should be checked before accepting instructions, and clients should be informed where applicable.</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Legal Compliance Standards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works within applicable laws, professional rules, procedural requirements, and engagement agreements.</w:t>
            </w:r>
          </w:p>
        </w:tc>
      </w:tr>
    </w:tbl>
    <w:p>
      <w:pPr>
        <w:pStyle w:val="Heading1"/>
      </w:pPr>
      <w:r>
        <w:t>18. Corporate Social Responsibility</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Pro Bono Services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pro bono policy, eligible beneficiaries, legal aid priorities, and public-interest work.]</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Legal Awareness Campaigns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workshops, radio programs, community briefings, or legal education activities.]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Community Outreach</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outreach programs for vulnerable groups, local communities, or civil society partners.]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Youth Mentorship</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mentorship, internships, law student support, career talks, and professional development initiatives.]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Access to Justice Initiatives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programs improving access to legal information, representation, or referral pathways.]</w:t>
            </w:r>
          </w:p>
        </w:tc>
      </w:tr>
    </w:tbl>
    <w:p>
      <w:pPr>
        <w:pStyle w:val="Heading1"/>
      </w:pPr>
      <w:r>
        <w:t>19. Strategic Partnerships</w:t>
      </w:r>
    </w:p>
    <w:p>
      <w:r>
        <w:rPr>
          <w:rFonts w:ascii="Aptos" w:hAnsi="Aptos"/>
        </w:rPr>
        <w:t>[Insert local and international partners, referral networks, development partners, professional associations, technical collaborators, and institutional relationships.]</w:t>
      </w:r>
    </w:p>
    <w:p>
      <w:pPr>
        <w:pStyle w:val="Heading1"/>
      </w:pPr>
      <w:r>
        <w:t>20. Strategic Vision 2030</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Expansion Plans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planned office growth, practice expansion, regional reach, or institutional client strategy.]</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Technology Adoption</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plans for digital case management, legal research tools, secure document management, and client communication systems.]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Regional Partnerships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East African legal networks, cross-border collaboration, and referral partnerships.]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Specialized Legal Services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planned specialization in sectors such as energy, infrastructure, humanitarian operations, corporate advisory, or investment law.]</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Institutional Growth</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plans for governance systems, training, quality assurance, and long-term professional development.]</w:t>
            </w:r>
          </w:p>
        </w:tc>
      </w:tr>
    </w:tbl>
    <w:p>
      <w:r>
        <w:br w:type="page"/>
      </w:r>
    </w:p>
    <w:p>
      <w:pPr>
        <w:pStyle w:val="Heading1"/>
      </w:pPr>
      <w:r>
        <w:t>21. Frequently Asked Questions</w:t>
      </w:r>
    </w:p>
    <w:tbl>
      <w:tblPr>
        <w:tblStyle w:val="TableGrid"/>
        <w:tblW w:type="auto" w:w="0"/>
        <w:jc w:val="center"/>
        <w:tblLayout w:type="fixed"/>
        <w:tblLook w:firstColumn="1" w:firstRow="1" w:lastColumn="0" w:lastRow="0" w:noHBand="0" w:noVBand="1" w:val="04A0"/>
      </w:tblPr>
      <w:tblGrid>
        <w:gridCol w:w="4939"/>
        <w:gridCol w:w="4939"/>
      </w:tblGrid>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How do clients engage the firm?</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Clients may contact the firm through the official telephone number, email address, physical office, or referral. A formal engagement letter may be required before work begins.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What is the consultation process?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conducts an initial review of the issue, confirms whether it can assist, checks conflicts, discusses scope and fees, and agrees on next steps.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What is the confidentiality policy?</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Information shared with the firm is handled confidentially, subject to applicable law, professional obligations, and formal engagement terms.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How does legal representation work?</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Representation may include fact review, legal research, strategy development, drafting, filing, negotiation, hearings, settlement discussions, and client updates.</w:t>
            </w:r>
          </w:p>
        </w:tc>
      </w:tr>
    </w:tbl>
    <w:p>
      <w:pPr>
        <w:pStyle w:val="Heading1"/>
      </w:pPr>
      <w:r>
        <w:t>22. Contact Information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Physical Address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Physical Address]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Postal Address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Postal Address]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Telephone Numbers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Telephone Numbers]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Email Address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Email Address]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Website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Website]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Facebook</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Facebook Page URL]</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LinkedIn</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LinkedIn Page URL]</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Working Hours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Working Hours]</w:t>
            </w:r>
          </w:p>
        </w:tc>
      </w:tr>
    </w:tbl>
    <w:p>
      <w:r>
        <w:br w:type="page"/>
      </w:r>
    </w:p>
    <w:p>
      <w:pPr>
        <w:pStyle w:val="Heading1"/>
      </w:pPr>
      <w:r>
        <w:t>23. Legal Disclaimer</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Important Notice</w:t>
            </w:r>
          </w:p>
          <w:p>
            <w:pPr>
              <w:spacing w:after="0"/>
            </w:pPr>
            <w:r>
              <w:rPr>
                <w:rFonts w:ascii="Aptos" w:hAnsi="Aptos"/>
                <w:color w:val="2A323C"/>
                <w:sz w:val="20"/>
              </w:rPr>
              <w:t>This profile is intended for informational purposes only and does not constitute legal advice. Engagements are governed by formal agreements and applicable laws.</w:t>
            </w:r>
          </w:p>
        </w:tc>
      </w:tr>
    </w:tbl>
    <w:p>
      <w:r>
        <w:rPr>
          <w:rFonts w:ascii="Aptos" w:hAnsi="Aptos"/>
        </w:rPr>
        <w:t>No reader should rely on this profile as a substitute for legal advice from a qualified advocate after review of the specific facts, applicable law, and formal engagement terms.</w:t>
      </w:r>
    </w:p>
    <w:p>
      <w:r>
        <w:rPr>
          <w:rFonts w:ascii="Aptos" w:hAnsi="Aptos"/>
        </w:rPr>
        <w:t>Information about clients, cases, transactions, and assignments should be published only where permitted by professional responsibility, client authorization, confidentiality obligations, and applicable law.</w:t>
      </w:r>
    </w:p>
    <w:p>
      <w:pPr>
        <w:spacing w:after="480"/>
      </w:pP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180" w:type="dxa"/>
              <w:start w:w="220" w:type="dxa"/>
              <w:bottom w:w="180" w:type="dxa"/>
              <w:end w:w="220" w:type="dxa"/>
            </w:tcMar>
          </w:tcPr>
          <w:p>
            <w:r>
              <w:rPr>
                <w:rFonts w:ascii="Aptos Display" w:hAnsi="Aptos Display"/>
                <w:b/>
                <w:color w:val="FFFFFF"/>
                <w:sz w:val="30"/>
              </w:rPr>
              <w:t>Vision Attorneys LF</w:t>
            </w:r>
          </w:p>
          <w:p>
            <w:pPr>
              <w:spacing w:after="0"/>
            </w:pPr>
            <w:r>
              <w:rPr>
                <w:rFonts w:ascii="Aptos" w:hAnsi="Aptos"/>
                <w:i/>
                <w:color w:val="ECDEBC"/>
                <w:sz w:val="19"/>
              </w:rPr>
              <w:t>[Insert final institutional closing statement, motto, or call to action.]</w:t>
            </w:r>
          </w:p>
        </w:tc>
      </w:tr>
    </w:tbl>
    <w:sectPr w:rsidR="00FC693F" w:rsidRPr="0006063C" w:rsidSect="00034616">
      <w:footerReference w:type="default" r:id="rId9"/>
      <w:pgSz w:w="12240" w:h="15840"/>
      <w:pgMar w:top="1008" w:right="1181" w:bottom="893" w:left="1181" w:header="504"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596069"/>
        <w:sz w:val="17"/>
      </w:rPr>
      <w:t>Vision Attorneys LF | Institutional Corporate Profile</w:t>
    </w:r>
    <w:r>
      <w:rPr>
        <w:rFonts w:ascii="Aptos" w:hAnsi="Aptos"/>
        <w:color w:val="596069"/>
        <w:sz w:val="17"/>
      </w:rPr>
      <w:t xml:space="preserve">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3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55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04" w:hanging="245"/>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04" w:hanging="245"/>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