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tbl>
      <w:tblPr>
        <w:tblW w:type="auto" w:w="0"/>
        <w:jc w:val="center"/>
        <w:tblLayout w:type="fixed"/>
        <w:tblLook w:firstColumn="1" w:firstRow="1" w:lastColumn="0" w:lastRow="0" w:noHBand="0" w:noVBand="1" w:val="04A0"/>
      </w:tblPr>
      <w:tblGrid>
        <w:gridCol w:w="9878"/>
      </w:tblGrid>
      <w:tr>
        <w:tc>
          <w:tcPr>
            <w:tcW w:type="dxa" w:w="9000"/>
            <w:shd w:fill="0B2545"/>
            <w:tcBorders>
              <w:top w:val="single" w:sz="8" w:space="0" w:color="0B2545"/>
              <w:left w:val="single" w:sz="8" w:space="0" w:color="0B2545"/>
              <w:bottom w:val="single" w:sz="8" w:space="0" w:color="0B2545"/>
              <w:right w:val="single" w:sz="8" w:space="0" w:color="0B2545"/>
            </w:tcBorders>
            <w:tcMar>
              <w:top w:w="240" w:type="dxa"/>
              <w:start w:w="240" w:type="dxa"/>
              <w:bottom w:w="240" w:type="dxa"/>
              <w:end w:w="240" w:type="dxa"/>
            </w:tcMar>
          </w:tcPr>
          <w:p>
            <w:pPr>
              <w:jc w:val="center"/>
            </w:pPr>
            <w:r>
              <w:rPr>
                <w:rFonts w:ascii="Aptos" w:hAnsi="Aptos"/>
                <w:i/>
                <w:color w:val="FFFFFF"/>
                <w:sz w:val="22"/>
              </w:rPr>
              <w:t>[Insert Firm Logo]</w:t>
            </w:r>
          </w:p>
          <w:p>
            <w:pPr>
              <w:jc w:val="center"/>
            </w:pPr>
            <w:r>
              <w:rPr>
                <w:rFonts w:ascii="Aptos Display" w:hAnsi="Aptos Display"/>
                <w:b/>
                <w:color w:val="AE822A"/>
                <w:sz w:val="22"/>
              </w:rPr>
              <w:t>INSTITUTIONAL CORPORATE PROFILE</w:t>
            </w:r>
          </w:p>
        </w:tc>
      </w:tr>
    </w:tbl>
    <w:p>
      <w:pPr>
        <w:spacing w:before="520" w:after="40"/>
        <w:jc w:val="center"/>
      </w:pPr>
      <w:r>
        <w:rPr>
          <w:rFonts w:ascii="Aptos" w:hAnsi="Aptos"/>
          <w:b/>
          <w:color w:val="0B2545"/>
          <w:sz w:val="62"/>
        </w:rPr>
        <w:t>Vision Attorneys LF</w:t>
      </w:r>
    </w:p>
    <w:p>
      <w:pPr>
        <w:spacing w:after="200"/>
        <w:jc w:val="center"/>
      </w:pPr>
      <w:r>
        <w:rPr>
          <w:rFonts w:ascii="Aptos" w:hAnsi="Aptos"/>
          <w:b/>
          <w:color w:val="AE822A"/>
          <w:sz w:val="28"/>
        </w:rPr>
        <w:t>(Advocates &amp; Commissioner for Oaths)</w:t>
      </w:r>
    </w:p>
    <w:p>
      <w:pPr>
        <w:spacing w:after="280"/>
        <w:pBdr>
          <w:bottom w:val="single" w:sz="18" w:space="4" w:color="AE822A"/>
        </w:pBdr>
      </w:pPr>
    </w:p>
    <w:p>
      <w:pPr>
        <w:spacing w:after="440"/>
        <w:jc w:val="center"/>
      </w:pPr>
      <w:r>
        <w:rPr>
          <w:rFonts w:ascii="Aptos" w:hAnsi="Aptos"/>
          <w:i/>
          <w:color w:val="596069"/>
          <w:sz w:val="25"/>
        </w:rPr>
        <w:t>[Insert Firm Tagline or Institutional Positioning Statement]</w:t>
      </w:r>
    </w:p>
    <w:tbl>
      <w:tblPr>
        <w:tblW w:type="auto" w:w="0"/>
        <w:jc w:val="center"/>
        <w:tblLayout w:type="fixed"/>
        <w:tblLook w:firstColumn="1" w:firstRow="1" w:lastColumn="0" w:lastRow="0" w:noHBand="0" w:noVBand="1" w:val="04A0"/>
      </w:tblPr>
      <w:tblGrid>
        <w:gridCol w:w="9878"/>
      </w:tblGrid>
      <w:tr>
        <w:tc>
          <w:tcPr>
            <w:tcW w:type="dxa" w:w="9000"/>
            <w:shd w:fill="EEF3F8"/>
            <w:tcBorders>
              <w:top w:val="single" w:sz="6" w:space="0" w:color="D8E1EA"/>
              <w:left w:val="single" w:sz="6" w:space="0" w:color="D8E1EA"/>
              <w:bottom w:val="single" w:sz="6" w:space="0" w:color="D8E1EA"/>
              <w:right w:val="single" w:sz="6" w:space="0" w:color="D8E1EA"/>
            </w:tcBorders>
            <w:tcMar>
              <w:top w:w="140" w:type="dxa"/>
              <w:start w:w="180" w:type="dxa"/>
              <w:bottom w:w="140" w:type="dxa"/>
              <w:end w:w="180" w:type="dxa"/>
            </w:tcMar>
          </w:tcPr>
          <w:p>
            <w:r>
              <w:rPr>
                <w:rFonts w:ascii="Aptos" w:hAnsi="Aptos"/>
                <w:b/>
                <w:color w:val="0B2545"/>
                <w:sz w:val="21"/>
              </w:rPr>
              <w:t>Prepared for Institutional, Corporate, and High-Value Client Engagements</w:t>
            </w:r>
          </w:p>
          <w:p>
            <w:pPr>
              <w:spacing w:after="0"/>
            </w:pPr>
            <w:r>
              <w:rPr>
                <w:rFonts w:ascii="Aptos" w:hAnsi="Aptos"/>
                <w:color w:val="2A323C"/>
                <w:sz w:val="20"/>
              </w:rPr>
              <w:t>A premium, fully editable profile for government agencies, NGOs, international organizations, embassies, development partners, corporate clients, investors, and high-net-worth individuals.</w:t>
            </w:r>
          </w:p>
        </w:tc>
      </w:tr>
    </w:tbl>
    <w:p>
      <w:pPr>
        <w:spacing w:before="40" w:after="160"/>
        <w:jc w:val="center"/>
      </w:pPr>
      <w:r>
        <w:rPr>
          <w:rFonts w:ascii="Aptos" w:hAnsi="Aptos"/>
          <w:color w:val="B0BDCC"/>
          <w:sz w:val="17"/>
        </w:rPr>
        <w:t>SCALES OF JUSTICE | RULE OF LAW | CONFIDENTIALITY</w:t>
      </w:r>
    </w:p>
    <w:p>
      <w:pPr>
        <w:spacing w:after="240"/>
      </w:pPr>
    </w:p>
    <w:tbl>
      <w:tblPr>
        <w:tblStyle w:val="TableGrid"/>
        <w:tblW w:type="auto" w:w="0"/>
        <w:jc w:val="center"/>
        <w:tblLayout w:type="fixed"/>
        <w:tblLook w:firstColumn="1" w:firstRow="1" w:lastColumn="0" w:lastRow="0" w:noHBand="0" w:noVBand="1" w:val="04A0"/>
      </w:tblPr>
      <w:tblGrid>
        <w:gridCol w:w="4939"/>
        <w:gridCol w:w="4939"/>
      </w:tblGrid>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Head Office</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Physical Address, Juba, South Sudan]</w:t>
            </w:r>
          </w:p>
        </w:tc>
      </w:tr>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Telephone</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Telephone Numbers]</w:t>
            </w:r>
          </w:p>
        </w:tc>
      </w:tr>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Email</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Institutional Email Address]</w:t>
            </w:r>
          </w:p>
        </w:tc>
      </w:tr>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Website</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Website URL]</w:t>
            </w:r>
          </w:p>
        </w:tc>
      </w:tr>
      <w:tr>
        <w:tc>
          <w:tcPr>
            <w:tcW w:type="dxa" w:w="230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Prepared</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Month Year]</w:t>
            </w:r>
          </w:p>
        </w:tc>
      </w:tr>
    </w:tbl>
    <w:p>
      <w:r>
        <w:br w:type="page"/>
      </w:r>
    </w:p>
    <w:p>
      <w:pPr>
        <w:pStyle w:val="Heading1"/>
      </w:pPr>
      <w:r>
        <w:t>Table of Contents</w:t>
      </w:r>
    </w:p>
    <w:p>
      <w:r>
        <w:fldChar w:fldCharType="begin"/>
        <w:instrText xml:space="preserve"> TOC \o "1-2" \h \z \u </w:instrText>
        <w:fldChar w:fldCharType="separate"/>
        <w:fldChar w:fldCharType="end"/>
      </w:r>
    </w:p>
    <w:p>
      <w:pPr>
        <w:spacing w:after="20"/>
      </w:pPr>
      <w:r>
        <w:rPr>
          <w:rFonts w:ascii="Aptos" w:hAnsi="Aptos"/>
          <w:color w:val="2D3540"/>
          <w:sz w:val="17"/>
        </w:rPr>
        <w:t>1. Executive Summary</w:t>
      </w:r>
    </w:p>
    <w:p>
      <w:pPr>
        <w:spacing w:after="20"/>
      </w:pPr>
      <w:r>
        <w:rPr>
          <w:rFonts w:ascii="Aptos" w:hAnsi="Aptos"/>
          <w:color w:val="2D3540"/>
          <w:sz w:val="17"/>
        </w:rPr>
        <w:t>2. Understanding the South Sudan Legal Environment</w:t>
      </w:r>
    </w:p>
    <w:p>
      <w:pPr>
        <w:spacing w:after="20"/>
      </w:pPr>
      <w:r>
        <w:rPr>
          <w:rFonts w:ascii="Aptos" w:hAnsi="Aptos"/>
          <w:color w:val="2D3540"/>
          <w:sz w:val="17"/>
        </w:rPr>
        <w:t>3. What Makes Vision Attorneys LF Different</w:t>
      </w:r>
    </w:p>
    <w:p>
      <w:pPr>
        <w:spacing w:after="20"/>
      </w:pPr>
      <w:r>
        <w:rPr>
          <w:rFonts w:ascii="Aptos" w:hAnsi="Aptos"/>
          <w:color w:val="2D3540"/>
          <w:sz w:val="17"/>
        </w:rPr>
        <w:t>4. Message from the Managing Partner</w:t>
      </w:r>
    </w:p>
    <w:p>
      <w:pPr>
        <w:spacing w:after="20"/>
      </w:pPr>
      <w:r>
        <w:rPr>
          <w:rFonts w:ascii="Aptos" w:hAnsi="Aptos"/>
          <w:color w:val="2D3540"/>
          <w:sz w:val="17"/>
        </w:rPr>
        <w:t>5. About the Firm</w:t>
      </w:r>
    </w:p>
    <w:p>
      <w:pPr>
        <w:spacing w:after="20"/>
      </w:pPr>
      <w:r>
        <w:rPr>
          <w:rFonts w:ascii="Aptos" w:hAnsi="Aptos"/>
          <w:color w:val="2D3540"/>
          <w:sz w:val="17"/>
        </w:rPr>
        <w:t>6. Organizational Structure</w:t>
      </w:r>
    </w:p>
    <w:p>
      <w:pPr>
        <w:spacing w:after="20"/>
      </w:pPr>
      <w:r>
        <w:rPr>
          <w:rFonts w:ascii="Aptos" w:hAnsi="Aptos"/>
          <w:color w:val="2D3540"/>
          <w:sz w:val="17"/>
        </w:rPr>
        <w:t>7. Professional Memberships &amp; Affiliations</w:t>
      </w:r>
    </w:p>
    <w:p>
      <w:pPr>
        <w:spacing w:after="20"/>
      </w:pPr>
      <w:r>
        <w:rPr>
          <w:rFonts w:ascii="Aptos" w:hAnsi="Aptos"/>
          <w:color w:val="2D3540"/>
          <w:sz w:val="17"/>
        </w:rPr>
        <w:t>8. Our Legal Services</w:t>
      </w:r>
    </w:p>
    <w:p>
      <w:pPr>
        <w:spacing w:after="20"/>
      </w:pPr>
      <w:r>
        <w:rPr>
          <w:rFonts w:ascii="Aptos" w:hAnsi="Aptos"/>
          <w:color w:val="2D3540"/>
          <w:sz w:val="17"/>
        </w:rPr>
        <w:t>9. Institutional Capability Statement</w:t>
      </w:r>
    </w:p>
    <w:p>
      <w:pPr>
        <w:spacing w:after="20"/>
      </w:pPr>
      <w:r>
        <w:rPr>
          <w:rFonts w:ascii="Aptos" w:hAnsi="Aptos"/>
          <w:color w:val="2D3540"/>
          <w:sz w:val="17"/>
        </w:rPr>
        <w:t>10. Service Delivery Process</w:t>
      </w:r>
    </w:p>
    <w:p>
      <w:pPr>
        <w:spacing w:after="20"/>
      </w:pPr>
      <w:r>
        <w:rPr>
          <w:rFonts w:ascii="Aptos" w:hAnsi="Aptos"/>
          <w:color w:val="2D3540"/>
          <w:sz w:val="17"/>
        </w:rPr>
        <w:t>11. Industries Served</w:t>
      </w:r>
    </w:p>
    <w:p>
      <w:pPr>
        <w:spacing w:after="20"/>
      </w:pPr>
      <w:r>
        <w:rPr>
          <w:rFonts w:ascii="Aptos" w:hAnsi="Aptos"/>
          <w:color w:val="2D3540"/>
          <w:sz w:val="17"/>
        </w:rPr>
        <w:t>12. Geographic Coverage</w:t>
      </w:r>
    </w:p>
    <w:p>
      <w:pPr>
        <w:spacing w:after="20"/>
      </w:pPr>
      <w:r>
        <w:rPr>
          <w:rFonts w:ascii="Aptos" w:hAnsi="Aptos"/>
          <w:color w:val="2D3540"/>
          <w:sz w:val="17"/>
        </w:rPr>
        <w:t>13. Our Team</w:t>
      </w:r>
    </w:p>
    <w:p>
      <w:pPr>
        <w:spacing w:after="20"/>
      </w:pPr>
      <w:r>
        <w:rPr>
          <w:rFonts w:ascii="Aptos" w:hAnsi="Aptos"/>
          <w:color w:val="2D3540"/>
          <w:sz w:val="17"/>
        </w:rPr>
        <w:t>14. Why Clients Trust Us</w:t>
      </w:r>
    </w:p>
    <w:p>
      <w:pPr>
        <w:spacing w:after="20"/>
      </w:pPr>
      <w:r>
        <w:rPr>
          <w:rFonts w:ascii="Aptos" w:hAnsi="Aptos"/>
          <w:color w:val="2D3540"/>
          <w:sz w:val="17"/>
        </w:rPr>
        <w:t>15. Key Practice Areas</w:t>
      </w:r>
    </w:p>
    <w:p>
      <w:pPr>
        <w:spacing w:after="20"/>
      </w:pPr>
      <w:r>
        <w:rPr>
          <w:rFonts w:ascii="Aptos" w:hAnsi="Aptos"/>
          <w:color w:val="2D3540"/>
          <w:sz w:val="17"/>
        </w:rPr>
        <w:t>16. Representative Transactions and Assignments</w:t>
      </w:r>
    </w:p>
    <w:p>
      <w:pPr>
        <w:spacing w:after="20"/>
      </w:pPr>
      <w:r>
        <w:rPr>
          <w:rFonts w:ascii="Aptos" w:hAnsi="Aptos"/>
          <w:color w:val="2D3540"/>
          <w:sz w:val="17"/>
        </w:rPr>
        <w:t>17. Risk Management &amp; Compliance Advisory</w:t>
      </w:r>
    </w:p>
    <w:p>
      <w:pPr>
        <w:spacing w:after="20"/>
      </w:pPr>
      <w:r>
        <w:rPr>
          <w:rFonts w:ascii="Aptos" w:hAnsi="Aptos"/>
          <w:color w:val="2D3540"/>
          <w:sz w:val="17"/>
        </w:rPr>
        <w:t>18. Training &amp; Capacity Building Services</w:t>
      </w:r>
    </w:p>
    <w:p>
      <w:pPr>
        <w:spacing w:after="20"/>
      </w:pPr>
      <w:r>
        <w:rPr>
          <w:rFonts w:ascii="Aptos" w:hAnsi="Aptos"/>
          <w:color w:val="2D3540"/>
          <w:sz w:val="17"/>
        </w:rPr>
        <w:t>19. Representative Clients</w:t>
      </w:r>
    </w:p>
    <w:p>
      <w:pPr>
        <w:spacing w:after="20"/>
      </w:pPr>
      <w:r>
        <w:rPr>
          <w:rFonts w:ascii="Aptos" w:hAnsi="Aptos"/>
          <w:color w:val="2D3540"/>
          <w:sz w:val="17"/>
        </w:rPr>
        <w:t>20. Client Testimonials</w:t>
      </w:r>
    </w:p>
    <w:p>
      <w:pPr>
        <w:spacing w:after="20"/>
      </w:pPr>
      <w:r>
        <w:rPr>
          <w:rFonts w:ascii="Aptos" w:hAnsi="Aptos"/>
          <w:color w:val="2D3540"/>
          <w:sz w:val="17"/>
        </w:rPr>
        <w:t>21. Selected Cases &amp; Success Stories</w:t>
      </w:r>
    </w:p>
    <w:p>
      <w:pPr>
        <w:spacing w:after="20"/>
      </w:pPr>
      <w:r>
        <w:rPr>
          <w:rFonts w:ascii="Aptos" w:hAnsi="Aptos"/>
          <w:color w:val="2D3540"/>
          <w:sz w:val="17"/>
        </w:rPr>
        <w:t>22. Firm Achievements &amp; Milestones</w:t>
      </w:r>
    </w:p>
    <w:p>
      <w:pPr>
        <w:spacing w:after="20"/>
      </w:pPr>
      <w:r>
        <w:rPr>
          <w:rFonts w:ascii="Aptos" w:hAnsi="Aptos"/>
          <w:color w:val="2D3540"/>
          <w:sz w:val="17"/>
        </w:rPr>
        <w:t>23. Corporate Governance &amp; Ethics</w:t>
      </w:r>
    </w:p>
    <w:p>
      <w:pPr>
        <w:spacing w:after="20"/>
      </w:pPr>
      <w:r>
        <w:rPr>
          <w:rFonts w:ascii="Aptos" w:hAnsi="Aptos"/>
          <w:color w:val="2D3540"/>
          <w:sz w:val="17"/>
        </w:rPr>
        <w:t>24. Legal Technology &amp; Innovation</w:t>
      </w:r>
    </w:p>
    <w:p>
      <w:pPr>
        <w:spacing w:after="20"/>
      </w:pPr>
      <w:r>
        <w:rPr>
          <w:rFonts w:ascii="Aptos" w:hAnsi="Aptos"/>
          <w:color w:val="2D3540"/>
          <w:sz w:val="17"/>
        </w:rPr>
        <w:t>25. Corporate Social Responsibility</w:t>
      </w:r>
    </w:p>
    <w:p>
      <w:pPr>
        <w:spacing w:after="20"/>
      </w:pPr>
      <w:r>
        <w:rPr>
          <w:rFonts w:ascii="Aptos" w:hAnsi="Aptos"/>
          <w:color w:val="2D3540"/>
          <w:sz w:val="17"/>
        </w:rPr>
        <w:t>26. Strategic Partnerships</w:t>
      </w:r>
    </w:p>
    <w:p>
      <w:pPr>
        <w:spacing w:after="20"/>
      </w:pPr>
      <w:r>
        <w:rPr>
          <w:rFonts w:ascii="Aptos" w:hAnsi="Aptos"/>
          <w:color w:val="2D3540"/>
          <w:sz w:val="17"/>
        </w:rPr>
        <w:t>27. Strategic Vision 2030</w:t>
      </w:r>
    </w:p>
    <w:p>
      <w:pPr>
        <w:spacing w:after="20"/>
      </w:pPr>
      <w:r>
        <w:rPr>
          <w:rFonts w:ascii="Aptos" w:hAnsi="Aptos"/>
          <w:color w:val="2D3540"/>
          <w:sz w:val="17"/>
        </w:rPr>
        <w:t>28. Frequently Asked Questions</w:t>
      </w:r>
    </w:p>
    <w:p>
      <w:pPr>
        <w:spacing w:after="20"/>
      </w:pPr>
      <w:r>
        <w:rPr>
          <w:rFonts w:ascii="Aptos" w:hAnsi="Aptos"/>
          <w:color w:val="2D3540"/>
          <w:sz w:val="17"/>
        </w:rPr>
        <w:t>29. Contact Information</w:t>
      </w:r>
    </w:p>
    <w:p>
      <w:pPr>
        <w:spacing w:after="20"/>
      </w:pPr>
      <w:r>
        <w:rPr>
          <w:rFonts w:ascii="Aptos" w:hAnsi="Aptos"/>
          <w:color w:val="2D3540"/>
          <w:sz w:val="17"/>
        </w:rPr>
        <w:t>30. Legal Disclaimer</w:t>
      </w:r>
    </w:p>
    <w:p>
      <w:r>
        <w:rPr>
          <w:rFonts w:ascii="Aptos" w:hAnsi="Aptos"/>
          <w:i/>
          <w:color w:val="596069"/>
          <w:sz w:val="17"/>
        </w:rPr>
        <w:t>Note: In Microsoft Word, right-click the table above and select Update Field after editing headings or page numbers.</w:t>
      </w:r>
    </w:p>
    <w:p>
      <w:r>
        <w:br w:type="page"/>
      </w:r>
    </w:p>
    <w:p>
      <w:pPr>
        <w:pStyle w:val="Heading1"/>
      </w:pPr>
      <w:r>
        <w:t>1. Executive Summary</w:t>
      </w:r>
    </w:p>
    <w:tbl>
      <w:tblPr>
        <w:tblW w:type="auto" w:w="0"/>
        <w:jc w:val="center"/>
        <w:tblLayout w:type="fixed"/>
        <w:tblLook w:firstColumn="1" w:firstRow="1" w:lastColumn="0" w:lastRow="0" w:noHBand="0" w:noVBand="1" w:val="04A0"/>
      </w:tblPr>
      <w:tblGrid>
        <w:gridCol w:w="9878"/>
      </w:tblGrid>
      <w:tr>
        <w:tc>
          <w:tcPr>
            <w:tcW w:type="dxa" w:w="9000"/>
            <w:shd w:fill="0B2545"/>
            <w:tcBorders>
              <w:top w:val="single" w:sz="8" w:space="0" w:color="0B2545"/>
              <w:left w:val="single" w:sz="8" w:space="0" w:color="0B2545"/>
              <w:bottom w:val="single" w:sz="8" w:space="0" w:color="0B2545"/>
              <w:right w:val="single" w:sz="8" w:space="0" w:color="0B2545"/>
            </w:tcBorders>
            <w:tcMar>
              <w:top w:w="180" w:type="dxa"/>
              <w:start w:w="220" w:type="dxa"/>
              <w:bottom w:w="180" w:type="dxa"/>
              <w:end w:w="220" w:type="dxa"/>
            </w:tcMar>
          </w:tcPr>
          <w:p>
            <w:r>
              <w:rPr>
                <w:rFonts w:ascii="Aptos Display" w:hAnsi="Aptos Display"/>
                <w:b/>
                <w:color w:val="FFFFFF"/>
                <w:sz w:val="30"/>
              </w:rPr>
              <w:t>Institutional Legal Profile</w:t>
            </w:r>
          </w:p>
          <w:p>
            <w:pPr>
              <w:spacing w:after="0"/>
            </w:pPr>
            <w:r>
              <w:rPr>
                <w:rFonts w:ascii="Aptos" w:hAnsi="Aptos"/>
                <w:i/>
                <w:color w:val="ECDEBC"/>
                <w:sz w:val="19"/>
              </w:rPr>
              <w:t>A premium profile for formal engagements, proposals, tenders, and partnership discussions.</w:t>
            </w:r>
          </w:p>
        </w:tc>
      </w:tr>
    </w:tbl>
    <w:p>
      <w:r>
        <w:rPr>
          <w:rFonts w:ascii="Aptos" w:hAnsi="Aptos"/>
        </w:rPr>
        <w:t>Vision Attorneys LF (Advocates &amp; Commissioner for Oaths) is positioned as a professional, ethical, and institutionally capable law firm serving individuals, businesses, public institutions, non-governmental organizations, international partners, and development-focused stakeholders. The firm provides legal representation, advisory services, dispute resolution support, and documentation services with a strong commitment to integrity, confidentiality, and practical outcomes.</w:t>
      </w:r>
    </w:p>
    <w:p>
      <w:r>
        <w:rPr>
          <w:rFonts w:ascii="Aptos" w:hAnsi="Aptos"/>
        </w:rPr>
        <w:t>[Insert firm-specific introduction, founding background, jurisdiction of practice, registration details, and institutional credentials.]</w:t>
      </w:r>
    </w:p>
    <w:tbl>
      <w:tblPr>
        <w:tblW w:type="auto" w:w="0"/>
        <w:jc w:val="center"/>
        <w:tblLayout w:type="fixed"/>
        <w:tblLook w:firstColumn="1" w:firstRow="1" w:lastColumn="0" w:lastRow="0" w:noHBand="0" w:noVBand="1" w:val="04A0"/>
      </w:tblPr>
      <w:tblGrid>
        <w:gridCol w:w="9878"/>
      </w:tblGrid>
      <w:tr>
        <w:tc>
          <w:tcPr>
            <w:tcW w:type="dxa" w:w="9000"/>
            <w:shd w:fill="EEF3F8"/>
            <w:tcBorders>
              <w:top w:val="single" w:sz="6" w:space="0" w:color="D8E1EA"/>
              <w:left w:val="single" w:sz="6" w:space="0" w:color="D8E1EA"/>
              <w:bottom w:val="single" w:sz="6" w:space="0" w:color="D8E1EA"/>
              <w:right w:val="single" w:sz="6" w:space="0" w:color="D8E1EA"/>
            </w:tcBorders>
            <w:tcMar>
              <w:top w:w="140" w:type="dxa"/>
              <w:start w:w="180" w:type="dxa"/>
              <w:bottom w:w="140" w:type="dxa"/>
              <w:end w:w="180" w:type="dxa"/>
            </w:tcMar>
          </w:tcPr>
          <w:p>
            <w:r>
              <w:rPr>
                <w:rFonts w:ascii="Aptos" w:hAnsi="Aptos"/>
                <w:b/>
                <w:color w:val="0B2545"/>
                <w:sz w:val="21"/>
              </w:rPr>
              <w:t>Institutional Value Proposition</w:t>
            </w:r>
          </w:p>
          <w:p>
            <w:pPr>
              <w:spacing w:after="0"/>
            </w:pPr>
            <w:r>
              <w:rPr>
                <w:rFonts w:ascii="Aptos" w:hAnsi="Aptos"/>
                <w:color w:val="2A323C"/>
                <w:sz w:val="20"/>
              </w:rPr>
              <w:t>Vision Attorneys LF combines legal discipline, client care, strong research, practical judgment, and ethical advocacy to help clients manage risk, resolve disputes, structure transactions, and protect their legal interests.</w:t>
            </w:r>
          </w:p>
        </w:tc>
      </w:tr>
    </w:tbl>
    <w:p>
      <w:r>
        <w:br w:type="page"/>
      </w:r>
    </w:p>
    <w:p>
      <w:pPr>
        <w:pStyle w:val="Heading1"/>
      </w:pPr>
      <w:r>
        <w:t>2. Understanding the South Sudan Legal Environment</w:t>
      </w:r>
    </w:p>
    <w:tbl>
      <w:tblPr>
        <w:tblW w:type="auto" w:w="0"/>
        <w:jc w:val="center"/>
        <w:tblLayout w:type="fixed"/>
        <w:tblLook w:firstColumn="1" w:firstRow="1" w:lastColumn="0" w:lastRow="0" w:noHBand="0" w:noVBand="1" w:val="04A0"/>
      </w:tblPr>
      <w:tblGrid>
        <w:gridCol w:w="9878"/>
      </w:tblGrid>
      <w:tr>
        <w:tc>
          <w:tcPr>
            <w:tcW w:type="dxa" w:w="9000"/>
            <w:shd w:fill="0B2545"/>
            <w:tcBorders>
              <w:top w:val="single" w:sz="8" w:space="0" w:color="0B2545"/>
              <w:left w:val="single" w:sz="8" w:space="0" w:color="0B2545"/>
              <w:bottom w:val="single" w:sz="8" w:space="0" w:color="0B2545"/>
              <w:right w:val="single" w:sz="8" w:space="0" w:color="0B2545"/>
            </w:tcBorders>
            <w:tcMar>
              <w:top w:w="180" w:type="dxa"/>
              <w:start w:w="220" w:type="dxa"/>
              <w:bottom w:w="180" w:type="dxa"/>
              <w:end w:w="220" w:type="dxa"/>
            </w:tcMar>
          </w:tcPr>
          <w:p>
            <w:r>
              <w:rPr>
                <w:rFonts w:ascii="Aptos Display" w:hAnsi="Aptos Display"/>
                <w:b/>
                <w:color w:val="FFFFFF"/>
                <w:sz w:val="30"/>
              </w:rPr>
              <w:t>Local Knowledge. Institutional Awareness.</w:t>
            </w:r>
          </w:p>
          <w:p>
            <w:pPr>
              <w:spacing w:after="0"/>
            </w:pPr>
            <w:r>
              <w:rPr>
                <w:rFonts w:ascii="Aptos" w:hAnsi="Aptos"/>
                <w:i/>
                <w:color w:val="ECDEBC"/>
                <w:sz w:val="19"/>
              </w:rPr>
              <w:t>Positioning Vision Attorneys LF as a law firm grounded in South Sudan's legal, commercial, and development context.</w:t>
            </w:r>
          </w:p>
        </w:tc>
      </w:tr>
    </w:tbl>
    <w:p>
      <w:r>
        <w:rPr>
          <w:rFonts w:ascii="Aptos" w:hAnsi="Aptos"/>
        </w:rPr>
        <w:t>Vision Attorneys LF understands that effective legal advice in South Sudan requires more than technical knowledge of statutes. It requires contextual judgment, awareness of institutional realities, sensitivity to customary norms, and practical experience with the public, private, humanitarian, and development sectors.</w:t>
      </w:r>
    </w:p>
    <w:tbl>
      <w:tblPr>
        <w:tblW w:type="auto" w:w="0"/>
        <w:jc w:val="center"/>
        <w:tblLayout w:type="fixed"/>
        <w:tblLook w:firstColumn="1" w:firstRow="1" w:lastColumn="0" w:lastRow="0" w:noHBand="0" w:noVBand="1" w:val="04A0"/>
      </w:tblPr>
      <w:tblGrid>
        <w:gridCol w:w="4939"/>
        <w:gridCol w:w="4939"/>
      </w:tblGrid>
      <w:tr>
        <w:trPr>
          <w:cantSplit/>
        </w:trPr>
        <w:tc>
          <w:tcPr>
            <w:tcW w:type="dxa" w:w="2951"/>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EEF3F8"/>
          </w:tcPr>
          <w:p>
            <w:r>
              <w:rPr>
                <w:rFonts w:ascii="Aptos" w:hAnsi="Aptos"/>
                <w:b/>
                <w:color w:val="0B2545"/>
                <w:sz w:val="17"/>
              </w:rPr>
              <w:t>Constitutional and Statutory Framework</w:t>
            </w:r>
          </w:p>
        </w:tc>
        <w:tc>
          <w:tcPr>
            <w:tcW w:type="dxa" w:w="597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Advisory support may involve constitutional principles, legislation, regulations, administrative procedures, and sector-specific requirements.</w:t>
            </w:r>
          </w:p>
        </w:tc>
      </w:tr>
      <w:tr>
        <w:trPr>
          <w:cantSplit/>
        </w:trPr>
        <w:tc>
          <w:tcPr>
            <w:tcW w:type="dxa" w:w="2951"/>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EEF3F8"/>
          </w:tcPr>
          <w:p>
            <w:r>
              <w:rPr>
                <w:rFonts w:ascii="Aptos" w:hAnsi="Aptos"/>
                <w:b/>
                <w:color w:val="0B2545"/>
                <w:sz w:val="17"/>
              </w:rPr>
              <w:t>Customary Law Considerations</w:t>
            </w:r>
          </w:p>
        </w:tc>
        <w:tc>
          <w:tcPr>
            <w:tcW w:type="dxa" w:w="597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Family, land, community, inheritance, and local dispute issues may require attention to customary law and formal legal processes.</w:t>
            </w:r>
          </w:p>
        </w:tc>
      </w:tr>
      <w:tr>
        <w:trPr>
          <w:cantSplit/>
        </w:trPr>
        <w:tc>
          <w:tcPr>
            <w:tcW w:type="dxa" w:w="2951"/>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EEF3F8"/>
          </w:tcPr>
          <w:p>
            <w:r>
              <w:rPr>
                <w:rFonts w:ascii="Aptos" w:hAnsi="Aptos"/>
                <w:b/>
                <w:color w:val="0B2545"/>
                <w:sz w:val="17"/>
              </w:rPr>
              <w:t>Land and Property Administration</w:t>
            </w:r>
          </w:p>
        </w:tc>
        <w:tc>
          <w:tcPr>
            <w:tcW w:type="dxa" w:w="597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Land matters may involve title verification, customary claims, leases, transfers, authorities, registry processes, and boundary issues.</w:t>
            </w:r>
          </w:p>
        </w:tc>
      </w:tr>
      <w:tr>
        <w:trPr>
          <w:cantSplit/>
        </w:trPr>
        <w:tc>
          <w:tcPr>
            <w:tcW w:type="dxa" w:w="2951"/>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EEF3F8"/>
          </w:tcPr>
          <w:p>
            <w:r>
              <w:rPr>
                <w:rFonts w:ascii="Aptos" w:hAnsi="Aptos"/>
                <w:b/>
                <w:color w:val="0B2545"/>
                <w:sz w:val="17"/>
              </w:rPr>
              <w:t>NGO and Humanitarian Regulation</w:t>
            </w:r>
          </w:p>
        </w:tc>
        <w:tc>
          <w:tcPr>
            <w:tcW w:type="dxa" w:w="597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Humanitarian and development actors often need support with registration, employment, contracts, compliance, partnerships, and operations.</w:t>
            </w:r>
          </w:p>
        </w:tc>
      </w:tr>
      <w:tr>
        <w:trPr>
          <w:cantSplit/>
        </w:trPr>
        <w:tc>
          <w:tcPr>
            <w:tcW w:type="dxa" w:w="2951"/>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EEF3F8"/>
          </w:tcPr>
          <w:p>
            <w:r>
              <w:rPr>
                <w:rFonts w:ascii="Aptos" w:hAnsi="Aptos"/>
                <w:b/>
                <w:color w:val="0B2545"/>
                <w:sz w:val="17"/>
              </w:rPr>
              <w:t>Commercial and Investment Landscape</w:t>
            </w:r>
          </w:p>
        </w:tc>
        <w:tc>
          <w:tcPr>
            <w:tcW w:type="dxa" w:w="597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Corporate clients and investors need practical guidance on setup, contracts, approvals, employment, land access, and investment risk.</w:t>
            </w:r>
          </w:p>
        </w:tc>
      </w:tr>
      <w:tr>
        <w:trPr>
          <w:cantSplit/>
        </w:trPr>
        <w:tc>
          <w:tcPr>
            <w:tcW w:type="dxa" w:w="2951"/>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EEF3F8"/>
          </w:tcPr>
          <w:p>
            <w:r>
              <w:rPr>
                <w:rFonts w:ascii="Aptos" w:hAnsi="Aptos"/>
                <w:b/>
                <w:color w:val="0B2545"/>
                <w:sz w:val="17"/>
              </w:rPr>
              <w:t>Dispute Resolution and Courts</w:t>
            </w:r>
          </w:p>
        </w:tc>
        <w:tc>
          <w:tcPr>
            <w:tcW w:type="dxa" w:w="597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The firm supports negotiation, mediation, arbitration, litigation, court processes, administrative forums, and settlement pathways.</w:t>
            </w:r>
          </w:p>
        </w:tc>
      </w:tr>
    </w:tbl>
    <w:p>
      <w:pPr>
        <w:pStyle w:val="Heading1"/>
      </w:pPr>
      <w:r>
        <w:t>3. What Makes Vision Attorneys LF Different</w:t>
      </w:r>
    </w:p>
    <w:p>
      <w:r>
        <w:rPr>
          <w:rFonts w:ascii="Aptos" w:hAnsi="Aptos"/>
        </w:rPr>
        <w:t>The firm's value is grounded in local insight, institutional discipline, and client-centered legal service.</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LOCAL  Deep South Sudan Knowledge</w:t>
            </w:r>
          </w:p>
          <w:p>
            <w:pPr>
              <w:spacing w:after="0"/>
            </w:pPr>
            <w:r>
              <w:rPr>
                <w:rFonts w:ascii="Aptos" w:hAnsi="Aptos"/>
                <w:color w:val="2D3540"/>
                <w:sz w:val="17"/>
              </w:rPr>
              <w:t>Understanding of South Sudan's legal environment, institutions, customary considerations, and practical operating context.</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r>
              <w:rPr>
                <w:rFonts w:ascii="Aptos" w:hAnsi="Aptos"/>
                <w:b/>
                <w:color w:val="0B2545"/>
                <w:sz w:val="19"/>
              </w:rPr>
              <w:t>ADVICE  Business-Oriented Advice</w:t>
            </w:r>
          </w:p>
          <w:p>
            <w:pPr>
              <w:spacing w:after="0"/>
            </w:pPr>
            <w:r>
              <w:rPr>
                <w:rFonts w:ascii="Aptos" w:hAnsi="Aptos"/>
                <w:color w:val="2D3540"/>
                <w:sz w:val="17"/>
              </w:rPr>
              <w:t>Legal guidance that considers risk, cost, timing, stakeholder realities, and client objectives.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CLIENT  Client-Centered Delivery</w:t>
            </w:r>
          </w:p>
          <w:p>
            <w:pPr>
              <w:spacing w:after="0"/>
            </w:pPr>
            <w:r>
              <w:rPr>
                <w:rFonts w:ascii="Aptos" w:hAnsi="Aptos"/>
                <w:color w:val="2D3540"/>
                <w:sz w:val="17"/>
              </w:rPr>
              <w:t>Clear communication, defined scope, responsive service, and practical next steps.</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r>
              <w:rPr>
                <w:rFonts w:ascii="Aptos" w:hAnsi="Aptos"/>
                <w:b/>
                <w:color w:val="0B2545"/>
                <w:sz w:val="19"/>
              </w:rPr>
              <w:t>ETHICS  Ethical &amp; Confidential</w:t>
            </w:r>
          </w:p>
          <w:p>
            <w:pPr>
              <w:spacing w:after="0"/>
            </w:pPr>
            <w:r>
              <w:rPr>
                <w:rFonts w:ascii="Aptos" w:hAnsi="Aptos"/>
                <w:color w:val="2D3540"/>
                <w:sz w:val="17"/>
              </w:rPr>
              <w:t>Professional representation guided by integrity, discretion, and confidentiality.</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INST  Institutional Experience</w:t>
            </w:r>
          </w:p>
          <w:p>
            <w:pPr>
              <w:spacing w:after="0"/>
            </w:pPr>
            <w:r>
              <w:rPr>
                <w:rFonts w:ascii="Aptos" w:hAnsi="Aptos"/>
                <w:color w:val="2D3540"/>
                <w:sz w:val="17"/>
              </w:rPr>
              <w:t>Service model suitable for NGOs, development partners, embassies, public bodies, and corporate clients.</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r>
              <w:rPr>
                <w:rFonts w:ascii="Aptos" w:hAnsi="Aptos"/>
                <w:b/>
                <w:color w:val="0B2545"/>
                <w:sz w:val="19"/>
              </w:rPr>
              <w:t>TIME  Responsive Support</w:t>
            </w:r>
          </w:p>
          <w:p>
            <w:pPr>
              <w:spacing w:after="0"/>
            </w:pPr>
            <w:r>
              <w:rPr>
                <w:rFonts w:ascii="Aptos" w:hAnsi="Aptos"/>
                <w:color w:val="2D3540"/>
                <w:sz w:val="17"/>
              </w:rPr>
              <w:t>Timely communication, matter updates, and structured legal follow-through.</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REL  Long-Term Relationships</w:t>
            </w:r>
          </w:p>
          <w:p>
            <w:pPr>
              <w:spacing w:after="0"/>
            </w:pPr>
            <w:r>
              <w:rPr>
                <w:rFonts w:ascii="Aptos" w:hAnsi="Aptos"/>
                <w:color w:val="2D3540"/>
                <w:sz w:val="17"/>
              </w:rPr>
              <w:t>Commitment to becoming a trusted legal partner across repeated engagements and growth phases.</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tc>
      </w:tr>
    </w:tbl>
    <w:p>
      <w:r>
        <w:br w:type="page"/>
      </w:r>
    </w:p>
    <w:p>
      <w:pPr>
        <w:pStyle w:val="Heading1"/>
      </w:pPr>
      <w:r>
        <w:t>4. Message from the Managing Partner</w:t>
      </w:r>
    </w:p>
    <w:p>
      <w:pPr>
        <w:spacing w:after="80"/>
        <w:jc w:val="right"/>
      </w:pPr>
      <w:r>
        <w:rPr>
          <w:rFonts w:ascii="Aptos" w:hAnsi="Aptos"/>
          <w:i/>
          <w:color w:val="596069"/>
          <w:sz w:val="18"/>
        </w:rPr>
        <w:t>[Insert Managing Partner Photo]</w:t>
      </w:r>
    </w:p>
    <w:p>
      <w:r>
        <w:rPr>
          <w:rFonts w:ascii="Aptos" w:hAnsi="Aptos"/>
        </w:rPr>
        <w:t>Welcome to Vision Attorneys LF. Our firm was built on a simple but powerful philosophy: legal service must be principled, practical, confidential, and responsive to the real needs of clients. Whether representing an individual, advising an institution, supporting a development partner, or guiding a corporate client through a complex matter, we approach every engagement with discipline, integrity, and respect for the rule of law.</w:t>
      </w:r>
    </w:p>
    <w:p>
      <w:r>
        <w:rPr>
          <w:rFonts w:ascii="Aptos" w:hAnsi="Aptos"/>
        </w:rPr>
        <w:t>We believe that justice is strengthened when legal professionals combine technical competence with courage, fairness, and service. Our role is not only to interpret the law, but to help clients make informed decisions, manage risk, protect their rights, and pursue lawful solutions with confidence.</w:t>
      </w:r>
    </w:p>
    <w:p>
      <w:r>
        <w:rPr>
          <w:rFonts w:ascii="Aptos" w:hAnsi="Aptos"/>
        </w:rPr>
        <w:t>At Vision Attorneys LF, client service is central to our identity. We value clear communication, timely updates, careful preparation, and professional confidentiality. We understand that clients often come to lawyers during important, sensitive, or high-pressure moments, and we consider it our duty to provide guidance that is both legally sound and practically useful.</w:t>
      </w:r>
    </w:p>
    <w:p>
      <w:r>
        <w:rPr>
          <w:rFonts w:ascii="Aptos" w:hAnsi="Aptos"/>
        </w:rPr>
        <w:t>Looking ahead, our vision is to grow into a leading institutional law firm known for ethical advocacy, regional collaboration, strong legal research, and specialized legal services that support South Sudan's public, private, and development sectors. [Insert future vision specific to the firm.]</w:t>
      </w:r>
    </w:p>
    <w:p>
      <w:pPr>
        <w:spacing w:before="200" w:after="20"/>
      </w:pPr>
      <w:r>
        <w:rPr>
          <w:rFonts w:ascii="Aptos" w:hAnsi="Aptos"/>
          <w:b/>
          <w:color w:val="0B2545"/>
          <w:sz w:val="22"/>
        </w:rPr>
        <w:t>[Insert Managing Partner Name]</w:t>
      </w:r>
    </w:p>
    <w:p>
      <w:r>
        <w:rPr>
          <w:rFonts w:ascii="Aptos" w:hAnsi="Aptos"/>
          <w:b/>
          <w:color w:val="AE822A"/>
          <w:sz w:val="19"/>
        </w:rPr>
        <w:t>Managing Partner, Vision Attorneys LF</w:t>
      </w:r>
    </w:p>
    <w:p>
      <w:r>
        <w:br w:type="page"/>
      </w:r>
    </w:p>
    <w:p>
      <w:pPr>
        <w:pStyle w:val="Heading1"/>
      </w:pPr>
      <w:r>
        <w:t>5. About the Firm</w:t>
      </w:r>
    </w:p>
    <w:tbl>
      <w:tblPr>
        <w:tblStyle w:val="TableGrid"/>
        <w:tblW w:type="auto" w:w="0"/>
        <w:jc w:val="center"/>
        <w:tblLayout w:type="fixed"/>
        <w:tblLook w:firstColumn="1" w:firstRow="1" w:lastColumn="0" w:lastRow="0" w:noHBand="0" w:noVBand="1" w:val="04A0"/>
      </w:tblPr>
      <w:tblGrid>
        <w:gridCol w:w="4939"/>
        <w:gridCol w:w="4939"/>
      </w:tblGrid>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Firm History</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firm history, year established, founding partners, early clients, and growth milestones.]</w:t>
            </w:r>
          </w:p>
        </w:tc>
      </w:tr>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Vision Statement</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vision statement focused on justice, institutional excellence, and trusted legal service.]</w:t>
            </w:r>
          </w:p>
        </w:tc>
      </w:tr>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Mission Statement</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mission statement describing legal representation, advisory support, and client-centered solutions.]</w:t>
            </w:r>
          </w:p>
        </w:tc>
      </w:tr>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Core Values</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Integrity; confidentiality; professionalism; accountability; service; excellence; respect for the rule of law.</w:t>
            </w:r>
          </w:p>
        </w:tc>
      </w:tr>
      <w:tr>
        <w:tc>
          <w:tcPr>
            <w:tcW w:type="dxa" w:w="237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Areas of Specialization</w:t>
            </w:r>
          </w:p>
        </w:tc>
        <w:tc>
          <w:tcPr>
            <w:tcW w:type="dxa" w:w="655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Commercial law, litigation, property, employment, family law, legal advisory, mediation, arbitration, and Commissioner for Oaths services.</w:t>
            </w:r>
          </w:p>
        </w:tc>
      </w:tr>
    </w:tbl>
    <w:p>
      <w:pPr>
        <w:pStyle w:val="Heading1"/>
      </w:pPr>
      <w:r>
        <w:t>6. Organizational Structure</w:t>
      </w:r>
    </w:p>
    <w:p>
      <w:r>
        <w:rPr>
          <w:rFonts w:ascii="Aptos" w:hAnsi="Aptos"/>
        </w:rPr>
        <w:t>The organizational structure below may be customized to reflect the firm's actual staffing, reporting lines, and operational departments.</w:t>
      </w:r>
    </w:p>
    <w:tbl>
      <w:tblPr>
        <w:tblW w:type="auto" w:w="0"/>
        <w:jc w:val="center"/>
        <w:tblLayout w:type="fixed"/>
        <w:tblLook w:firstColumn="1" w:firstRow="1" w:lastColumn="0" w:lastRow="0" w:noHBand="0" w:noVBand="1" w:val="04A0"/>
      </w:tblPr>
      <w:tblGrid>
        <w:gridCol w:w="4939"/>
        <w:gridCol w:w="4939"/>
      </w:tblGrid>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0B2545"/>
          </w:tcPr>
          <w:p>
            <w:r>
              <w:rPr>
                <w:rFonts w:ascii="Aptos" w:hAnsi="Aptos"/>
                <w:b/>
                <w:color w:val="FFFFFF"/>
                <w:sz w:val="18"/>
              </w:rPr>
              <w:t>Managing Partner</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Strategic leadership, client relations, institutional oversight</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F5EFE3"/>
          </w:tcPr>
          <w:p>
            <w:r>
              <w:rPr>
                <w:rFonts w:ascii="Aptos" w:hAnsi="Aptos"/>
                <w:b/>
                <w:color w:val="0B2545"/>
                <w:sz w:val="18"/>
              </w:rPr>
              <w:t>Senior Advocates</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Complex matters, litigation leadership, supervision</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EEF3F8"/>
          </w:tcPr>
          <w:p>
            <w:r>
              <w:rPr>
                <w:rFonts w:ascii="Aptos" w:hAnsi="Aptos"/>
                <w:b/>
                <w:color w:val="0B2545"/>
                <w:sz w:val="18"/>
              </w:rPr>
              <w:t>Associate Advocates</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Client matters, research, drafting, appearances</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F5EFE3"/>
          </w:tcPr>
          <w:p>
            <w:r>
              <w:rPr>
                <w:rFonts w:ascii="Aptos" w:hAnsi="Aptos"/>
                <w:b/>
                <w:color w:val="0B2545"/>
                <w:sz w:val="18"/>
              </w:rPr>
              <w:t>Legal Researchers</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Case law, statutory review, legal opinions</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EEF3F8"/>
          </w:tcPr>
          <w:p>
            <w:r>
              <w:rPr>
                <w:rFonts w:ascii="Aptos" w:hAnsi="Aptos"/>
                <w:b/>
                <w:color w:val="0B2545"/>
                <w:sz w:val="18"/>
              </w:rPr>
              <w:t>Legal Assistants</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Documentation, filing, client coordination</w:t>
            </w:r>
          </w:p>
        </w:tc>
      </w:tr>
      <w:tr>
        <w:trPr>
          <w:cantSplit/>
        </w:trPr>
        <w:tc>
          <w:tcPr>
            <w:tcW w:type="dxa" w:w="3240"/>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shd w:fill="F5EFE3"/>
          </w:tcPr>
          <w:p>
            <w:r>
              <w:rPr>
                <w:rFonts w:ascii="Aptos" w:hAnsi="Aptos"/>
                <w:b/>
                <w:color w:val="0B2545"/>
                <w:sz w:val="18"/>
              </w:rPr>
              <w:t>Administrative Staff</w:t>
            </w:r>
          </w:p>
        </w:tc>
        <w:tc>
          <w:tcPr>
            <w:tcW w:type="dxa" w:w="5616"/>
            <w:tcBorders>
              <w:top w:val="single" w:sz="4" w:space="0" w:color="D7DEE8"/>
              <w:left w:val="single" w:sz="4" w:space="0" w:color="D7DEE8"/>
              <w:bottom w:val="single" w:sz="4" w:space="0" w:color="D7DEE8"/>
              <w:right w:val="single" w:sz="4" w:space="0" w:color="D7DEE8"/>
            </w:tcBorders>
            <w:tcMar>
              <w:top w:w="70" w:type="dxa"/>
              <w:start w:w="130" w:type="dxa"/>
              <w:bottom w:w="70" w:type="dxa"/>
              <w:end w:w="130" w:type="dxa"/>
            </w:tcMar>
            <w:vAlign w:val="center"/>
          </w:tcPr>
          <w:p>
            <w:r>
              <w:rPr>
                <w:rFonts w:ascii="Aptos" w:hAnsi="Aptos"/>
                <w:color w:val="2D3540"/>
                <w:sz w:val="17"/>
              </w:rPr>
              <w:t>Office management, finance, scheduling, records</w:t>
            </w:r>
          </w:p>
        </w:tc>
      </w:tr>
    </w:tbl>
    <w:p>
      <w:r>
        <w:br w:type="page"/>
      </w:r>
    </w:p>
    <w:p>
      <w:pPr>
        <w:pStyle w:val="Heading1"/>
      </w:pPr>
      <w:r>
        <w:t>7. Professional Memberships &amp; Affiliations</w:t>
      </w:r>
    </w:p>
    <w:tbl>
      <w:tblPr>
        <w:tblStyle w:val="TableGrid"/>
        <w:tblW w:type="auto" w:w="0"/>
        <w:jc w:val="center"/>
        <w:tblLayout w:type="fixed"/>
        <w:tblLook w:firstColumn="1" w:firstRow="1" w:lastColumn="0" w:lastRow="0" w:noHBand="0" w:noVBand="1" w:val="04A0"/>
      </w:tblPr>
      <w:tblGrid>
        <w:gridCol w:w="4939"/>
        <w:gridCol w:w="4939"/>
      </w:tblGrid>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South Sudan Bar Association</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membership status, registration number, and active standing details.]</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East Africa Law Society</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membership or affiliation details where applicable.]</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International Bar Association</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membership, participation, or future affiliation status where applicable.]</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Other Legal Bodies</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courts, professional associations, legal networks, chambers, or institutional affiliations.]</w:t>
            </w:r>
          </w:p>
        </w:tc>
      </w:tr>
    </w:tbl>
    <w:p>
      <w:r>
        <w:br w:type="page"/>
      </w:r>
    </w:p>
    <w:p>
      <w:pPr>
        <w:pStyle w:val="Heading1"/>
      </w:pPr>
      <w:r>
        <w:t>8. Our Legal Services</w:t>
      </w:r>
    </w:p>
    <w:tbl>
      <w:tblPr>
        <w:tblW w:type="auto" w:w="0"/>
        <w:jc w:val="center"/>
        <w:tblLayout w:type="fixed"/>
        <w:tblLook w:firstColumn="1" w:firstRow="1" w:lastColumn="0" w:lastRow="0" w:noHBand="0" w:noVBand="1" w:val="04A0"/>
      </w:tblPr>
      <w:tblGrid>
        <w:gridCol w:w="4939"/>
        <w:gridCol w:w="4939"/>
      </w:tblGrid>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CL  Corporate and Commercial Law</w:t>
            </w:r>
          </w:p>
          <w:p>
            <w:pPr>
              <w:spacing w:after="0"/>
            </w:pPr>
            <w:r>
              <w:rPr>
                <w:rFonts w:ascii="Aptos" w:hAnsi="Aptos"/>
                <w:color w:val="2D3540"/>
                <w:sz w:val="18"/>
              </w:rPr>
              <w:t>Company formation, governance, compliance, commercial contracts, shareholder matters, restructurings, and transaction support.</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LT  Civil Litigation</w:t>
            </w:r>
          </w:p>
          <w:p>
            <w:pPr>
              <w:spacing w:after="0"/>
            </w:pPr>
            <w:r>
              <w:rPr>
                <w:rFonts w:ascii="Aptos" w:hAnsi="Aptos"/>
                <w:color w:val="2D3540"/>
                <w:sz w:val="18"/>
              </w:rPr>
              <w:t>Claims, defenses, pleadings, court representation, injunctions, enforcement, settlement strategy, and dispute management.</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CD  Criminal Defense</w:t>
            </w:r>
          </w:p>
          <w:p>
            <w:pPr>
              <w:spacing w:after="0"/>
            </w:pPr>
            <w:r>
              <w:rPr>
                <w:rFonts w:ascii="Aptos" w:hAnsi="Aptos"/>
                <w:color w:val="2D3540"/>
                <w:sz w:val="18"/>
              </w:rPr>
              <w:t>Advisory and representation for suspects, accused persons, bail, trial preparation, appeals, and rights protection.</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FL  Family Law</w:t>
            </w:r>
          </w:p>
          <w:p>
            <w:pPr>
              <w:spacing w:after="0"/>
            </w:pPr>
            <w:r>
              <w:rPr>
                <w:rFonts w:ascii="Aptos" w:hAnsi="Aptos"/>
                <w:color w:val="2D3540"/>
                <w:sz w:val="18"/>
              </w:rPr>
              <w:t>Divorce, custody, maintenance, succession, adoption, family settlements, and confidential family advisory support.</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EL  Employment and Labour Law</w:t>
            </w:r>
          </w:p>
          <w:p>
            <w:pPr>
              <w:spacing w:after="0"/>
            </w:pPr>
            <w:r>
              <w:rPr>
                <w:rFonts w:ascii="Aptos" w:hAnsi="Aptos"/>
                <w:color w:val="2D3540"/>
                <w:sz w:val="18"/>
              </w:rPr>
              <w:t>Employment contracts, HR policies, disciplinary procedures, termination, labour disputes, and compliance advisory.</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PL  Property and Land Law</w:t>
            </w:r>
          </w:p>
          <w:p>
            <w:pPr>
              <w:spacing w:after="0"/>
            </w:pPr>
            <w:r>
              <w:rPr>
                <w:rFonts w:ascii="Aptos" w:hAnsi="Aptos"/>
                <w:color w:val="2D3540"/>
                <w:sz w:val="18"/>
              </w:rPr>
              <w:t>Land due diligence, leases, transfers, title review, property disputes, and real estate transaction support.</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CR  Contract Drafting and Review</w:t>
            </w:r>
          </w:p>
          <w:p>
            <w:pPr>
              <w:spacing w:after="0"/>
            </w:pPr>
            <w:r>
              <w:rPr>
                <w:rFonts w:ascii="Aptos" w:hAnsi="Aptos"/>
                <w:color w:val="2D3540"/>
                <w:sz w:val="18"/>
              </w:rPr>
              <w:t>Drafting, review, negotiation, risk allocation, enforceability checks, and plain-language contract advice.</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AM  Arbitration and Mediation</w:t>
            </w:r>
          </w:p>
          <w:p>
            <w:pPr>
              <w:spacing w:after="0"/>
            </w:pPr>
            <w:r>
              <w:rPr>
                <w:rFonts w:ascii="Aptos" w:hAnsi="Aptos"/>
                <w:color w:val="2D3540"/>
                <w:sz w:val="18"/>
              </w:rPr>
              <w:t>Alternative dispute resolution, mediation strategy, arbitration preparation, negotiation, and settlement support.</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LA  Legal Advisory Services</w:t>
            </w:r>
          </w:p>
          <w:p>
            <w:pPr>
              <w:spacing w:after="0"/>
            </w:pPr>
            <w:r>
              <w:rPr>
                <w:rFonts w:ascii="Aptos" w:hAnsi="Aptos"/>
                <w:color w:val="2D3540"/>
                <w:sz w:val="18"/>
              </w:rPr>
              <w:t>Legal opinions, compliance guidance, institutional retainers, regulatory advice, and legal risk management.</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rPr>
                <w:rFonts w:ascii="Aptos" w:hAnsi="Aptos"/>
                <w:b/>
                <w:color w:val="0B2545"/>
                <w:sz w:val="21"/>
              </w:rPr>
              <w:t>CO  Commissioner for Oaths Services</w:t>
            </w:r>
          </w:p>
          <w:p>
            <w:pPr>
              <w:spacing w:after="0"/>
            </w:pPr>
            <w:r>
              <w:rPr>
                <w:rFonts w:ascii="Aptos" w:hAnsi="Aptos"/>
                <w:color w:val="2D3540"/>
                <w:sz w:val="18"/>
              </w:rPr>
              <w:t>Affidavits, declarations, oaths, witnessing, certifications, and documentation support as permitted by law.</w:t>
            </w:r>
          </w:p>
        </w:tc>
      </w:tr>
      <w:tr>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FFFFF"/>
            <w:vAlign w:val="top"/>
          </w:tcPr>
          <w:p>
            <w:r>
              <w:rPr>
                <w:rFonts w:ascii="Aptos" w:hAnsi="Aptos"/>
                <w:b/>
                <w:color w:val="0B2545"/>
                <w:sz w:val="21"/>
              </w:rPr>
              <w:t>AS  Additional Services</w:t>
            </w:r>
          </w:p>
          <w:p>
            <w:pPr>
              <w:spacing w:after="0"/>
            </w:pPr>
            <w:r>
              <w:rPr>
                <w:rFonts w:ascii="Aptos" w:hAnsi="Aptos"/>
                <w:color w:val="2D3540"/>
                <w:sz w:val="18"/>
              </w:rPr>
              <w:t>[Insert additional approved legal services, sector-specific capabilities, and emerging practice areas.]</w:t>
            </w:r>
          </w:p>
        </w:tc>
        <w:tc>
          <w:tcPr>
            <w:tcW w:type="dxa" w:w="4939"/>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shd w:fill="FBFCFE"/>
            <w:vAlign w:val="top"/>
          </w:tcPr>
          <w:p>
            <w:r/>
          </w:p>
        </w:tc>
      </w:tr>
    </w:tbl>
    <w:p>
      <w:r>
        <w:br w:type="page"/>
      </w:r>
    </w:p>
    <w:p>
      <w:pPr>
        <w:pStyle w:val="Heading1"/>
      </w:pPr>
      <w:r>
        <w:t>9. Institutional Capability Statement</w:t>
      </w:r>
    </w:p>
    <w:p>
      <w:r>
        <w:rPr>
          <w:rFonts w:ascii="Aptos" w:hAnsi="Aptos"/>
        </w:rPr>
        <w:t>The following executive capability summary is designed for government, NGO, development partner, embassy, and corporate procurement evaluations.</w:t>
      </w:r>
    </w:p>
    <w:tbl>
      <w:tblPr>
        <w:tblW w:type="auto" w:w="0"/>
        <w:jc w:val="center"/>
        <w:tblLayout w:type="fixed"/>
        <w:tblLook w:firstColumn="1" w:firstRow="1" w:lastColumn="0" w:lastRow="0" w:noHBand="0" w:noVBand="1" w:val="04A0"/>
      </w:tblPr>
      <w:tblGrid>
        <w:gridCol w:w="4939"/>
        <w:gridCol w:w="4939"/>
      </w:tblGrid>
      <w:tr>
        <w:trPr>
          <w:cantSplit/>
        </w:trPr>
        <w:tc>
          <w:tcPr>
            <w:tcW w:type="dxa" w:w="309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F5EFE3"/>
          </w:tcPr>
          <w:p>
            <w:r>
              <w:rPr>
                <w:rFonts w:ascii="Aptos" w:hAnsi="Aptos"/>
                <w:b/>
                <w:color w:val="0B2545"/>
                <w:sz w:val="17"/>
              </w:rPr>
              <w:t>Legal Advisory Services</w:t>
            </w:r>
          </w:p>
        </w:tc>
        <w:tc>
          <w:tcPr>
            <w:tcW w:type="dxa" w:w="5832"/>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Institutional legal opinions, governance advice, regulatory guidance, and matter-specific counsel.</w:t>
            </w:r>
          </w:p>
        </w:tc>
      </w:tr>
      <w:tr>
        <w:trPr>
          <w:cantSplit/>
        </w:trPr>
        <w:tc>
          <w:tcPr>
            <w:tcW w:type="dxa" w:w="309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F5EFE3"/>
          </w:tcPr>
          <w:p>
            <w:r>
              <w:rPr>
                <w:rFonts w:ascii="Aptos" w:hAnsi="Aptos"/>
                <w:b/>
                <w:color w:val="0B2545"/>
                <w:sz w:val="17"/>
              </w:rPr>
              <w:t>Litigation &amp; Dispute Resolution</w:t>
            </w:r>
          </w:p>
        </w:tc>
        <w:tc>
          <w:tcPr>
            <w:tcW w:type="dxa" w:w="5832"/>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Court representation, dispute strategy, settlement support, mediation, arbitration, and enforcement guidance.</w:t>
            </w:r>
          </w:p>
        </w:tc>
      </w:tr>
      <w:tr>
        <w:trPr>
          <w:cantSplit/>
        </w:trPr>
        <w:tc>
          <w:tcPr>
            <w:tcW w:type="dxa" w:w="309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F5EFE3"/>
          </w:tcPr>
          <w:p>
            <w:r>
              <w:rPr>
                <w:rFonts w:ascii="Aptos" w:hAnsi="Aptos"/>
                <w:b/>
                <w:color w:val="0B2545"/>
                <w:sz w:val="17"/>
              </w:rPr>
              <w:t>Contract Drafting &amp; Review</w:t>
            </w:r>
          </w:p>
        </w:tc>
        <w:tc>
          <w:tcPr>
            <w:tcW w:type="dxa" w:w="5832"/>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Drafting, review, negotiation support, risk allocation, and enforceability analysis.</w:t>
            </w:r>
          </w:p>
        </w:tc>
      </w:tr>
      <w:tr>
        <w:trPr>
          <w:cantSplit/>
        </w:trPr>
        <w:tc>
          <w:tcPr>
            <w:tcW w:type="dxa" w:w="309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F5EFE3"/>
          </w:tcPr>
          <w:p>
            <w:r>
              <w:rPr>
                <w:rFonts w:ascii="Aptos" w:hAnsi="Aptos"/>
                <w:b/>
                <w:color w:val="0B2545"/>
                <w:sz w:val="17"/>
              </w:rPr>
              <w:t>Employment &amp; Labour Advisory</w:t>
            </w:r>
          </w:p>
        </w:tc>
        <w:tc>
          <w:tcPr>
            <w:tcW w:type="dxa" w:w="5832"/>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Employment contracts, HR policies, termination advice, workplace disputes, and labour compliance.</w:t>
            </w:r>
          </w:p>
        </w:tc>
      </w:tr>
      <w:tr>
        <w:trPr>
          <w:cantSplit/>
        </w:trPr>
        <w:tc>
          <w:tcPr>
            <w:tcW w:type="dxa" w:w="309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F5EFE3"/>
          </w:tcPr>
          <w:p>
            <w:r>
              <w:rPr>
                <w:rFonts w:ascii="Aptos" w:hAnsi="Aptos"/>
                <w:b/>
                <w:color w:val="0B2545"/>
                <w:sz w:val="17"/>
              </w:rPr>
              <w:t>Property &amp; Land Law</w:t>
            </w:r>
          </w:p>
        </w:tc>
        <w:tc>
          <w:tcPr>
            <w:tcW w:type="dxa" w:w="5832"/>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Land due diligence, leases, transfers, title review, property disputes, and development support.</w:t>
            </w:r>
          </w:p>
        </w:tc>
      </w:tr>
      <w:tr>
        <w:trPr>
          <w:cantSplit/>
        </w:trPr>
        <w:tc>
          <w:tcPr>
            <w:tcW w:type="dxa" w:w="309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F5EFE3"/>
          </w:tcPr>
          <w:p>
            <w:r>
              <w:rPr>
                <w:rFonts w:ascii="Aptos" w:hAnsi="Aptos"/>
                <w:b/>
                <w:color w:val="0B2545"/>
                <w:sz w:val="17"/>
              </w:rPr>
              <w:t>Regulatory Compliance</w:t>
            </w:r>
          </w:p>
        </w:tc>
        <w:tc>
          <w:tcPr>
            <w:tcW w:type="dxa" w:w="5832"/>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Registration, licensing, policy review, statutory obligations, and institutional compliance support.</w:t>
            </w:r>
          </w:p>
        </w:tc>
      </w:tr>
      <w:tr>
        <w:trPr>
          <w:cantSplit/>
        </w:trPr>
        <w:tc>
          <w:tcPr>
            <w:tcW w:type="dxa" w:w="309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F5EFE3"/>
          </w:tcPr>
          <w:p>
            <w:r>
              <w:rPr>
                <w:rFonts w:ascii="Aptos" w:hAnsi="Aptos"/>
                <w:b/>
                <w:color w:val="0B2545"/>
                <w:sz w:val="17"/>
              </w:rPr>
              <w:t>Arbitration &amp; Mediation</w:t>
            </w:r>
          </w:p>
        </w:tc>
        <w:tc>
          <w:tcPr>
            <w:tcW w:type="dxa" w:w="5832"/>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Alternative dispute resolution planning, representation, negotiation, and settlement documentation.</w:t>
            </w:r>
          </w:p>
        </w:tc>
      </w:tr>
      <w:tr>
        <w:trPr>
          <w:cantSplit/>
        </w:trPr>
        <w:tc>
          <w:tcPr>
            <w:tcW w:type="dxa" w:w="3096"/>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shd w:fill="F5EFE3"/>
          </w:tcPr>
          <w:p>
            <w:r>
              <w:rPr>
                <w:rFonts w:ascii="Aptos" w:hAnsi="Aptos"/>
                <w:b/>
                <w:color w:val="0B2545"/>
                <w:sz w:val="17"/>
              </w:rPr>
              <w:t>Commissioner for Oaths Services</w:t>
            </w:r>
          </w:p>
        </w:tc>
        <w:tc>
          <w:tcPr>
            <w:tcW w:type="dxa" w:w="5832"/>
            <w:tcBorders>
              <w:top w:val="single" w:sz="4" w:space="0" w:color="D7DEE8"/>
              <w:left w:val="single" w:sz="4" w:space="0" w:color="D7DEE8"/>
              <w:bottom w:val="single" w:sz="4" w:space="0" w:color="D7DEE8"/>
              <w:right w:val="single" w:sz="4" w:space="0" w:color="D7DEE8"/>
            </w:tcBorders>
            <w:tcMar>
              <w:top w:w="70" w:type="dxa"/>
              <w:start w:w="110" w:type="dxa"/>
              <w:bottom w:w="70" w:type="dxa"/>
              <w:end w:w="110" w:type="dxa"/>
            </w:tcMar>
            <w:vAlign w:val="center"/>
          </w:tcPr>
          <w:p>
            <w:r>
              <w:rPr>
                <w:rFonts w:ascii="Aptos" w:hAnsi="Aptos"/>
                <w:color w:val="2D3540"/>
                <w:sz w:val="16"/>
              </w:rPr>
              <w:t>Affidavits, declarations, certifications, witnessing, and oath services as permitted by law.</w:t>
            </w:r>
          </w:p>
        </w:tc>
      </w:tr>
    </w:tbl>
    <w:p>
      <w:r>
        <w:br w:type="page"/>
      </w:r>
    </w:p>
    <w:p>
      <w:pPr>
        <w:pStyle w:val="Heading1"/>
      </w:pPr>
      <w:r>
        <w:t>10. Service Delivery Process</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0B2545"/>
          </w:tcPr>
          <w:p>
            <w:pPr>
              <w:jc w:val="center"/>
            </w:pPr>
            <w:r>
              <w:rPr>
                <w:rFonts w:ascii="Aptos" w:hAnsi="Aptos"/>
                <w:b/>
                <w:color w:val="FFFFFF"/>
                <w:sz w:val="20"/>
              </w:rPr>
              <w:t>01</w:t>
            </w:r>
          </w:p>
        </w:tc>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FFFFFF"/>
          </w:tcPr>
          <w:p>
            <w:r>
              <w:rPr>
                <w:rFonts w:ascii="Aptos" w:hAnsi="Aptos"/>
                <w:b/>
                <w:color w:val="0B2545"/>
                <w:sz w:val="19"/>
              </w:rPr>
              <w:t>Initial Consultation</w:t>
            </w:r>
          </w:p>
          <w:p>
            <w:pPr>
              <w:spacing w:after="0"/>
            </w:pPr>
            <w:r>
              <w:rPr>
                <w:rFonts w:ascii="Aptos" w:hAnsi="Aptos"/>
                <w:color w:val="2D3540"/>
                <w:sz w:val="17"/>
              </w:rPr>
              <w:t>Understand client needs, urgency, facts, and desired outcomes.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0B2545"/>
          </w:tcPr>
          <w:p>
            <w:pPr>
              <w:jc w:val="center"/>
            </w:pPr>
            <w:r>
              <w:rPr>
                <w:rFonts w:ascii="Aptos" w:hAnsi="Aptos"/>
                <w:b/>
                <w:color w:val="FFFFFF"/>
                <w:sz w:val="20"/>
              </w:rPr>
              <w:t>02</w:t>
            </w:r>
          </w:p>
        </w:tc>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FBFCFE"/>
          </w:tcPr>
          <w:p>
            <w:r>
              <w:rPr>
                <w:rFonts w:ascii="Aptos" w:hAnsi="Aptos"/>
                <w:b/>
                <w:color w:val="0B2545"/>
                <w:sz w:val="19"/>
              </w:rPr>
              <w:t>Conflict of Interest Check</w:t>
            </w:r>
          </w:p>
          <w:p>
            <w:pPr>
              <w:spacing w:after="0"/>
            </w:pPr>
            <w:r>
              <w:rPr>
                <w:rFonts w:ascii="Aptos" w:hAnsi="Aptos"/>
                <w:color w:val="2D3540"/>
                <w:sz w:val="17"/>
              </w:rPr>
              <w:t>Confirm whether the firm can ethically accept instructions.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0B2545"/>
          </w:tcPr>
          <w:p>
            <w:pPr>
              <w:jc w:val="center"/>
            </w:pPr>
            <w:r>
              <w:rPr>
                <w:rFonts w:ascii="Aptos" w:hAnsi="Aptos"/>
                <w:b/>
                <w:color w:val="FFFFFF"/>
                <w:sz w:val="20"/>
              </w:rPr>
              <w:t>03</w:t>
            </w:r>
          </w:p>
        </w:tc>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FFFFFF"/>
          </w:tcPr>
          <w:p>
            <w:r>
              <w:rPr>
                <w:rFonts w:ascii="Aptos" w:hAnsi="Aptos"/>
                <w:b/>
                <w:color w:val="0B2545"/>
                <w:sz w:val="19"/>
              </w:rPr>
              <w:t>Engagement Agreement</w:t>
            </w:r>
          </w:p>
          <w:p>
            <w:pPr>
              <w:spacing w:after="0"/>
            </w:pPr>
            <w:r>
              <w:rPr>
                <w:rFonts w:ascii="Aptos" w:hAnsi="Aptos"/>
                <w:color w:val="2D3540"/>
                <w:sz w:val="17"/>
              </w:rPr>
              <w:t>Agree scope, fees, responsibilities, confidentiality, and deliverables.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0B2545"/>
          </w:tcPr>
          <w:p>
            <w:pPr>
              <w:jc w:val="center"/>
            </w:pPr>
            <w:r>
              <w:rPr>
                <w:rFonts w:ascii="Aptos" w:hAnsi="Aptos"/>
                <w:b/>
                <w:color w:val="FFFFFF"/>
                <w:sz w:val="20"/>
              </w:rPr>
              <w:t>04</w:t>
            </w:r>
          </w:p>
        </w:tc>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FBFCFE"/>
          </w:tcPr>
          <w:p>
            <w:r>
              <w:rPr>
                <w:rFonts w:ascii="Aptos" w:hAnsi="Aptos"/>
                <w:b/>
                <w:color w:val="0B2545"/>
                <w:sz w:val="19"/>
              </w:rPr>
              <w:t>Matter Assessment</w:t>
            </w:r>
          </w:p>
          <w:p>
            <w:pPr>
              <w:spacing w:after="0"/>
            </w:pPr>
            <w:r>
              <w:rPr>
                <w:rFonts w:ascii="Aptos" w:hAnsi="Aptos"/>
                <w:color w:val="2D3540"/>
                <w:sz w:val="17"/>
              </w:rPr>
              <w:t>Review documents, facts, applicable law, risks, and procedural options.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0B2545"/>
          </w:tcPr>
          <w:p>
            <w:pPr>
              <w:jc w:val="center"/>
            </w:pPr>
            <w:r>
              <w:rPr>
                <w:rFonts w:ascii="Aptos" w:hAnsi="Aptos"/>
                <w:b/>
                <w:color w:val="FFFFFF"/>
                <w:sz w:val="20"/>
              </w:rPr>
              <w:t>05</w:t>
            </w:r>
          </w:p>
        </w:tc>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FFFFFF"/>
          </w:tcPr>
          <w:p>
            <w:r>
              <w:rPr>
                <w:rFonts w:ascii="Aptos" w:hAnsi="Aptos"/>
                <w:b/>
                <w:color w:val="0B2545"/>
                <w:sz w:val="19"/>
              </w:rPr>
              <w:t>Legal Strategy Development</w:t>
            </w:r>
          </w:p>
          <w:p>
            <w:pPr>
              <w:spacing w:after="0"/>
            </w:pPr>
            <w:r>
              <w:rPr>
                <w:rFonts w:ascii="Aptos" w:hAnsi="Aptos"/>
                <w:color w:val="2D3540"/>
                <w:sz w:val="17"/>
              </w:rPr>
              <w:t>Prepare practical legal approach aligned with client objectives.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0B2545"/>
          </w:tcPr>
          <w:p>
            <w:pPr>
              <w:jc w:val="center"/>
            </w:pPr>
            <w:r>
              <w:rPr>
                <w:rFonts w:ascii="Aptos" w:hAnsi="Aptos"/>
                <w:b/>
                <w:color w:val="FFFFFF"/>
                <w:sz w:val="20"/>
              </w:rPr>
              <w:t>06</w:t>
            </w:r>
          </w:p>
        </w:tc>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FBFCFE"/>
          </w:tcPr>
          <w:p>
            <w:r>
              <w:rPr>
                <w:rFonts w:ascii="Aptos" w:hAnsi="Aptos"/>
                <w:b/>
                <w:color w:val="0B2545"/>
                <w:sz w:val="19"/>
              </w:rPr>
              <w:t>Implementation &amp; Representation</w:t>
            </w:r>
          </w:p>
          <w:p>
            <w:pPr>
              <w:spacing w:after="0"/>
            </w:pPr>
            <w:r>
              <w:rPr>
                <w:rFonts w:ascii="Aptos" w:hAnsi="Aptos"/>
                <w:color w:val="2D3540"/>
                <w:sz w:val="17"/>
              </w:rPr>
              <w:t>Draft, negotiate, advise, file, appear, or represent as agreed.</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0B2545"/>
          </w:tcPr>
          <w:p>
            <w:pPr>
              <w:jc w:val="center"/>
            </w:pPr>
            <w:r>
              <w:rPr>
                <w:rFonts w:ascii="Aptos" w:hAnsi="Aptos"/>
                <w:b/>
                <w:color w:val="FFFFFF"/>
                <w:sz w:val="20"/>
              </w:rPr>
              <w:t>07</w:t>
            </w:r>
          </w:p>
        </w:tc>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FFFFFF"/>
          </w:tcPr>
          <w:p>
            <w:r>
              <w:rPr>
                <w:rFonts w:ascii="Aptos" w:hAnsi="Aptos"/>
                <w:b/>
                <w:color w:val="0B2545"/>
                <w:sz w:val="19"/>
              </w:rPr>
              <w:t>Client Reporting &amp; Updates</w:t>
            </w:r>
          </w:p>
          <w:p>
            <w:pPr>
              <w:spacing w:after="0"/>
            </w:pPr>
            <w:r>
              <w:rPr>
                <w:rFonts w:ascii="Aptos" w:hAnsi="Aptos"/>
                <w:color w:val="2D3540"/>
                <w:sz w:val="17"/>
              </w:rPr>
              <w:t>Provide progress updates, next steps, and documentation status.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0B2545"/>
          </w:tcPr>
          <w:p>
            <w:pPr>
              <w:jc w:val="center"/>
            </w:pPr>
            <w:r>
              <w:rPr>
                <w:rFonts w:ascii="Aptos" w:hAnsi="Aptos"/>
                <w:b/>
                <w:color w:val="FFFFFF"/>
                <w:sz w:val="20"/>
              </w:rPr>
              <w:t>08</w:t>
            </w:r>
          </w:p>
        </w:tc>
        <w:tc>
          <w:tcPr>
            <w:tcW w:type="dxa" w:w="4939"/>
            <w:tcBorders>
              <w:top w:val="single" w:sz="4" w:space="0" w:color="D7DEE8"/>
              <w:left w:val="single" w:sz="4" w:space="0" w:color="D7DEE8"/>
              <w:bottom w:val="single" w:sz="4" w:space="0" w:color="D7DEE8"/>
              <w:right w:val="single" w:sz="4" w:space="0" w:color="D7DEE8"/>
            </w:tcBorders>
            <w:tcMar>
              <w:top w:w="90" w:type="dxa"/>
              <w:start w:w="120" w:type="dxa"/>
              <w:bottom w:w="90" w:type="dxa"/>
              <w:end w:w="120" w:type="dxa"/>
            </w:tcMar>
            <w:vAlign w:val="center"/>
            <w:shd w:fill="FBFCFE"/>
          </w:tcPr>
          <w:p>
            <w:r>
              <w:rPr>
                <w:rFonts w:ascii="Aptos" w:hAnsi="Aptos"/>
                <w:b/>
                <w:color w:val="0B2545"/>
                <w:sz w:val="19"/>
              </w:rPr>
              <w:t>Matter Closure &amp; Follow-up</w:t>
            </w:r>
          </w:p>
          <w:p>
            <w:pPr>
              <w:spacing w:after="0"/>
            </w:pPr>
            <w:r>
              <w:rPr>
                <w:rFonts w:ascii="Aptos" w:hAnsi="Aptos"/>
                <w:color w:val="2D3540"/>
                <w:sz w:val="17"/>
              </w:rPr>
              <w:t>Close the file, document outcomes, and advise on future obligations.</w:t>
            </w:r>
          </w:p>
        </w:tc>
      </w:tr>
    </w:tbl>
    <w:p>
      <w:pPr>
        <w:pStyle w:val="Heading1"/>
      </w:pPr>
      <w:r>
        <w:t>11. Industries Served</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NGOs and Humanitarian Organizations</w:t>
            </w:r>
          </w:p>
          <w:p>
            <w:pPr>
              <w:spacing w:after="0"/>
            </w:pPr>
            <w:r>
              <w:rPr>
                <w:rFonts w:ascii="Aptos" w:hAnsi="Aptos"/>
                <w:color w:val="2D3540"/>
                <w:sz w:val="17"/>
              </w:rPr>
              <w:t>Compliance, contracts, employment, partnerships, registrations, and operational legal support.</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Government Institutions</w:t>
            </w:r>
          </w:p>
          <w:p>
            <w:pPr>
              <w:spacing w:after="0"/>
            </w:pPr>
            <w:r>
              <w:rPr>
                <w:rFonts w:ascii="Aptos" w:hAnsi="Aptos"/>
                <w:color w:val="2D3540"/>
                <w:sz w:val="17"/>
              </w:rPr>
              <w:t>Advisory, documentation, dispute support, procurement-related legal review, and institutional representation.</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Financial Institutions</w:t>
            </w:r>
          </w:p>
          <w:p>
            <w:pPr>
              <w:spacing w:after="0"/>
            </w:pPr>
            <w:r>
              <w:rPr>
                <w:rFonts w:ascii="Aptos" w:hAnsi="Aptos"/>
                <w:color w:val="2D3540"/>
                <w:sz w:val="17"/>
              </w:rPr>
              <w:t>Security documentation, recovery matters, regulatory compliance, contracts, and dispute resolution.</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Construction and Engineering Companies</w:t>
            </w:r>
          </w:p>
          <w:p>
            <w:pPr>
              <w:spacing w:after="0"/>
            </w:pPr>
            <w:r>
              <w:rPr>
                <w:rFonts w:ascii="Aptos" w:hAnsi="Aptos"/>
                <w:color w:val="2D3540"/>
                <w:sz w:val="17"/>
              </w:rPr>
              <w:t>Project contracts, claims, land issues, employment matters, and commercial disputes.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Telecommunications</w:t>
            </w:r>
          </w:p>
          <w:p>
            <w:pPr>
              <w:spacing w:after="0"/>
            </w:pPr>
            <w:r>
              <w:rPr>
                <w:rFonts w:ascii="Aptos" w:hAnsi="Aptos"/>
                <w:color w:val="2D3540"/>
                <w:sz w:val="17"/>
              </w:rPr>
              <w:t>Commercial agreements, compliance, employment, licensing support, and dispute management.</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Oil and Gas</w:t>
            </w:r>
          </w:p>
          <w:p>
            <w:pPr>
              <w:spacing w:after="0"/>
            </w:pPr>
            <w:r>
              <w:rPr>
                <w:rFonts w:ascii="Aptos" w:hAnsi="Aptos"/>
                <w:color w:val="2D3540"/>
                <w:sz w:val="17"/>
              </w:rPr>
              <w:t>Regulatory advisory, contract review, land and community matters, employment, and compliance support.</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Agriculture</w:t>
            </w:r>
          </w:p>
          <w:p>
            <w:pPr>
              <w:spacing w:after="0"/>
            </w:pPr>
            <w:r>
              <w:rPr>
                <w:rFonts w:ascii="Aptos" w:hAnsi="Aptos"/>
                <w:color w:val="2D3540"/>
                <w:sz w:val="17"/>
              </w:rPr>
              <w:t>Land, supply contracts, cooperatives, employment, regulatory issues, and transaction support.</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Real Estate and Property Development</w:t>
            </w:r>
          </w:p>
          <w:p>
            <w:pPr>
              <w:spacing w:after="0"/>
            </w:pPr>
            <w:r>
              <w:rPr>
                <w:rFonts w:ascii="Aptos" w:hAnsi="Aptos"/>
                <w:color w:val="2D3540"/>
                <w:sz w:val="17"/>
              </w:rPr>
              <w:t>Due diligence, leases, sales, transfers, title review, and property disputes.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FFFFF"/>
          </w:tcPr>
          <w:p>
            <w:r>
              <w:rPr>
                <w:rFonts w:ascii="Aptos" w:hAnsi="Aptos"/>
                <w:b/>
                <w:color w:val="0B2545"/>
                <w:sz w:val="19"/>
              </w:rPr>
              <w:t>Education Institutions</w:t>
            </w:r>
          </w:p>
          <w:p>
            <w:pPr>
              <w:spacing w:after="0"/>
            </w:pPr>
            <w:r>
              <w:rPr>
                <w:rFonts w:ascii="Aptos" w:hAnsi="Aptos"/>
                <w:color w:val="2D3540"/>
                <w:sz w:val="17"/>
              </w:rPr>
              <w:t>Governance, employment, policies, contracts, compliance, and dispute resolution.</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BFCFE"/>
          </w:tcPr>
          <w:p>
            <w:r>
              <w:rPr>
                <w:rFonts w:ascii="Aptos" w:hAnsi="Aptos"/>
                <w:b/>
                <w:color w:val="0B2545"/>
                <w:sz w:val="19"/>
              </w:rPr>
              <w:t>SMEs and Startups</w:t>
            </w:r>
          </w:p>
          <w:p>
            <w:pPr>
              <w:spacing w:after="0"/>
            </w:pPr>
            <w:r>
              <w:rPr>
                <w:rFonts w:ascii="Aptos" w:hAnsi="Aptos"/>
                <w:color w:val="2D3540"/>
                <w:sz w:val="17"/>
              </w:rPr>
              <w:t>Formation, contracts, advisory retainers, employment, intellectual property referrals, and growth-stage legal support.</w:t>
            </w:r>
          </w:p>
        </w:tc>
      </w:tr>
    </w:tbl>
    <w:p>
      <w:pPr>
        <w:pStyle w:val="Heading1"/>
      </w:pPr>
      <w:r>
        <w:t>12. Geographic Coverage</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Juba</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Head office support, institutional meetings, court representation, client advisory, and documentation services.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Central Equatoria</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Regional advisory, property matters, dispute support, institutional engagement, and client representation.</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Western Equatoria</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Representation and advisory support through case-specific arrangements and partner coordination.</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Eastern Equatoria</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Legal support for client matters requiring regional coordination and field-level engagement.</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Nationwide Representation</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Representation across South Sudan subject to jurisdiction, logistics, and formal engagement terms.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Regional / East African Legal Support</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Cross-border support through professional networks, referrals, and regional collaboration where appropriate.</w:t>
            </w:r>
          </w:p>
        </w:tc>
      </w:tr>
    </w:tbl>
    <w:p>
      <w:r>
        <w:br w:type="page"/>
      </w:r>
    </w:p>
    <w:p>
      <w:pPr>
        <w:pStyle w:val="Heading1"/>
      </w:pPr>
      <w:r>
        <w:t>13. Our Team</w:t>
      </w:r>
    </w:p>
    <w:p>
      <w:r>
        <w:rPr>
          <w:rFonts w:ascii="Aptos" w:hAnsi="Aptos"/>
        </w:rPr>
        <w:t>The firm may replace the placeholders below with approved biographies, professional portraits, qualifications, bar admissions, and selected experience.</w:t>
      </w:r>
    </w:p>
    <w:tbl>
      <w:tblPr>
        <w:tblW w:type="auto" w:w="0"/>
        <w:jc w:val="center"/>
        <w:tblLayout w:type="fixed"/>
        <w:tblLook w:firstColumn="1" w:firstRow="1" w:lastColumn="0" w:lastRow="0" w:noHBand="0" w:noVBand="1" w:val="04A0"/>
      </w:tblPr>
      <w:tblGrid>
        <w:gridCol w:w="4939"/>
        <w:gridCol w:w="4939"/>
      </w:tblGrid>
      <w:tr>
        <w:trPr>
          <w:cantSplit/>
        </w:trPr>
        <w:tc>
          <w:tcPr>
            <w:tcW w:type="dxa" w:w="2232"/>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shd w:fill="FAFAFA"/>
          </w:tcPr>
          <w:p>
            <w:pPr>
              <w:spacing w:after="0"/>
              <w:jc w:val="center"/>
            </w:pPr>
            <w:r>
              <w:rPr>
                <w:rFonts w:ascii="Aptos" w:hAnsi="Aptos"/>
                <w:i/>
                <w:color w:val="596069"/>
                <w:sz w:val="17"/>
              </w:rPr>
              <w:t>[Insert Professional Photo]</w:t>
            </w:r>
          </w:p>
        </w:tc>
        <w:tc>
          <w:tcPr>
            <w:tcW w:type="dxa" w:w="6696"/>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tcPr>
          <w:p>
            <w:r>
              <w:rPr>
                <w:rFonts w:ascii="Aptos" w:hAnsi="Aptos"/>
                <w:b/>
                <w:color w:val="0B2545"/>
                <w:sz w:val="21"/>
              </w:rPr>
              <w:t>Managing Partner Profile Template</w:t>
            </w:r>
          </w:p>
          <w:p>
            <w:pPr>
              <w:spacing w:after="20"/>
            </w:pPr>
            <w:r>
              <w:rPr>
                <w:rFonts w:ascii="Aptos" w:hAnsi="Aptos"/>
                <w:b/>
                <w:color w:val="0B2545"/>
                <w:sz w:val="18"/>
              </w:rPr>
              <w:t xml:space="preserve">Name: </w:t>
            </w:r>
            <w:r>
              <w:rPr>
                <w:rFonts w:ascii="Aptos" w:hAnsi="Aptos"/>
                <w:color w:val="2D3540"/>
                <w:sz w:val="18"/>
              </w:rPr>
              <w:t>[Insert Managing Partner Name]</w:t>
            </w:r>
          </w:p>
          <w:p>
            <w:pPr>
              <w:spacing w:after="20"/>
            </w:pPr>
            <w:r>
              <w:rPr>
                <w:rFonts w:ascii="Aptos" w:hAnsi="Aptos"/>
                <w:b/>
                <w:color w:val="0B2545"/>
                <w:sz w:val="18"/>
              </w:rPr>
              <w:t xml:space="preserve">Position: </w:t>
            </w:r>
            <w:r>
              <w:rPr>
                <w:rFonts w:ascii="Aptos" w:hAnsi="Aptos"/>
                <w:color w:val="2D3540"/>
                <w:sz w:val="18"/>
              </w:rPr>
              <w:t>Managing Partner</w:t>
            </w:r>
          </w:p>
          <w:p>
            <w:pPr>
              <w:spacing w:after="20"/>
            </w:pPr>
            <w:r>
              <w:rPr>
                <w:rFonts w:ascii="Aptos" w:hAnsi="Aptos"/>
                <w:b/>
                <w:color w:val="0B2545"/>
                <w:sz w:val="18"/>
              </w:rPr>
              <w:t xml:space="preserve">Qualifications: </w:t>
            </w:r>
            <w:r>
              <w:rPr>
                <w:rFonts w:ascii="Aptos" w:hAnsi="Aptos"/>
                <w:color w:val="2D3540"/>
                <w:sz w:val="18"/>
              </w:rPr>
              <w:t>[Insert degrees, bar admission, certifications, and professional memberships]</w:t>
            </w:r>
          </w:p>
          <w:p>
            <w:pPr>
              <w:spacing w:after="20"/>
            </w:pPr>
            <w:r>
              <w:rPr>
                <w:rFonts w:ascii="Aptos" w:hAnsi="Aptos"/>
                <w:b/>
                <w:color w:val="0B2545"/>
                <w:sz w:val="18"/>
              </w:rPr>
              <w:t xml:space="preserve">Experience: </w:t>
            </w:r>
            <w:r>
              <w:rPr>
                <w:rFonts w:ascii="Aptos" w:hAnsi="Aptos"/>
                <w:color w:val="2D3540"/>
                <w:sz w:val="18"/>
              </w:rPr>
              <w:t>[Insert years of practice, notable legal experience, and sector exposure]</w:t>
            </w:r>
          </w:p>
          <w:p>
            <w:pPr>
              <w:spacing w:after="20"/>
            </w:pPr>
            <w:r>
              <w:rPr>
                <w:rFonts w:ascii="Aptos" w:hAnsi="Aptos"/>
                <w:b/>
                <w:color w:val="0B2545"/>
                <w:sz w:val="18"/>
              </w:rPr>
              <w:t xml:space="preserve">Expertise: </w:t>
            </w:r>
            <w:r>
              <w:rPr>
                <w:rFonts w:ascii="Aptos" w:hAnsi="Aptos"/>
                <w:color w:val="2D3540"/>
                <w:sz w:val="18"/>
              </w:rPr>
              <w:t>[Insert principal practice areas and specialist capabilities]</w:t>
            </w:r>
          </w:p>
        </w:tc>
      </w:tr>
    </w:tbl>
    <w:tbl>
      <w:tblPr>
        <w:tblW w:type="auto" w:w="0"/>
        <w:jc w:val="center"/>
        <w:tblLayout w:type="fixed"/>
        <w:tblLook w:firstColumn="1" w:firstRow="1" w:lastColumn="0" w:lastRow="0" w:noHBand="0" w:noVBand="1" w:val="04A0"/>
      </w:tblPr>
      <w:tblGrid>
        <w:gridCol w:w="4939"/>
        <w:gridCol w:w="4939"/>
      </w:tblGrid>
      <w:tr>
        <w:trPr>
          <w:cantSplit/>
        </w:trPr>
        <w:tc>
          <w:tcPr>
            <w:tcW w:type="dxa" w:w="2232"/>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shd w:fill="FAFAFA"/>
          </w:tcPr>
          <w:p>
            <w:pPr>
              <w:spacing w:after="0"/>
              <w:jc w:val="center"/>
            </w:pPr>
            <w:r>
              <w:rPr>
                <w:rFonts w:ascii="Aptos" w:hAnsi="Aptos"/>
                <w:i/>
                <w:color w:val="596069"/>
                <w:sz w:val="17"/>
              </w:rPr>
              <w:t>[Insert Professional Photo]</w:t>
            </w:r>
          </w:p>
        </w:tc>
        <w:tc>
          <w:tcPr>
            <w:tcW w:type="dxa" w:w="6696"/>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tcPr>
          <w:p>
            <w:r>
              <w:rPr>
                <w:rFonts w:ascii="Aptos" w:hAnsi="Aptos"/>
                <w:b/>
                <w:color w:val="0B2545"/>
                <w:sz w:val="21"/>
              </w:rPr>
              <w:t>Senior Advocate Profile Template</w:t>
            </w:r>
          </w:p>
          <w:p>
            <w:pPr>
              <w:spacing w:after="20"/>
            </w:pPr>
            <w:r>
              <w:rPr>
                <w:rFonts w:ascii="Aptos" w:hAnsi="Aptos"/>
                <w:b/>
                <w:color w:val="0B2545"/>
                <w:sz w:val="18"/>
              </w:rPr>
              <w:t xml:space="preserve">Name: </w:t>
            </w:r>
            <w:r>
              <w:rPr>
                <w:rFonts w:ascii="Aptos" w:hAnsi="Aptos"/>
                <w:color w:val="2D3540"/>
                <w:sz w:val="18"/>
              </w:rPr>
              <w:t>[Insert Senior Advocate Name]</w:t>
            </w:r>
          </w:p>
          <w:p>
            <w:pPr>
              <w:spacing w:after="20"/>
            </w:pPr>
            <w:r>
              <w:rPr>
                <w:rFonts w:ascii="Aptos" w:hAnsi="Aptos"/>
                <w:b/>
                <w:color w:val="0B2545"/>
                <w:sz w:val="18"/>
              </w:rPr>
              <w:t xml:space="preserve">Position: </w:t>
            </w:r>
            <w:r>
              <w:rPr>
                <w:rFonts w:ascii="Aptos" w:hAnsi="Aptos"/>
                <w:color w:val="2D3540"/>
                <w:sz w:val="18"/>
              </w:rPr>
              <w:t>Senior Advocate</w:t>
            </w:r>
          </w:p>
          <w:p>
            <w:pPr>
              <w:spacing w:after="20"/>
            </w:pPr>
            <w:r>
              <w:rPr>
                <w:rFonts w:ascii="Aptos" w:hAnsi="Aptos"/>
                <w:b/>
                <w:color w:val="0B2545"/>
                <w:sz w:val="18"/>
              </w:rPr>
              <w:t xml:space="preserve">Qualifications: </w:t>
            </w:r>
            <w:r>
              <w:rPr>
                <w:rFonts w:ascii="Aptos" w:hAnsi="Aptos"/>
                <w:color w:val="2D3540"/>
                <w:sz w:val="18"/>
              </w:rPr>
              <w:t>[Insert degrees, bar admission, certifications, and professional memberships]</w:t>
            </w:r>
          </w:p>
          <w:p>
            <w:pPr>
              <w:spacing w:after="20"/>
            </w:pPr>
            <w:r>
              <w:rPr>
                <w:rFonts w:ascii="Aptos" w:hAnsi="Aptos"/>
                <w:b/>
                <w:color w:val="0B2545"/>
                <w:sz w:val="18"/>
              </w:rPr>
              <w:t xml:space="preserve">Experience: </w:t>
            </w:r>
            <w:r>
              <w:rPr>
                <w:rFonts w:ascii="Aptos" w:hAnsi="Aptos"/>
                <w:color w:val="2D3540"/>
                <w:sz w:val="18"/>
              </w:rPr>
              <w:t>[Insert years of practice, notable legal experience, and sector exposure]</w:t>
            </w:r>
          </w:p>
          <w:p>
            <w:pPr>
              <w:spacing w:after="20"/>
            </w:pPr>
            <w:r>
              <w:rPr>
                <w:rFonts w:ascii="Aptos" w:hAnsi="Aptos"/>
                <w:b/>
                <w:color w:val="0B2545"/>
                <w:sz w:val="18"/>
              </w:rPr>
              <w:t xml:space="preserve">Expertise: </w:t>
            </w:r>
            <w:r>
              <w:rPr>
                <w:rFonts w:ascii="Aptos" w:hAnsi="Aptos"/>
                <w:color w:val="2D3540"/>
                <w:sz w:val="18"/>
              </w:rPr>
              <w:t>[Insert principal practice areas and specialist capabilities]</w:t>
            </w:r>
          </w:p>
        </w:tc>
      </w:tr>
    </w:tbl>
    <w:tbl>
      <w:tblPr>
        <w:tblW w:type="auto" w:w="0"/>
        <w:jc w:val="center"/>
        <w:tblLayout w:type="fixed"/>
        <w:tblLook w:firstColumn="1" w:firstRow="1" w:lastColumn="0" w:lastRow="0" w:noHBand="0" w:noVBand="1" w:val="04A0"/>
      </w:tblPr>
      <w:tblGrid>
        <w:gridCol w:w="4939"/>
        <w:gridCol w:w="4939"/>
      </w:tblGrid>
      <w:tr>
        <w:trPr>
          <w:cantSplit/>
        </w:trPr>
        <w:tc>
          <w:tcPr>
            <w:tcW w:type="dxa" w:w="2232"/>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shd w:fill="FAFAFA"/>
          </w:tcPr>
          <w:p>
            <w:pPr>
              <w:spacing w:after="0"/>
              <w:jc w:val="center"/>
            </w:pPr>
            <w:r>
              <w:rPr>
                <w:rFonts w:ascii="Aptos" w:hAnsi="Aptos"/>
                <w:i/>
                <w:color w:val="596069"/>
                <w:sz w:val="17"/>
              </w:rPr>
              <w:t>[Insert Professional Photo]</w:t>
            </w:r>
          </w:p>
        </w:tc>
        <w:tc>
          <w:tcPr>
            <w:tcW w:type="dxa" w:w="6696"/>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tcPr>
          <w:p>
            <w:r>
              <w:rPr>
                <w:rFonts w:ascii="Aptos" w:hAnsi="Aptos"/>
                <w:b/>
                <w:color w:val="0B2545"/>
                <w:sz w:val="21"/>
              </w:rPr>
              <w:t>Associate Advocate Profile Template</w:t>
            </w:r>
          </w:p>
          <w:p>
            <w:pPr>
              <w:spacing w:after="20"/>
            </w:pPr>
            <w:r>
              <w:rPr>
                <w:rFonts w:ascii="Aptos" w:hAnsi="Aptos"/>
                <w:b/>
                <w:color w:val="0B2545"/>
                <w:sz w:val="18"/>
              </w:rPr>
              <w:t xml:space="preserve">Name: </w:t>
            </w:r>
            <w:r>
              <w:rPr>
                <w:rFonts w:ascii="Aptos" w:hAnsi="Aptos"/>
                <w:color w:val="2D3540"/>
                <w:sz w:val="18"/>
              </w:rPr>
              <w:t>[Insert Associate Advocate Name]</w:t>
            </w:r>
          </w:p>
          <w:p>
            <w:pPr>
              <w:spacing w:after="20"/>
            </w:pPr>
            <w:r>
              <w:rPr>
                <w:rFonts w:ascii="Aptos" w:hAnsi="Aptos"/>
                <w:b/>
                <w:color w:val="0B2545"/>
                <w:sz w:val="18"/>
              </w:rPr>
              <w:t xml:space="preserve">Position: </w:t>
            </w:r>
            <w:r>
              <w:rPr>
                <w:rFonts w:ascii="Aptos" w:hAnsi="Aptos"/>
                <w:color w:val="2D3540"/>
                <w:sz w:val="18"/>
              </w:rPr>
              <w:t>Associate Advocate</w:t>
            </w:r>
          </w:p>
          <w:p>
            <w:pPr>
              <w:spacing w:after="20"/>
            </w:pPr>
            <w:r>
              <w:rPr>
                <w:rFonts w:ascii="Aptos" w:hAnsi="Aptos"/>
                <w:b/>
                <w:color w:val="0B2545"/>
                <w:sz w:val="18"/>
              </w:rPr>
              <w:t xml:space="preserve">Qualifications: </w:t>
            </w:r>
            <w:r>
              <w:rPr>
                <w:rFonts w:ascii="Aptos" w:hAnsi="Aptos"/>
                <w:color w:val="2D3540"/>
                <w:sz w:val="18"/>
              </w:rPr>
              <w:t>[Insert degrees, bar admission, certifications, and professional memberships]</w:t>
            </w:r>
          </w:p>
          <w:p>
            <w:pPr>
              <w:spacing w:after="20"/>
            </w:pPr>
            <w:r>
              <w:rPr>
                <w:rFonts w:ascii="Aptos" w:hAnsi="Aptos"/>
                <w:b/>
                <w:color w:val="0B2545"/>
                <w:sz w:val="18"/>
              </w:rPr>
              <w:t xml:space="preserve">Experience: </w:t>
            </w:r>
            <w:r>
              <w:rPr>
                <w:rFonts w:ascii="Aptos" w:hAnsi="Aptos"/>
                <w:color w:val="2D3540"/>
                <w:sz w:val="18"/>
              </w:rPr>
              <w:t>[Insert years of practice, notable legal experience, and sector exposure]</w:t>
            </w:r>
          </w:p>
          <w:p>
            <w:pPr>
              <w:spacing w:after="20"/>
            </w:pPr>
            <w:r>
              <w:rPr>
                <w:rFonts w:ascii="Aptos" w:hAnsi="Aptos"/>
                <w:b/>
                <w:color w:val="0B2545"/>
                <w:sz w:val="18"/>
              </w:rPr>
              <w:t xml:space="preserve">Expertise: </w:t>
            </w:r>
            <w:r>
              <w:rPr>
                <w:rFonts w:ascii="Aptos" w:hAnsi="Aptos"/>
                <w:color w:val="2D3540"/>
                <w:sz w:val="18"/>
              </w:rPr>
              <w:t>[Insert principal practice areas and specialist capabilities]</w:t>
            </w:r>
          </w:p>
        </w:tc>
      </w:tr>
    </w:tbl>
    <w:tbl>
      <w:tblPr>
        <w:tblW w:type="auto" w:w="0"/>
        <w:jc w:val="center"/>
        <w:tblLayout w:type="fixed"/>
        <w:tblLook w:firstColumn="1" w:firstRow="1" w:lastColumn="0" w:lastRow="0" w:noHBand="0" w:noVBand="1" w:val="04A0"/>
      </w:tblPr>
      <w:tblGrid>
        <w:gridCol w:w="4939"/>
        <w:gridCol w:w="4939"/>
      </w:tblGrid>
      <w:tr>
        <w:trPr>
          <w:cantSplit/>
        </w:trPr>
        <w:tc>
          <w:tcPr>
            <w:tcW w:type="dxa" w:w="2232"/>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shd w:fill="FAFAFA"/>
          </w:tcPr>
          <w:p>
            <w:pPr>
              <w:spacing w:after="0"/>
              <w:jc w:val="center"/>
            </w:pPr>
            <w:r>
              <w:rPr>
                <w:rFonts w:ascii="Aptos" w:hAnsi="Aptos"/>
                <w:i/>
                <w:color w:val="596069"/>
                <w:sz w:val="17"/>
              </w:rPr>
              <w:t>[Insert Professional Photo]</w:t>
            </w:r>
          </w:p>
        </w:tc>
        <w:tc>
          <w:tcPr>
            <w:tcW w:type="dxa" w:w="6696"/>
            <w:tcBorders>
              <w:top w:val="single" w:sz="4" w:space="0" w:color="D7DEE8"/>
              <w:left w:val="single" w:sz="4" w:space="0" w:color="D7DEE8"/>
              <w:bottom w:val="single" w:sz="4" w:space="0" w:color="D7DEE8"/>
              <w:right w:val="single" w:sz="4" w:space="0" w:color="D7DEE8"/>
            </w:tcBorders>
            <w:tcMar>
              <w:top w:w="120" w:type="dxa"/>
              <w:start w:w="140" w:type="dxa"/>
              <w:bottom w:w="120" w:type="dxa"/>
              <w:end w:w="140" w:type="dxa"/>
            </w:tcMar>
            <w:vAlign w:val="top"/>
          </w:tcPr>
          <w:p>
            <w:r>
              <w:rPr>
                <w:rFonts w:ascii="Aptos" w:hAnsi="Aptos"/>
                <w:b/>
                <w:color w:val="0B2545"/>
                <w:sz w:val="21"/>
              </w:rPr>
              <w:t>Legal Researcher / Legal Assistant Template</w:t>
            </w:r>
          </w:p>
          <w:p>
            <w:pPr>
              <w:spacing w:after="20"/>
            </w:pPr>
            <w:r>
              <w:rPr>
                <w:rFonts w:ascii="Aptos" w:hAnsi="Aptos"/>
                <w:b/>
                <w:color w:val="0B2545"/>
                <w:sz w:val="18"/>
              </w:rPr>
              <w:t xml:space="preserve">Name: </w:t>
            </w:r>
            <w:r>
              <w:rPr>
                <w:rFonts w:ascii="Aptos" w:hAnsi="Aptos"/>
                <w:color w:val="2D3540"/>
                <w:sz w:val="18"/>
              </w:rPr>
              <w:t>[Insert Team Member Name]</w:t>
            </w:r>
          </w:p>
          <w:p>
            <w:pPr>
              <w:spacing w:after="20"/>
            </w:pPr>
            <w:r>
              <w:rPr>
                <w:rFonts w:ascii="Aptos" w:hAnsi="Aptos"/>
                <w:b/>
                <w:color w:val="0B2545"/>
                <w:sz w:val="18"/>
              </w:rPr>
              <w:t xml:space="preserve">Position: </w:t>
            </w:r>
            <w:r>
              <w:rPr>
                <w:rFonts w:ascii="Aptos" w:hAnsi="Aptos"/>
                <w:color w:val="2D3540"/>
                <w:sz w:val="18"/>
              </w:rPr>
              <w:t>[Insert Position]</w:t>
            </w:r>
          </w:p>
          <w:p>
            <w:pPr>
              <w:spacing w:after="20"/>
            </w:pPr>
            <w:r>
              <w:rPr>
                <w:rFonts w:ascii="Aptos" w:hAnsi="Aptos"/>
                <w:b/>
                <w:color w:val="0B2545"/>
                <w:sz w:val="18"/>
              </w:rPr>
              <w:t xml:space="preserve">Qualifications: </w:t>
            </w:r>
            <w:r>
              <w:rPr>
                <w:rFonts w:ascii="Aptos" w:hAnsi="Aptos"/>
                <w:color w:val="2D3540"/>
                <w:sz w:val="18"/>
              </w:rPr>
              <w:t>[Insert degrees, bar admission, certifications, and professional memberships]</w:t>
            </w:r>
          </w:p>
          <w:p>
            <w:pPr>
              <w:spacing w:after="20"/>
            </w:pPr>
            <w:r>
              <w:rPr>
                <w:rFonts w:ascii="Aptos" w:hAnsi="Aptos"/>
                <w:b/>
                <w:color w:val="0B2545"/>
                <w:sz w:val="18"/>
              </w:rPr>
              <w:t xml:space="preserve">Experience: </w:t>
            </w:r>
            <w:r>
              <w:rPr>
                <w:rFonts w:ascii="Aptos" w:hAnsi="Aptos"/>
                <w:color w:val="2D3540"/>
                <w:sz w:val="18"/>
              </w:rPr>
              <w:t>[Insert years of practice, notable legal experience, and sector exposure]</w:t>
            </w:r>
          </w:p>
          <w:p>
            <w:pPr>
              <w:spacing w:after="20"/>
            </w:pPr>
            <w:r>
              <w:rPr>
                <w:rFonts w:ascii="Aptos" w:hAnsi="Aptos"/>
                <w:b/>
                <w:color w:val="0B2545"/>
                <w:sz w:val="18"/>
              </w:rPr>
              <w:t xml:space="preserve">Expertise: </w:t>
            </w:r>
            <w:r>
              <w:rPr>
                <w:rFonts w:ascii="Aptos" w:hAnsi="Aptos"/>
                <w:color w:val="2D3540"/>
                <w:sz w:val="18"/>
              </w:rPr>
              <w:t>[Insert principal practice areas and specialist capabilities]</w:t>
            </w:r>
          </w:p>
        </w:tc>
      </w:tr>
    </w:tbl>
    <w:p>
      <w:pPr>
        <w:pStyle w:val="Heading1"/>
      </w:pPr>
      <w:r>
        <w:t>14. Why Clients Trust Us</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CONF  Confidentiality</w:t>
            </w:r>
          </w:p>
          <w:p>
            <w:pPr>
              <w:spacing w:after="0"/>
            </w:pPr>
            <w:r>
              <w:rPr>
                <w:rFonts w:ascii="Aptos" w:hAnsi="Aptos"/>
                <w:color w:val="2D3540"/>
                <w:sz w:val="17"/>
              </w:rPr>
              <w:t>Strict handling of sensitive legal, personal, commercial, and institutional information.</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r>
              <w:rPr>
                <w:rFonts w:ascii="Aptos" w:hAnsi="Aptos"/>
                <w:b/>
                <w:color w:val="0B2545"/>
                <w:sz w:val="19"/>
              </w:rPr>
              <w:t>INT  Integrity</w:t>
            </w:r>
          </w:p>
          <w:p>
            <w:pPr>
              <w:spacing w:after="0"/>
            </w:pPr>
            <w:r>
              <w:rPr>
                <w:rFonts w:ascii="Aptos" w:hAnsi="Aptos"/>
                <w:color w:val="2D3540"/>
                <w:sz w:val="17"/>
              </w:rPr>
              <w:t>Ethical advocacy, honest advice, and respect for professional responsibility.</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TIME  Timely Service</w:t>
            </w:r>
          </w:p>
          <w:p>
            <w:pPr>
              <w:spacing w:after="0"/>
            </w:pPr>
            <w:r>
              <w:rPr>
                <w:rFonts w:ascii="Aptos" w:hAnsi="Aptos"/>
                <w:color w:val="2D3540"/>
                <w:sz w:val="17"/>
              </w:rPr>
              <w:t>Prompt communication, clear next steps, and organized matter management.</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r>
              <w:rPr>
                <w:rFonts w:ascii="Aptos" w:hAnsi="Aptos"/>
                <w:b/>
                <w:color w:val="0B2545"/>
                <w:sz w:val="19"/>
              </w:rPr>
              <w:t>RES  Strong Legal Research</w:t>
            </w:r>
          </w:p>
          <w:p>
            <w:pPr>
              <w:spacing w:after="0"/>
            </w:pPr>
            <w:r>
              <w:rPr>
                <w:rFonts w:ascii="Aptos" w:hAnsi="Aptos"/>
                <w:color w:val="2D3540"/>
                <w:sz w:val="17"/>
              </w:rPr>
              <w:t>Careful review of laws, regulations, case law, and factual records.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TEAM  Experienced Team</w:t>
            </w:r>
          </w:p>
          <w:p>
            <w:pPr>
              <w:spacing w:after="0"/>
            </w:pPr>
            <w:r>
              <w:rPr>
                <w:rFonts w:ascii="Aptos" w:hAnsi="Aptos"/>
                <w:color w:val="2D3540"/>
                <w:sz w:val="17"/>
              </w:rPr>
              <w:t>Collaborative legal professionals supporting complex and routine matters.</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r>
              <w:rPr>
                <w:rFonts w:ascii="Aptos" w:hAnsi="Aptos"/>
                <w:b/>
                <w:color w:val="0B2545"/>
                <w:sz w:val="19"/>
              </w:rPr>
              <w:t>PRAC  Practical Solutions</w:t>
            </w:r>
          </w:p>
          <w:p>
            <w:pPr>
              <w:spacing w:after="0"/>
            </w:pPr>
            <w:r>
              <w:rPr>
                <w:rFonts w:ascii="Aptos" w:hAnsi="Aptos"/>
                <w:color w:val="2D3540"/>
                <w:sz w:val="17"/>
              </w:rPr>
              <w:t>Advice that balances legal rights, risk, cost, timing, and client objectives.</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F5EFE3"/>
          </w:tcPr>
          <w:p>
            <w:r>
              <w:rPr>
                <w:rFonts w:ascii="Aptos" w:hAnsi="Aptos"/>
                <w:b/>
                <w:color w:val="0B2545"/>
                <w:sz w:val="19"/>
              </w:rPr>
              <w:t>CARE  Client-Centered Approach</w:t>
            </w:r>
          </w:p>
          <w:p>
            <w:pPr>
              <w:spacing w:after="0"/>
            </w:pPr>
            <w:r>
              <w:rPr>
                <w:rFonts w:ascii="Aptos" w:hAnsi="Aptos"/>
                <w:color w:val="2D3540"/>
                <w:sz w:val="17"/>
              </w:rPr>
              <w:t>Responsive service built around client priorities and informed decision-making.</w:t>
            </w:r>
          </w:p>
        </w:tc>
        <w:tc>
          <w:tcPr>
            <w:tcW w:type="dxa" w:w="4939"/>
            <w:tcBorders>
              <w:top w:val="single" w:sz="4" w:space="0" w:color="D7DEE8"/>
              <w:left w:val="single" w:sz="4" w:space="0" w:color="D7DEE8"/>
              <w:bottom w:val="single" w:sz="4" w:space="0" w:color="D7DEE8"/>
              <w:right w:val="single" w:sz="4" w:space="0" w:color="D7DEE8"/>
            </w:tcBorders>
            <w:tcMar>
              <w:top w:w="120" w:type="dxa"/>
              <w:start w:w="145" w:type="dxa"/>
              <w:bottom w:w="120" w:type="dxa"/>
              <w:end w:w="145" w:type="dxa"/>
            </w:tcMar>
            <w:shd w:fill="EEF3F8"/>
          </w:tcPr>
          <w:p/>
        </w:tc>
      </w:tr>
    </w:tbl>
    <w:p>
      <w:pPr>
        <w:pStyle w:val="Heading1"/>
      </w:pPr>
      <w:r>
        <w:t>15. Key Practice Areas</w:t>
      </w:r>
    </w:p>
    <w:p>
      <w:pPr>
        <w:pStyle w:val="Heading2"/>
      </w:pPr>
      <w:r>
        <w:t>15.1 Commercial Law</w:t>
      </w:r>
    </w:p>
    <w:p>
      <w:r>
        <w:rPr>
          <w:rFonts w:ascii="Aptos" w:hAnsi="Aptos"/>
        </w:rPr>
        <w:t>Commercial advisory for companies, institutions, entrepreneurs, and investors, including contracts, governance, compliance, and transaction support. [Insert firm-specific examples, credentials, and jurisdictional details.]</w:t>
      </w:r>
    </w:p>
    <w:p>
      <w:pPr>
        <w:pStyle w:val="Heading2"/>
      </w:pPr>
      <w:r>
        <w:t>15.2 Litigation</w:t>
      </w:r>
    </w:p>
    <w:p>
      <w:r>
        <w:rPr>
          <w:rFonts w:ascii="Aptos" w:hAnsi="Aptos"/>
        </w:rPr>
        <w:t>Representation in civil, commercial, employment, land, family, and institutional disputes through disciplined case preparation and strategic advocacy. [Insert firm-specific examples, credentials, and jurisdictional details.]</w:t>
      </w:r>
    </w:p>
    <w:p>
      <w:pPr>
        <w:pStyle w:val="Heading2"/>
      </w:pPr>
      <w:r>
        <w:t>15.3 Property Law</w:t>
      </w:r>
    </w:p>
    <w:p>
      <w:r>
        <w:rPr>
          <w:rFonts w:ascii="Aptos" w:hAnsi="Aptos"/>
        </w:rPr>
        <w:t>Support for land due diligence, leases, transfers, title review, property development, disputes, and regulatory issues. [Insert firm-specific examples, credentials, and jurisdictional details.]</w:t>
      </w:r>
    </w:p>
    <w:p>
      <w:pPr>
        <w:pStyle w:val="Heading2"/>
      </w:pPr>
      <w:r>
        <w:t>15.4 Employment Law</w:t>
      </w:r>
    </w:p>
    <w:p>
      <w:r>
        <w:rPr>
          <w:rFonts w:ascii="Aptos" w:hAnsi="Aptos"/>
        </w:rPr>
        <w:t>Guidance for employers and employees on employment contracts, workplace policies, termination, disciplinary process, and labour disputes. [Insert firm-specific examples, credentials, and jurisdictional details.]</w:t>
      </w:r>
    </w:p>
    <w:p>
      <w:pPr>
        <w:pStyle w:val="Heading2"/>
      </w:pPr>
      <w:r>
        <w:t>15.5 Family Law</w:t>
      </w:r>
    </w:p>
    <w:p>
      <w:r>
        <w:rPr>
          <w:rFonts w:ascii="Aptos" w:hAnsi="Aptos"/>
        </w:rPr>
        <w:t>Confidential legal support for family matters, including divorce, custody, maintenance, succession, adoption, and negotiated family settlements. [Insert firm-specific examples, credentials, and jurisdictional details.]</w:t>
      </w:r>
    </w:p>
    <w:p>
      <w:r>
        <w:br w:type="page"/>
      </w:r>
    </w:p>
    <w:p>
      <w:pPr>
        <w:pStyle w:val="Heading1"/>
      </w:pPr>
      <w:r>
        <w:t>16. Representative Transactions and Assignments</w:t>
      </w:r>
    </w:p>
    <w:tbl>
      <w:tblPr>
        <w:tblStyle w:val="TableGrid"/>
        <w:tblW w:type="auto" w:w="0"/>
        <w:jc w:val="center"/>
        <w:tblLayout w:type="fixed"/>
        <w:tblLook w:firstColumn="1" w:firstRow="1" w:lastColumn="0" w:lastRow="0" w:noHBand="0" w:noVBand="1" w:val="04A0"/>
      </w:tblPr>
      <w:tblGrid>
        <w:gridCol w:w="4939"/>
        <w:gridCol w:w="4939"/>
      </w:tblGrid>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Corporate Advisory</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company advisory, governance, registration, compliance, or board-support assignments.]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Contract Negotiations</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major contract negotiation support, supplier agreements, service contracts, or partnership agreements.]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Due Diligence</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land, corporate, employment, regulatory, or transaction due diligence assignments.]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Regulatory Compliance</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licensing, statutory filings, policy review, and compliance advisory work.]</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Land Transactions</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leases, purchases, transfers, title review, or property development matters.]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Employment Matters</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employment advisory, termination, workplace investigation, dispute, or policy work.]</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Litigation and Dispute Resolution</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representative disputes, arbitration, mediation, settlement, or court matters.]</w:t>
            </w:r>
          </w:p>
        </w:tc>
      </w:tr>
    </w:tbl>
    <w:p>
      <w:pPr>
        <w:pStyle w:val="Heading1"/>
      </w:pPr>
      <w:r>
        <w:t>17. Risk Management &amp; Compliance Advisory</w:t>
      </w:r>
    </w:p>
    <w:tbl>
      <w:tblPr>
        <w:tblStyle w:val="TableGrid"/>
        <w:tblW w:type="auto" w:w="0"/>
        <w:jc w:val="center"/>
        <w:tblLayout w:type="fixed"/>
        <w:tblLook w:firstColumn="1" w:firstRow="1" w:lastColumn="0" w:lastRow="0" w:noHBand="0" w:noVBand="1" w:val="04A0"/>
      </w:tblPr>
      <w:tblGrid>
        <w:gridCol w:w="4939"/>
        <w:gridCol w:w="4939"/>
      </w:tblGrid>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Regulatory Compliance Reviews</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Review of applicable obligations, reporting requirements, registration status, and operational compliance gaps.</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Contract Risk Assessments</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Identification of unclear obligations, liability exposure, termination risk, payment risk, and dispute clauses.</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Governance and Policy Reviews</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Review of institutional policies, board procedures, delegation frameworks, and internal governance documents.</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Due Diligence Exercises</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Legal review for transactions, partners, land, employment, corporate records, and regulatory exposure.</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Institutional Compliance Support</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Ongoing advisory support for NGOs, donors, financial institutions, and corporate clients.</w:t>
            </w:r>
          </w:p>
        </w:tc>
      </w:tr>
      <w:tr>
        <w:tc>
          <w:tcPr>
            <w:tcW w:type="dxa" w:w="3096"/>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Internal Legal Control Frameworks</w:t>
            </w:r>
          </w:p>
        </w:tc>
        <w:tc>
          <w:tcPr>
            <w:tcW w:type="dxa" w:w="5832"/>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Development of legal workflows, approval controls, document retention practices, and risk escalation protocols.</w:t>
            </w:r>
          </w:p>
        </w:tc>
      </w:tr>
    </w:tbl>
    <w:p>
      <w:pPr>
        <w:pStyle w:val="Heading1"/>
      </w:pPr>
      <w:r>
        <w:t>18. Training &amp; Capacity Building Services</w:t>
      </w:r>
    </w:p>
    <w:tbl>
      <w:tblPr>
        <w:tblStyle w:val="TableGrid"/>
        <w:tblW w:type="auto" w:w="0"/>
        <w:jc w:val="center"/>
        <w:tblLayout w:type="fixed"/>
        <w:tblLook w:firstColumn="1" w:firstRow="1" w:lastColumn="0" w:lastRow="0" w:noHBand="0" w:noVBand="1" w:val="04A0"/>
      </w:tblPr>
      <w:tblGrid>
        <w:gridCol w:w="4939"/>
        <w:gridCol w:w="4939"/>
      </w:tblGrid>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Employment Law Workshops</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Training on contracts, workplace discipline, termination, staff policies, and labour compliance.</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Contract Management Training</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Training on contract lifecycle, risk clauses, approvals, performance, variation, and dispute prevention.</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Governance and Compliance Training</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Board, management, and institutional briefings on governance duties and compliance systems.</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NGO Regulatory Compliance Workshops</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Training for NGOs on registration, employment, contracts, reporting, and operational legal risk.</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Legal Awareness Programs</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Community and institutional awareness sessions on rights, obligations, procedures, and legal documentation.</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Board and Management Legal Briefings</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Executive briefings on legal risk, decision-making, governance, and regulatory changes.</w:t>
            </w:r>
          </w:p>
        </w:tc>
      </w:tr>
    </w:tbl>
    <w:p>
      <w:pPr>
        <w:pStyle w:val="Heading1"/>
      </w:pPr>
      <w:r>
        <w:t>19. Representative Clients</w:t>
      </w:r>
    </w:p>
    <w:p>
      <w:r>
        <w:rPr>
          <w:rFonts w:ascii="Aptos" w:hAnsi="Aptos"/>
        </w:rPr>
        <w:t>Client names should be included only with authorization. The categories below may be used where confidentiality or professional responsibility requires anonymized presentation.</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Government Institutions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names or anonymized categories subject to permission.]</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NGOs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humanitarian, development, or civil society sectors served.]</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Private Companies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industries or approved company names.]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Individuals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high-net-worth individuals, entrepreneurs, families, employees, or landowners.]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International Organizations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international organizations, embassies, agencies, or development partners.]</w:t>
            </w:r>
          </w:p>
        </w:tc>
      </w:tr>
    </w:tbl>
    <w:p>
      <w:pPr>
        <w:pStyle w:val="Heading1"/>
      </w:pPr>
      <w:r>
        <w:t>20. Client Testimonials</w:t>
      </w:r>
    </w:p>
    <w:tbl>
      <w:tblPr>
        <w:tblW w:type="auto" w:w="0"/>
        <w:jc w:val="center"/>
        <w:tblLayout w:type="fixed"/>
        <w:tblLook w:firstColumn="1" w:firstRow="1" w:lastColumn="0" w:lastRow="0" w:noHBand="0" w:noVBand="1" w:val="04A0"/>
      </w:tblPr>
      <w:tblGrid>
        <w:gridCol w:w="4939"/>
        <w:gridCol w:w="4939"/>
      </w:tblGrid>
      <w:tr>
        <w:trPr>
          <w:cantSplit/>
        </w:trPr>
        <w:tc>
          <w:tcPr>
            <w:tcW w:type="dxa" w:w="4939"/>
            <w:tcBorders>
              <w:top w:val="single" w:sz="4" w:space="0" w:color="D7DEE8"/>
              <w:left w:val="single" w:sz="4" w:space="0" w:color="D7DEE8"/>
              <w:bottom w:val="single" w:sz="4" w:space="0" w:color="D7DEE8"/>
              <w:right w:val="single" w:sz="4" w:space="0" w:color="D7DEE8"/>
            </w:tcBorders>
            <w:tcMar>
              <w:top w:w="115" w:type="dxa"/>
              <w:start w:w="145" w:type="dxa"/>
              <w:bottom w:w="115" w:type="dxa"/>
              <w:end w:w="145" w:type="dxa"/>
            </w:tcMar>
            <w:shd w:fill="F5EFE3"/>
          </w:tcPr>
          <w:p>
            <w:r>
              <w:rPr>
                <w:rFonts w:ascii="Aptos" w:hAnsi="Aptos"/>
                <w:b/>
                <w:color w:val="0B2545"/>
                <w:sz w:val="19"/>
              </w:rPr>
              <w:t>Institutional Client</w:t>
            </w:r>
          </w:p>
          <w:p>
            <w:pPr>
              <w:spacing w:after="0"/>
            </w:pPr>
            <w:r>
              <w:rPr>
                <w:rFonts w:ascii="Aptos" w:hAnsi="Aptos"/>
                <w:i/>
                <w:color w:val="2D3540"/>
                <w:sz w:val="17"/>
              </w:rPr>
              <w:t>[Insert testimonial from government agency, NGO, embassy, development partner, or institutional client.]</w:t>
            </w:r>
          </w:p>
        </w:tc>
        <w:tc>
          <w:tcPr>
            <w:tcW w:type="dxa" w:w="4939"/>
            <w:tcBorders>
              <w:top w:val="single" w:sz="4" w:space="0" w:color="D7DEE8"/>
              <w:left w:val="single" w:sz="4" w:space="0" w:color="D7DEE8"/>
              <w:bottom w:val="single" w:sz="4" w:space="0" w:color="D7DEE8"/>
              <w:right w:val="single" w:sz="4" w:space="0" w:color="D7DEE8"/>
            </w:tcBorders>
            <w:tcMar>
              <w:top w:w="115" w:type="dxa"/>
              <w:start w:w="145" w:type="dxa"/>
              <w:bottom w:w="115" w:type="dxa"/>
              <w:end w:w="145" w:type="dxa"/>
            </w:tcMar>
            <w:shd w:fill="EEF3F8"/>
          </w:tcPr>
          <w:p>
            <w:r>
              <w:rPr>
                <w:rFonts w:ascii="Aptos" w:hAnsi="Aptos"/>
                <w:b/>
                <w:color w:val="0B2545"/>
                <w:sz w:val="19"/>
              </w:rPr>
              <w:t>Corporate Client</w:t>
            </w:r>
          </w:p>
          <w:p>
            <w:pPr>
              <w:spacing w:after="0"/>
            </w:pPr>
            <w:r>
              <w:rPr>
                <w:rFonts w:ascii="Aptos" w:hAnsi="Aptos"/>
                <w:i/>
                <w:color w:val="2D3540"/>
                <w:sz w:val="17"/>
              </w:rPr>
              <w:t>[Insert testimonial from company, investor, SME, or commercial client.]</w:t>
            </w:r>
          </w:p>
        </w:tc>
      </w:tr>
      <w:tr>
        <w:trPr>
          <w:cantSplit/>
        </w:trPr>
        <w:tc>
          <w:tcPr>
            <w:tcW w:type="dxa" w:w="4939"/>
            <w:tcBorders>
              <w:top w:val="single" w:sz="4" w:space="0" w:color="D7DEE8"/>
              <w:left w:val="single" w:sz="4" w:space="0" w:color="D7DEE8"/>
              <w:bottom w:val="single" w:sz="4" w:space="0" w:color="D7DEE8"/>
              <w:right w:val="single" w:sz="4" w:space="0" w:color="D7DEE8"/>
            </w:tcBorders>
            <w:tcMar>
              <w:top w:w="115" w:type="dxa"/>
              <w:start w:w="145" w:type="dxa"/>
              <w:bottom w:w="115" w:type="dxa"/>
              <w:end w:w="145" w:type="dxa"/>
            </w:tcMar>
            <w:shd w:fill="F5EFE3"/>
          </w:tcPr>
          <w:p>
            <w:r>
              <w:rPr>
                <w:rFonts w:ascii="Aptos" w:hAnsi="Aptos"/>
                <w:b/>
                <w:color w:val="0B2545"/>
                <w:sz w:val="19"/>
              </w:rPr>
              <w:t>Individual Client</w:t>
            </w:r>
          </w:p>
          <w:p>
            <w:pPr>
              <w:spacing w:after="0"/>
            </w:pPr>
            <w:r>
              <w:rPr>
                <w:rFonts w:ascii="Aptos" w:hAnsi="Aptos"/>
                <w:i/>
                <w:color w:val="2D3540"/>
                <w:sz w:val="17"/>
              </w:rPr>
              <w:t>[Insert testimonial from high-net-worth individual, family client, property client, or private client.]</w:t>
            </w:r>
          </w:p>
        </w:tc>
        <w:tc>
          <w:tcPr>
            <w:tcW w:type="dxa" w:w="4939"/>
            <w:tcBorders>
              <w:top w:val="single" w:sz="4" w:space="0" w:color="D7DEE8"/>
              <w:left w:val="single" w:sz="4" w:space="0" w:color="D7DEE8"/>
              <w:bottom w:val="single" w:sz="4" w:space="0" w:color="D7DEE8"/>
              <w:right w:val="single" w:sz="4" w:space="0" w:color="D7DEE8"/>
            </w:tcBorders>
            <w:tcMar>
              <w:top w:w="115" w:type="dxa"/>
              <w:start w:w="145" w:type="dxa"/>
              <w:bottom w:w="115" w:type="dxa"/>
              <w:end w:w="145" w:type="dxa"/>
            </w:tcMar>
            <w:shd w:fill="EEF3F8"/>
          </w:tcPr>
          <w:p>
            <w:r>
              <w:rPr>
                <w:rFonts w:ascii="Aptos" w:hAnsi="Aptos"/>
                <w:b/>
                <w:color w:val="0B2545"/>
                <w:sz w:val="19"/>
              </w:rPr>
              <w:t>Partner / Referrer</w:t>
            </w:r>
          </w:p>
          <w:p>
            <w:pPr>
              <w:spacing w:after="0"/>
            </w:pPr>
            <w:r>
              <w:rPr>
                <w:rFonts w:ascii="Aptos" w:hAnsi="Aptos"/>
                <w:i/>
                <w:color w:val="2D3540"/>
                <w:sz w:val="17"/>
              </w:rPr>
              <w:t>[Insert testimonial from strategic partner, referral partner, or professional collaborator.]</w:t>
            </w:r>
          </w:p>
        </w:tc>
      </w:tr>
    </w:tbl>
    <w:p>
      <w:pPr>
        <w:pStyle w:val="Heading1"/>
      </w:pPr>
      <w:r>
        <w:t>21. Selected Cases &amp; Success Stories</w:t>
      </w:r>
    </w:p>
    <w:tbl>
      <w:tblPr>
        <w:tblW w:type="auto" w:w="0"/>
        <w:jc w:val="center"/>
        <w:tblLayout w:type="fixed"/>
        <w:tblLook w:firstColumn="1" w:firstRow="1" w:lastColumn="0" w:lastRow="0" w:noHBand="0" w:noVBand="1" w:val="04A0"/>
      </w:tblPr>
      <w:tblGrid>
        <w:gridCol w:w="9878"/>
      </w:tblGrid>
      <w:tr>
        <w:tc>
          <w:tcPr>
            <w:tcW w:type="dxa" w:w="9000"/>
            <w:shd w:fill="EEF3F8"/>
            <w:tcBorders>
              <w:top w:val="single" w:sz="6" w:space="0" w:color="D8E1EA"/>
              <w:left w:val="single" w:sz="6" w:space="0" w:color="D8E1EA"/>
              <w:bottom w:val="single" w:sz="6" w:space="0" w:color="D8E1EA"/>
              <w:right w:val="single" w:sz="6" w:space="0" w:color="D8E1EA"/>
            </w:tcBorders>
            <w:tcMar>
              <w:top w:w="140" w:type="dxa"/>
              <w:start w:w="180" w:type="dxa"/>
              <w:bottom w:w="140" w:type="dxa"/>
              <w:end w:w="180" w:type="dxa"/>
            </w:tcMar>
          </w:tcPr>
          <w:p>
            <w:r>
              <w:rPr>
                <w:rFonts w:ascii="Aptos" w:hAnsi="Aptos"/>
                <w:b/>
                <w:color w:val="0B2545"/>
                <w:sz w:val="21"/>
              </w:rPr>
              <w:t>Confidentiality Disclaimer</w:t>
            </w:r>
          </w:p>
          <w:p>
            <w:pPr>
              <w:spacing w:after="0"/>
            </w:pPr>
            <w:r>
              <w:rPr>
                <w:rFonts w:ascii="Aptos" w:hAnsi="Aptos"/>
                <w:color w:val="2A323C"/>
                <w:sz w:val="20"/>
              </w:rPr>
              <w:t>Case information may be presented subject to client confidentiality obligations.</w:t>
            </w:r>
          </w:p>
        </w:tc>
      </w:tr>
    </w:tbl>
    <w:tbl>
      <w:tblPr>
        <w:tblStyle w:val="TableGrid"/>
        <w:tblW w:type="auto" w:w="0"/>
        <w:jc w:val="center"/>
        <w:tblLayout w:type="fixed"/>
        <w:tblLook w:firstColumn="1" w:firstRow="1" w:lastColumn="0" w:lastRow="0" w:noHBand="0" w:noVBand="1" w:val="04A0"/>
      </w:tblPr>
      <w:tblGrid>
        <w:gridCol w:w="4939"/>
        <w:gridCol w:w="4939"/>
      </w:tblGrid>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Matter Title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anonymized or approved matter title.]</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Client Sector</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sector or client category.]</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Legal Issue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concise description of legal challenge.]</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Firm Role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advisory, litigation, negotiation, drafting, or compliance role.]</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4F6F8"/>
          </w:tcPr>
          <w:p>
            <w:r/>
            <w:r>
              <w:rPr>
                <w:rFonts w:ascii="Aptos" w:hAnsi="Aptos"/>
                <w:b/>
                <w:color w:val="0B2545"/>
                <w:sz w:val="19"/>
              </w:rPr>
              <w:t>Outcome / Value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result, settlement, risk avoided, commercial value, or institutional benefit.]</w:t>
            </w:r>
          </w:p>
        </w:tc>
      </w:tr>
    </w:tbl>
    <w:p>
      <w:pPr>
        <w:pStyle w:val="Heading1"/>
      </w:pPr>
      <w:r>
        <w:t>22. Firm Achievements &amp; Milestones</w:t>
      </w:r>
    </w:p>
    <w:tbl>
      <w:tblPr>
        <w:tblW w:type="auto" w:w="0"/>
        <w:jc w:val="center"/>
        <w:tblLayout w:type="fixed"/>
        <w:tblLook w:firstColumn="1" w:firstRow="1" w:lastColumn="0" w:lastRow="0" w:noHBand="0" w:noVBand="1" w:val="04A0"/>
      </w:tblPr>
      <w:tblGrid>
        <w:gridCol w:w="4939"/>
        <w:gridCol w:w="4939"/>
      </w:tblGrid>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Year Established</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year established and founding context.]</w:t>
            </w:r>
          </w:p>
        </w:tc>
      </w:tr>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Major Growth Milestones</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expansion of team, office capacity, client portfolio, or practice systems.]</w:t>
            </w:r>
          </w:p>
        </w:tc>
      </w:tr>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Landmark Cases</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approved landmark cases or anonymized significant matters.]</w:t>
            </w:r>
          </w:p>
        </w:tc>
      </w:tr>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Expansion of Services</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new practice areas, Commissioner for Oaths services, ADR, or institutional advisory services.]</w:t>
            </w:r>
          </w:p>
        </w:tc>
      </w:tr>
      <w:tr>
        <w:trPr>
          <w:cantSplit/>
        </w:trPr>
        <w:tc>
          <w:tcPr>
            <w:tcW w:type="dxa" w:w="2736"/>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shd w:fill="0B2545"/>
          </w:tcPr>
          <w:p>
            <w:r>
              <w:rPr>
                <w:rFonts w:ascii="Aptos" w:hAnsi="Aptos"/>
                <w:b/>
                <w:color w:val="FFFFFF"/>
                <w:sz w:val="19"/>
              </w:rPr>
              <w:t>Strategic Partnerships</w:t>
            </w:r>
          </w:p>
        </w:tc>
        <w:tc>
          <w:tcPr>
            <w:tcW w:type="dxa" w:w="6192"/>
            <w:tcBorders>
              <w:top w:val="single" w:sz="4" w:space="0" w:color="D7DEE8"/>
              <w:left w:val="single" w:sz="4" w:space="0" w:color="D7DEE8"/>
              <w:bottom w:val="single" w:sz="4" w:space="0" w:color="D7DEE8"/>
              <w:right w:val="single" w:sz="4" w:space="0" w:color="D7DEE8"/>
            </w:tcBorders>
            <w:tcMar>
              <w:top w:w="130" w:type="dxa"/>
              <w:start w:w="150" w:type="dxa"/>
              <w:bottom w:w="130" w:type="dxa"/>
              <w:end w:w="150" w:type="dxa"/>
            </w:tcMar>
            <w:vAlign w:val="center"/>
          </w:tcPr>
          <w:p>
            <w:r>
              <w:rPr>
                <w:rFonts w:ascii="Aptos" w:hAnsi="Aptos"/>
                <w:color w:val="2D3540"/>
                <w:sz w:val="19"/>
              </w:rPr>
              <w:t>[Insert referral networks, professional partnerships, or institutional collaborations.]</w:t>
            </w:r>
          </w:p>
        </w:tc>
      </w:tr>
    </w:tbl>
    <w:p>
      <w:r>
        <w:br w:type="page"/>
      </w:r>
    </w:p>
    <w:p>
      <w:pPr>
        <w:pStyle w:val="Heading1"/>
      </w:pPr>
      <w:r>
        <w:t>23. Corporate Governance &amp; Ethics</w:t>
      </w:r>
    </w:p>
    <w:p>
      <w:r>
        <w:rPr>
          <w:rFonts w:ascii="Aptos" w:hAnsi="Aptos"/>
        </w:rPr>
        <w:t>Vision Attorneys LF is committed to professional conduct, ethical representation, legal compliance, and responsible client service. This section may be customized to reflect the firm's formal policies and internal procedures.</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Professional Conduct</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The firm expects all personnel to observe professional discipline, respect court processes, and uphold the dignity of legal practice.</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Anti-Corruption Commitment</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The firm does not support bribery, improper influence, conflict-driven representation, or unlawful shortcuts.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Client Confidentiality</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Client information, documents, instructions, and legal strategy are handled with discretion and professional care.</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Conflict-of-Interest Policy</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Potential conflicts should be checked before accepting instructions, and clients should be informed where applicable.</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Legal Compliance Standards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The firm works within applicable laws, professional rules, procedural requirements, and engagement agreements.</w:t>
            </w:r>
          </w:p>
        </w:tc>
      </w:tr>
    </w:tbl>
    <w:p>
      <w:pPr>
        <w:pStyle w:val="Heading1"/>
      </w:pPr>
      <w:r>
        <w:t>24. Legal Technology &amp; Innovation</w:t>
      </w:r>
    </w:p>
    <w:p>
      <w:r>
        <w:rPr>
          <w:rFonts w:ascii="Aptos" w:hAnsi="Aptos"/>
        </w:rPr>
        <w:t>Vision Attorneys LF is committed to modern, secure, and efficient legal service delivery while maintaining confidentiality and professional responsibility.</w:t>
      </w:r>
    </w:p>
    <w:tbl>
      <w:tblPr>
        <w:tblStyle w:val="TableGrid"/>
        <w:tblW w:type="auto" w:w="0"/>
        <w:jc w:val="center"/>
        <w:tblLayout w:type="fixed"/>
        <w:tblLook w:firstColumn="1" w:firstRow="1" w:lastColumn="0" w:lastRow="0" w:noHBand="0" w:noVBand="1" w:val="04A0"/>
      </w:tblPr>
      <w:tblGrid>
        <w:gridCol w:w="4939"/>
        <w:gridCol w:w="4939"/>
      </w:tblGrid>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Secure Document Management</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Organized client files, matter documentation, version control, and confidential storage practices.</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Digital Legal Research Tools</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Use of electronic legal materials, research databases, legislation, case law, and regulatory references where available.</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Electronic Communication Systems</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Structured email, phone, and digital correspondence channels for timely client communication.</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Virtual Consultations</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Remote consultation options where appropriate for clients outside Juba or outside South Sudan.</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Digital Case Tracking and Reporting</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Matter status tracking, reporting schedules, action registers, and client update workflows.</w:t>
            </w:r>
          </w:p>
        </w:tc>
      </w:tr>
      <w:tr>
        <w:tc>
          <w:tcPr>
            <w:tcW w:type="dxa" w:w="302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Data Protection and Confidentiality</w:t>
            </w:r>
          </w:p>
        </w:tc>
        <w:tc>
          <w:tcPr>
            <w:tcW w:type="dxa" w:w="590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Attention to confidential information handling, access controls, secure sharing, and responsible data practices.</w:t>
            </w:r>
          </w:p>
        </w:tc>
      </w:tr>
    </w:tbl>
    <w:p>
      <w:pPr>
        <w:pStyle w:val="Heading1"/>
      </w:pPr>
      <w:r>
        <w:t>25. Corporate Social Responsibility</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Pro Bono Services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pro bono policy, eligible beneficiaries, legal aid priorities, and public-interest work.]</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Legal Awareness Campaigns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workshops, radio programs, community briefings, or legal education activities.]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Community Outreach</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outreach programs for vulnerable groups, local communities, or civil society partners.]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Youth Mentorship</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mentorship, internships, law student support, career talks, and professional development initiatives.]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Access to Justice Initiatives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programs improving access to legal information, representation, or referral pathways.]</w:t>
            </w:r>
          </w:p>
        </w:tc>
      </w:tr>
    </w:tbl>
    <w:p>
      <w:pPr>
        <w:pStyle w:val="Heading1"/>
      </w:pPr>
      <w:r>
        <w:t>26. Strategic Partnerships</w:t>
      </w:r>
    </w:p>
    <w:p>
      <w:r>
        <w:rPr>
          <w:rFonts w:ascii="Aptos" w:hAnsi="Aptos"/>
        </w:rPr>
        <w:t>[Insert local and international partners, referral networks, development partners, professional associations, technical collaborators, and institutional relationships.]</w:t>
      </w:r>
    </w:p>
    <w:p>
      <w:pPr>
        <w:pStyle w:val="Heading1"/>
      </w:pPr>
      <w:r>
        <w:t>27. Strategic Vision 2030</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Expansion Plans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planned office growth, practice expansion, regional reach, or institutional client strategy.]</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Technology Adoption</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plans for digital case management, legal research tools, secure document management, and client communication systems.]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Regional Partnerships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East African legal networks, cross-border collaboration, and referral partnerships.]</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Specialized Legal Services</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planned specialization in sectors such as energy, infrastructure, humanitarian operations, corporate advisory, or investment law.]</w:t>
            </w:r>
          </w:p>
        </w:tc>
      </w:tr>
      <w:tr>
        <w:tc>
          <w:tcPr>
            <w:tcW w:type="dxa" w:w="288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Institutional Growth</w:t>
            </w:r>
          </w:p>
        </w:tc>
        <w:tc>
          <w:tcPr>
            <w:tcW w:type="dxa" w:w="604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plans for governance systems, training, quality assurance, and long-term professional development.]</w:t>
            </w:r>
          </w:p>
        </w:tc>
      </w:tr>
    </w:tbl>
    <w:p>
      <w:r>
        <w:br w:type="page"/>
      </w:r>
    </w:p>
    <w:p>
      <w:pPr>
        <w:pStyle w:val="Heading1"/>
      </w:pPr>
      <w:r>
        <w:t>28. Frequently Asked Questions</w:t>
      </w:r>
    </w:p>
    <w:tbl>
      <w:tblPr>
        <w:tblStyle w:val="TableGrid"/>
        <w:tblW w:type="auto" w:w="0"/>
        <w:jc w:val="center"/>
        <w:tblLayout w:type="fixed"/>
        <w:tblLook w:firstColumn="1" w:firstRow="1" w:lastColumn="0" w:lastRow="0" w:noHBand="0" w:noVBand="1" w:val="04A0"/>
      </w:tblPr>
      <w:tblGrid>
        <w:gridCol w:w="4939"/>
        <w:gridCol w:w="4939"/>
      </w:tblGrid>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How do clients engage the firm?</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Clients may contact the firm through the official telephone number, email address, physical office, or referral. A formal engagement letter may be required before work begins.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What is the consultation process?</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The firm conducts an initial review of the issue, confirms whether it can assist, checks conflicts, discusses scope and fees, and agrees on next steps.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What is the confidentiality policy?</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Information shared with the firm is handled confidentially, subject to applicable law, professional obligations, and formal engagement terms.</w:t>
            </w:r>
          </w:p>
        </w:tc>
      </w:tr>
      <w:tr>
        <w:tc>
          <w:tcPr>
            <w:tcW w:type="dxa" w:w="3168"/>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EEF3F8"/>
          </w:tcPr>
          <w:p>
            <w:r/>
            <w:r>
              <w:rPr>
                <w:rFonts w:ascii="Aptos" w:hAnsi="Aptos"/>
                <w:b/>
                <w:color w:val="0B2545"/>
                <w:sz w:val="19"/>
              </w:rPr>
              <w:t>How does legal representation work?</w:t>
            </w:r>
          </w:p>
        </w:tc>
        <w:tc>
          <w:tcPr>
            <w:tcW w:type="dxa" w:w="5760"/>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Representation may include fact review, legal research, strategy development, drafting, filing, negotiation, hearings, settlement discussions, and client updates.</w:t>
            </w:r>
          </w:p>
        </w:tc>
      </w:tr>
    </w:tbl>
    <w:p>
      <w:pPr>
        <w:pStyle w:val="Heading1"/>
      </w:pPr>
      <w:r>
        <w:t>29. Contact Information</w:t>
      </w:r>
    </w:p>
    <w:tbl>
      <w:tblPr>
        <w:tblStyle w:val="TableGrid"/>
        <w:tblW w:type="auto" w:w="0"/>
        <w:jc w:val="center"/>
        <w:tblLayout w:type="fixed"/>
        <w:tblLook w:firstColumn="1" w:firstRow="1" w:lastColumn="0" w:lastRow="0" w:noHBand="0" w:noVBand="1" w:val="04A0"/>
      </w:tblPr>
      <w:tblGrid>
        <w:gridCol w:w="4939"/>
        <w:gridCol w:w="4939"/>
      </w:tblGrid>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Physical Address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Physical Address]</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Postal Address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Postal Address]</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Telephone Numbers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Telephone Numbers]</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Email Address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Email Address]</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Website</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Website]</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Facebook</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Facebook Page URL]</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LinkedIn</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LinkedIn Page URL]</w:t>
            </w:r>
          </w:p>
        </w:tc>
      </w:tr>
      <w:tr>
        <w:tc>
          <w:tcPr>
            <w:tcW w:type="dxa" w:w="2664"/>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shd w:fill="F5EFE3"/>
          </w:tcPr>
          <w:p>
            <w:r/>
            <w:r>
              <w:rPr>
                <w:rFonts w:ascii="Aptos" w:hAnsi="Aptos"/>
                <w:b/>
                <w:color w:val="0B2545"/>
                <w:sz w:val="19"/>
              </w:rPr>
              <w:t>Working Hours</w:t>
            </w:r>
          </w:p>
        </w:tc>
        <w:tc>
          <w:tcPr>
            <w:tcW w:type="dxa" w:w="6263"/>
            <w:tcBorders>
              <w:top w:val="single" w:sz="4" w:space="0" w:color="CBD5E1"/>
              <w:left w:val="single" w:sz="4" w:space="0" w:color="CBD5E1"/>
              <w:bottom w:val="single" w:sz="4" w:space="0" w:color="CBD5E1"/>
              <w:right w:val="single" w:sz="4" w:space="0" w:color="CBD5E1"/>
            </w:tcBorders>
            <w:tcMar>
              <w:top w:w="100" w:type="dxa"/>
              <w:start w:w="140" w:type="dxa"/>
              <w:bottom w:w="100" w:type="dxa"/>
              <w:end w:w="140" w:type="dxa"/>
            </w:tcMar>
            <w:vAlign w:val="center"/>
          </w:tcPr>
          <w:p>
            <w:r/>
            <w:r>
              <w:rPr>
                <w:rFonts w:ascii="Aptos" w:hAnsi="Aptos"/>
                <w:color w:val="232A34"/>
                <w:sz w:val="19"/>
              </w:rPr>
              <w:t>[Insert Working Hours]</w:t>
            </w:r>
          </w:p>
        </w:tc>
      </w:tr>
    </w:tbl>
    <w:p>
      <w:r>
        <w:br w:type="page"/>
      </w:r>
    </w:p>
    <w:p>
      <w:pPr>
        <w:pStyle w:val="Heading1"/>
      </w:pPr>
      <w:r>
        <w:t>30. Legal Disclaimer</w:t>
      </w:r>
    </w:p>
    <w:tbl>
      <w:tblPr>
        <w:tblW w:type="auto" w:w="0"/>
        <w:jc w:val="center"/>
        <w:tblLayout w:type="fixed"/>
        <w:tblLook w:firstColumn="1" w:firstRow="1" w:lastColumn="0" w:lastRow="0" w:noHBand="0" w:noVBand="1" w:val="04A0"/>
      </w:tblPr>
      <w:tblGrid>
        <w:gridCol w:w="9878"/>
      </w:tblGrid>
      <w:tr>
        <w:tc>
          <w:tcPr>
            <w:tcW w:type="dxa" w:w="9000"/>
            <w:shd w:fill="EEF3F8"/>
            <w:tcBorders>
              <w:top w:val="single" w:sz="6" w:space="0" w:color="D8E1EA"/>
              <w:left w:val="single" w:sz="6" w:space="0" w:color="D8E1EA"/>
              <w:bottom w:val="single" w:sz="6" w:space="0" w:color="D8E1EA"/>
              <w:right w:val="single" w:sz="6" w:space="0" w:color="D8E1EA"/>
            </w:tcBorders>
            <w:tcMar>
              <w:top w:w="140" w:type="dxa"/>
              <w:start w:w="180" w:type="dxa"/>
              <w:bottom w:w="140" w:type="dxa"/>
              <w:end w:w="180" w:type="dxa"/>
            </w:tcMar>
          </w:tcPr>
          <w:p>
            <w:r>
              <w:rPr>
                <w:rFonts w:ascii="Aptos" w:hAnsi="Aptos"/>
                <w:b/>
                <w:color w:val="0B2545"/>
                <w:sz w:val="21"/>
              </w:rPr>
              <w:t>Important Notice</w:t>
            </w:r>
          </w:p>
          <w:p>
            <w:pPr>
              <w:spacing w:after="0"/>
            </w:pPr>
            <w:r>
              <w:rPr>
                <w:rFonts w:ascii="Aptos" w:hAnsi="Aptos"/>
                <w:color w:val="2A323C"/>
                <w:sz w:val="20"/>
              </w:rPr>
              <w:t>This profile is intended for informational purposes only and does not constitute legal advice. Engagements are governed by formal agreements and applicable laws.</w:t>
            </w:r>
          </w:p>
        </w:tc>
      </w:tr>
    </w:tbl>
    <w:p>
      <w:r>
        <w:rPr>
          <w:rFonts w:ascii="Aptos" w:hAnsi="Aptos"/>
        </w:rPr>
        <w:t>No reader should rely on this profile as a substitute for legal advice from a qualified advocate after review of the specific facts, applicable law, and formal engagement terms.</w:t>
      </w:r>
    </w:p>
    <w:p>
      <w:r>
        <w:rPr>
          <w:rFonts w:ascii="Aptos" w:hAnsi="Aptos"/>
        </w:rPr>
        <w:t>Information about clients, cases, transactions, and assignments should be published only where permitted by professional responsibility, client authorization, confidentiality obligations, and applicable law.</w:t>
      </w:r>
    </w:p>
    <w:p>
      <w:pPr>
        <w:spacing w:after="480"/>
      </w:pPr>
    </w:p>
    <w:tbl>
      <w:tblPr>
        <w:tblW w:type="auto" w:w="0"/>
        <w:jc w:val="center"/>
        <w:tblLayout w:type="fixed"/>
        <w:tblLook w:firstColumn="1" w:firstRow="1" w:lastColumn="0" w:lastRow="0" w:noHBand="0" w:noVBand="1" w:val="04A0"/>
      </w:tblPr>
      <w:tblGrid>
        <w:gridCol w:w="9878"/>
      </w:tblGrid>
      <w:tr>
        <w:tc>
          <w:tcPr>
            <w:tcW w:type="dxa" w:w="9000"/>
            <w:shd w:fill="0B2545"/>
            <w:tcBorders>
              <w:top w:val="single" w:sz="8" w:space="0" w:color="0B2545"/>
              <w:left w:val="single" w:sz="8" w:space="0" w:color="0B2545"/>
              <w:bottom w:val="single" w:sz="8" w:space="0" w:color="0B2545"/>
              <w:right w:val="single" w:sz="8" w:space="0" w:color="0B2545"/>
            </w:tcBorders>
            <w:tcMar>
              <w:top w:w="180" w:type="dxa"/>
              <w:start w:w="220" w:type="dxa"/>
              <w:bottom w:w="180" w:type="dxa"/>
              <w:end w:w="220" w:type="dxa"/>
            </w:tcMar>
          </w:tcPr>
          <w:p>
            <w:r>
              <w:rPr>
                <w:rFonts w:ascii="Aptos Display" w:hAnsi="Aptos Display"/>
                <w:b/>
                <w:color w:val="FFFFFF"/>
                <w:sz w:val="30"/>
              </w:rPr>
              <w:t>Vision Attorneys LF</w:t>
            </w:r>
          </w:p>
          <w:p>
            <w:pPr>
              <w:spacing w:after="0"/>
            </w:pPr>
            <w:r>
              <w:rPr>
                <w:rFonts w:ascii="Aptos" w:hAnsi="Aptos"/>
                <w:i/>
                <w:color w:val="ECDEBC"/>
                <w:sz w:val="19"/>
              </w:rPr>
              <w:t>[Insert final institutional closing statement, motto, or call to action.]</w:t>
            </w:r>
          </w:p>
        </w:tc>
      </w:tr>
    </w:tbl>
    <w:sectPr w:rsidR="00FC693F" w:rsidRPr="0006063C" w:rsidSect="00034616">
      <w:footerReference w:type="default" r:id="rId9"/>
      <w:pgSz w:w="12240" w:h="15840"/>
      <w:pgMar w:top="1008" w:right="1181" w:bottom="893" w:left="1181" w:header="504"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596069"/>
        <w:sz w:val="17"/>
      </w:rPr>
      <w:t>Vision Attorneys LF | Institutional Corporate Profile</w:t>
    </w:r>
    <w:r>
      <w:rPr>
        <w:rFonts w:ascii="Aptos" w:hAnsi="Aptos"/>
        <w:color w:val="596069"/>
        <w:sz w:val="17"/>
      </w:rPr>
      <w:t xml:space="preserve">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32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254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455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04" w:hanging="245"/>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04" w:hanging="245"/>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