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tcMar>
              <w:top w:w="0" w:type="dxa"/>
              <w:start w:w="0" w:type="dxa"/>
              <w:bottom w:w="0" w:type="dxa"/>
              <w:end w:w="10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749808" cy="749808"/>
                  <wp:docPr id="1" name="UniPortal logo" descr="UniPortal institutional student information system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portal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749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0" w:type="dxa"/>
              <w:start w:w="0" w:type="dxa"/>
              <w:bottom w:w="0" w:type="dxa"/>
              <w:end w:w="100" w:type="dxa"/>
            </w:tcMar>
          </w:tcPr>
          <w:p>
            <w:pPr>
              <w:keepNext w:val="0"/>
              <w:spacing w:before="0" w:after="20" w:line="259" w:lineRule="auto"/>
            </w:pPr>
            <w:r>
              <w:rPr>
                <w:rFonts w:ascii="Aptos Display" w:hAnsi="Aptos Display"/>
                <w:b/>
                <w:i w:val="0"/>
                <w:color w:val="102A56"/>
                <w:sz w:val="42"/>
              </w:rPr>
              <w:t>UniPortal System Flow &amp; User Manual</w:t>
            </w:r>
          </w:p>
          <w:p>
            <w:pPr>
              <w:keepNext w:val="0"/>
              <w:spacing w:before="0" w:after="0" w:line="259" w:lineRule="auto"/>
            </w:pPr>
            <w:r>
              <w:rPr>
                <w:rFonts w:ascii="Aptos" w:hAnsi="Aptos"/>
                <w:b/>
                <w:i w:val="0"/>
                <w:color w:val="C9A227"/>
                <w:sz w:val="20"/>
              </w:rPr>
              <w:t>Institutional Demo Quick Reference</w:t>
            </w:r>
          </w:p>
        </w:tc>
      </w:tr>
    </w:tbl>
    <w:p>
      <w:pPr>
        <w:keepNext w:val="0"/>
        <w:spacing w:before="40" w:after="100" w:line="259" w:lineRule="auto"/>
        <w:pBdr>
          <w:bottom w:val="single" w:sz="16" w:space="1" w:color="C9A227"/>
        </w:pBdr>
      </w:pPr>
    </w:p>
    <w:p>
      <w:pPr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72033"/>
          <w:sz w:val="18"/>
        </w:rPr>
        <w:t>UniPortal is an institutional student portal and academic management platform supporting registration, enrollment, student services, academic records, examinations, progression decisions, reporting, and controlled role-based access. The current demonstration presents a practical institutional workflow that can be configured and expanded through consultation.</w:t>
      </w:r>
    </w:p>
    <w:p>
      <w:pPr>
        <w:pStyle w:val="Heading1"/>
      </w:pPr>
      <w:r>
        <w:t>1. User Roles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5DBE5"/>
          <w:left w:val="single" w:sz="5" w:color="D5DBE5"/>
          <w:bottom w:val="single" w:sz="5" w:color="D5DBE5"/>
          <w:right w:val="single" w:sz="5" w:color="D5DBE5"/>
          <w:insideH w:val="single" w:sz="5" w:color="D5DBE5"/>
          <w:insideV w:val="single" w:sz="5" w:color="D5DBE5"/>
        </w:tblBorders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102A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7710"/>
            <w:shd w:fill="102A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Primary responsibilities</w:t>
            </w:r>
          </w:p>
        </w:tc>
      </w:tr>
      <w:tr>
        <w:tc>
          <w:tcPr>
            <w:tcW w:type="dxa" w:w="1650"/>
            <w:shd w:fill="EAF0F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Admin</w:t>
            </w:r>
          </w:p>
        </w:tc>
        <w:tc>
          <w:tcPr>
            <w:tcW w:type="dxa" w:w="77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Configures academic structure, courses, sessions, users, policies, dashboards, and system-wide oversight.</w:t>
            </w:r>
          </w:p>
        </w:tc>
      </w:tr>
      <w:tr>
        <w:tc>
          <w:tcPr>
            <w:tcW w:type="dxa" w:w="1650"/>
            <w:shd w:fill="EAF0F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Registrar</w:t>
            </w:r>
          </w:p>
        </w:tc>
        <w:tc>
          <w:tcPr>
            <w:tcW w:type="dxa" w:w="77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Reviews enrollment, manages records, verifies results, approves progression decisions, and releases results.</w:t>
            </w:r>
          </w:p>
        </w:tc>
      </w:tr>
      <w:tr>
        <w:tc>
          <w:tcPr>
            <w:tcW w:type="dxa" w:w="1650"/>
            <w:shd w:fill="EAF0F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Student</w:t>
            </w:r>
          </w:p>
        </w:tc>
        <w:tc>
          <w:tcPr>
            <w:tcW w:type="dxa" w:w="77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Updates permitted details, requests enrollment, follows status, uses services, and views released results.</w:t>
            </w:r>
          </w:p>
        </w:tc>
      </w:tr>
      <w:tr>
        <w:tc>
          <w:tcPr>
            <w:tcW w:type="dxa" w:w="1650"/>
            <w:shd w:fill="EAF0F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Lecturer</w:t>
            </w:r>
          </w:p>
        </w:tc>
        <w:tc>
          <w:tcPr>
            <w:tcW w:type="dxa" w:w="77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Enters course marks, reviews calculated outcomes, and submits complete semester results.</w:t>
            </w:r>
          </w:p>
        </w:tc>
      </w:tr>
      <w:tr>
        <w:tc>
          <w:tcPr>
            <w:tcW w:type="dxa" w:w="1650"/>
            <w:shd w:fill="EAF0F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Dean/HOD</w:t>
            </w:r>
          </w:p>
        </w:tc>
        <w:tc>
          <w:tcPr>
            <w:tcW w:type="dxa" w:w="77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Reviews submitted results for academic completeness and forwards them to the Registrar.</w:t>
            </w:r>
          </w:p>
        </w:tc>
      </w:tr>
      <w:tr>
        <w:tc>
          <w:tcPr>
            <w:tcW w:type="dxa" w:w="1650"/>
            <w:shd w:fill="EAF0F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Finance (Pilot Concept)</w:t>
            </w:r>
          </w:p>
        </w:tc>
        <w:tc>
          <w:tcPr>
            <w:tcW w:type="dxa" w:w="771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6"/>
              </w:rPr>
              <w:t>Demonstrates future institutional fee, financial clearance, and payment workflow possibilities. Current implementation is intentionally limited for institutional consultation and phased rollout discussions.</w:t>
            </w:r>
          </w:p>
        </w:tc>
      </w:tr>
    </w:tbl>
    <w:p>
      <w:r>
        <w:br w:type="page"/>
      </w:r>
    </w:p>
    <w:p>
      <w:pPr>
        <w:pStyle w:val="Heading1"/>
      </w:pPr>
      <w:r>
        <w:t>2. System Flow</w:t>
      </w:r>
    </w:p>
    <w:p>
      <w:pPr>
        <w:keepNext w:val="0"/>
        <w:spacing w:before="0" w:after="80" w:line="259" w:lineRule="auto"/>
      </w:pPr>
      <w:r>
        <w:rPr>
          <w:rFonts w:ascii="Aptos" w:hAnsi="Aptos"/>
          <w:b w:val="0"/>
          <w:i w:val="0"/>
          <w:color w:val="172033"/>
          <w:sz w:val="18"/>
        </w:rPr>
        <w:t>The institutional workflow links academic setup, student registration, controlled academic approvals, and leadership reporting in one traceable process.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DD7E6"/>
          <w:left w:val="single" w:sz="5" w:color="CDD7E6"/>
          <w:bottom w:val="single" w:sz="5" w:color="CDD7E6"/>
          <w:right w:val="single" w:sz="5" w:color="CDD7E6"/>
          <w:insideH w:val="single" w:sz="5" w:color="CDD7E6"/>
          <w:insideV w:val="single" w:sz="5" w:color="CDD7E6"/>
        </w:tblBorders>
      </w:tblPr>
      <w:tblGrid>
        <w:gridCol w:w="4200"/>
        <w:gridCol w:w="960"/>
        <w:gridCol w:w="4200"/>
      </w:tblGrid>
      <w:tr>
        <w:trPr>
          <w:tblHeader w:val="true"/>
        </w:trPr>
        <w:tc>
          <w:tcPr>
            <w:tcW w:type="dxa" w:w="4200"/>
            <w:shd w:fill="102A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FOUNDATION &amp; ENROLLMENT</w:t>
            </w:r>
          </w:p>
        </w:tc>
        <w:tc>
          <w:tcPr>
            <w:tcW w:type="dxa" w:w="960"/>
            <w:shd w:fill="C9A22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102A56"/>
                <w:sz w:val="16"/>
              </w:rPr>
              <w:t>NEXT</w:t>
            </w:r>
          </w:p>
        </w:tc>
        <w:tc>
          <w:tcPr>
            <w:tcW w:type="dxa" w:w="4200"/>
            <w:shd w:fill="102A56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RESULTS &amp; REPORTING</w:t>
            </w:r>
          </w:p>
        </w:tc>
      </w:tr>
      <w:tr>
        <w:tc>
          <w:tcPr>
            <w:tcW w:type="dxa" w:w="4200"/>
            <w:shd w:fill="EAF0F8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1  Academic Setup</w:t>
            </w:r>
          </w:p>
        </w:tc>
        <w:tc>
          <w:tcPr>
            <w:tcW w:type="dxa" w:w="960"/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C9A227"/>
                <w:sz w:val="26"/>
              </w:rPr>
              <w:t>↓</w:t>
            </w:r>
          </w:p>
        </w:tc>
        <w:tc>
          <w:tcPr>
            <w:tcW w:type="dxa" w:w="4200"/>
            <w:shd w:fill="F8F3E3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6  Lecturer Mark Submission</w:t>
            </w:r>
          </w:p>
        </w:tc>
      </w:tr>
      <w:tr>
        <w:tc>
          <w:tcPr>
            <w:tcW w:type="dxa" w:w="4200"/>
            <w:shd w:fill="EAF0F8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2  Student Registration</w:t>
            </w:r>
          </w:p>
        </w:tc>
        <w:tc>
          <w:tcPr>
            <w:tcW w:type="dxa" w:w="960"/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C9A227"/>
                <w:sz w:val="26"/>
              </w:rPr>
              <w:t>↓</w:t>
            </w:r>
          </w:p>
        </w:tc>
        <w:tc>
          <w:tcPr>
            <w:tcW w:type="dxa" w:w="4200"/>
            <w:shd w:fill="F8F3E3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7  Dean/HOD Review</w:t>
            </w:r>
          </w:p>
        </w:tc>
      </w:tr>
      <w:tr>
        <w:tc>
          <w:tcPr>
            <w:tcW w:type="dxa" w:w="4200"/>
            <w:shd w:fill="EAF0F8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3  Enrollment Request</w:t>
            </w:r>
          </w:p>
        </w:tc>
        <w:tc>
          <w:tcPr>
            <w:tcW w:type="dxa" w:w="960"/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C9A227"/>
                <w:sz w:val="26"/>
              </w:rPr>
              <w:t>↓</w:t>
            </w:r>
          </w:p>
        </w:tc>
        <w:tc>
          <w:tcPr>
            <w:tcW w:type="dxa" w:w="4200"/>
            <w:shd w:fill="F8F3E3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8  Registrar Final Approval &amp; Release</w:t>
            </w:r>
          </w:p>
        </w:tc>
      </w:tr>
      <w:tr>
        <w:tc>
          <w:tcPr>
            <w:tcW w:type="dxa" w:w="4200"/>
            <w:shd w:fill="EAF0F8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4  Registrar Review &amp; Approval</w:t>
            </w:r>
          </w:p>
        </w:tc>
        <w:tc>
          <w:tcPr>
            <w:tcW w:type="dxa" w:w="960"/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C9A227"/>
                <w:sz w:val="26"/>
              </w:rPr>
              <w:t>↓</w:t>
            </w:r>
          </w:p>
        </w:tc>
        <w:tc>
          <w:tcPr>
            <w:tcW w:type="dxa" w:w="4200"/>
            <w:shd w:fill="F8F3E3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9  Student Result Access</w:t>
            </w:r>
          </w:p>
        </w:tc>
      </w:tr>
      <w:tr>
        <w:tc>
          <w:tcPr>
            <w:tcW w:type="dxa" w:w="4200"/>
            <w:shd w:fill="EAF0F8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5  Academic Record Creation</w:t>
            </w:r>
          </w:p>
        </w:tc>
        <w:tc>
          <w:tcPr>
            <w:tcW w:type="dxa" w:w="960"/>
            <w:shd w:fill="FFFFFF"/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i w:val="0"/>
                <w:color w:val="C9A227"/>
                <w:sz w:val="26"/>
              </w:rPr>
              <w:t>→</w:t>
            </w:r>
          </w:p>
        </w:tc>
        <w:tc>
          <w:tcPr>
            <w:tcW w:type="dxa" w:w="4200"/>
            <w:shd w:fill="F8F3E3"/>
            <w:vAlign w:val="center"/>
            <w:tcMar>
              <w:top w:w="85" w:type="dxa"/>
              <w:start w:w="145" w:type="dxa"/>
              <w:bottom w:w="85" w:type="dxa"/>
              <w:end w:w="14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10  Institutional Reports</w:t>
            </w:r>
          </w:p>
        </w:tc>
      </w:tr>
    </w:tbl>
    <w:p>
      <w:pPr>
        <w:pStyle w:val="Heading2"/>
      </w:pPr>
      <w:r>
        <w:t>How the Flow Operates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Academic setup: </w:t>
      </w:r>
      <w:r>
        <w:rPr>
          <w:rFonts w:ascii="Aptos" w:hAnsi="Aptos"/>
          <w:b w:val="0"/>
          <w:i w:val="0"/>
          <w:color w:val="172033"/>
          <w:sz w:val="18"/>
        </w:rPr>
        <w:t>Admin creates faculties, departments, programs, courses, sessions, and policy settings.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Student registration: </w:t>
      </w:r>
      <w:r>
        <w:rPr>
          <w:rFonts w:ascii="Aptos" w:hAnsi="Aptos"/>
          <w:b w:val="0"/>
          <w:i w:val="0"/>
          <w:color w:val="172033"/>
          <w:sz w:val="18"/>
        </w:rPr>
        <w:t>Students confirm identity and academic profiles.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Enrollment request: </w:t>
      </w:r>
      <w:r>
        <w:rPr>
          <w:rFonts w:ascii="Aptos" w:hAnsi="Aptos"/>
          <w:b w:val="0"/>
          <w:i w:val="0"/>
          <w:color w:val="172033"/>
          <w:sz w:val="18"/>
        </w:rPr>
        <w:t>Students select eligible courses and submit requests.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Registrar review: </w:t>
      </w:r>
      <w:r>
        <w:rPr>
          <w:rFonts w:ascii="Aptos" w:hAnsi="Aptos"/>
          <w:b w:val="0"/>
          <w:i w:val="0"/>
          <w:color w:val="172033"/>
          <w:sz w:val="18"/>
        </w:rPr>
        <w:t>Registrar verifies details, selection, and credits before approval or correction.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Academic records: </w:t>
      </w:r>
      <w:r>
        <w:rPr>
          <w:rFonts w:ascii="Aptos" w:hAnsi="Aptos"/>
          <w:b w:val="0"/>
          <w:i w:val="0"/>
          <w:color w:val="172033"/>
          <w:sz w:val="18"/>
        </w:rPr>
        <w:t>Approved enrollment establishes the semester academic record.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Mark submission: </w:t>
      </w:r>
      <w:r>
        <w:rPr>
          <w:rFonts w:ascii="Aptos" w:hAnsi="Aptos"/>
          <w:b w:val="0"/>
          <w:i w:val="0"/>
          <w:color w:val="172033"/>
          <w:sz w:val="18"/>
        </w:rPr>
        <w:t>Lecturer enters marks; UniPortal calculates grades, points, credits, and GPA.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Academic review: </w:t>
      </w:r>
      <w:r>
        <w:rPr>
          <w:rFonts w:ascii="Aptos" w:hAnsi="Aptos"/>
          <w:b w:val="0"/>
          <w:i w:val="0"/>
          <w:color w:val="172033"/>
          <w:sz w:val="18"/>
        </w:rPr>
        <w:t>Dean/HOD checks submitted results for academic completeness.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Final approval: </w:t>
      </w:r>
      <w:r>
        <w:rPr>
          <w:rFonts w:ascii="Aptos" w:hAnsi="Aptos"/>
          <w:b w:val="0"/>
          <w:i w:val="0"/>
          <w:color w:val="172033"/>
          <w:sz w:val="18"/>
        </w:rPr>
        <w:t>Registrar verifies standing and approval history, then releases the result.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Student access: </w:t>
      </w:r>
      <w:r>
        <w:rPr>
          <w:rFonts w:ascii="Aptos" w:hAnsi="Aptos"/>
          <w:b w:val="0"/>
          <w:i w:val="0"/>
          <w:color w:val="172033"/>
          <w:sz w:val="18"/>
        </w:rPr>
        <w:t>Students view and print only formally released results.</w:t>
      </w:r>
    </w:p>
    <w:p>
      <w:pPr>
        <w:pStyle w:val="ListNumber"/>
        <w:keepNext w:val="0"/>
        <w:spacing w:before="0" w:after="36" w:line="247" w:lineRule="auto"/>
      </w:pPr>
      <w:r>
        <w:rPr>
          <w:rFonts w:ascii="Aptos" w:hAnsi="Aptos"/>
          <w:b w:val="0"/>
          <w:i w:val="0"/>
          <w:color w:val="172033"/>
          <w:sz w:val="18"/>
        </w:rPr>
        <w:tab/>
      </w:r>
      <w:r>
        <w:rPr>
          <w:rFonts w:ascii="Aptos" w:hAnsi="Aptos"/>
          <w:b/>
          <w:i w:val="0"/>
          <w:color w:val="102A56"/>
          <w:sz w:val="18"/>
        </w:rPr>
        <w:t xml:space="preserve">Reporting: </w:t>
      </w:r>
      <w:r>
        <w:rPr>
          <w:rFonts w:ascii="Aptos" w:hAnsi="Aptos"/>
          <w:b w:val="0"/>
          <w:i w:val="0"/>
          <w:color w:val="172033"/>
          <w:sz w:val="18"/>
        </w:rPr>
        <w:t>Authorized staff generate progression and department performance summaries.</w:t>
      </w:r>
    </w:p>
    <w:p>
      <w:pPr>
        <w:pStyle w:val="Heading1"/>
      </w:pPr>
      <w:r>
        <w:t>3. Key Institutional Benefits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Operational efficiency: </w:t>
      </w:r>
      <w:r>
        <w:rPr>
          <w:rFonts w:ascii="Aptos" w:hAnsi="Aptos"/>
          <w:b w:val="0"/>
          <w:i w:val="0"/>
          <w:color w:val="172033"/>
          <w:sz w:val="18"/>
        </w:rPr>
        <w:t>Reduces manual paperwork and result-processing burden.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Academic accuracy: </w:t>
      </w:r>
      <w:r>
        <w:rPr>
          <w:rFonts w:ascii="Aptos" w:hAnsi="Aptos"/>
          <w:b w:val="0"/>
          <w:i w:val="0"/>
          <w:color w:val="172033"/>
          <w:sz w:val="18"/>
        </w:rPr>
        <w:t>Improves examination consistency and calculation reliability.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Progression control: </w:t>
      </w:r>
      <w:r>
        <w:rPr>
          <w:rFonts w:ascii="Aptos" w:hAnsi="Aptos"/>
          <w:b w:val="0"/>
          <w:i w:val="0"/>
          <w:color w:val="172033"/>
          <w:sz w:val="18"/>
        </w:rPr>
        <w:t>Tracks supplementary and carry-over requirements automatically.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Accountability: </w:t>
      </w:r>
      <w:r>
        <w:rPr>
          <w:rFonts w:ascii="Aptos" w:hAnsi="Aptos"/>
          <w:b w:val="0"/>
          <w:i w:val="0"/>
          <w:color w:val="172033"/>
          <w:sz w:val="18"/>
        </w:rPr>
        <w:t>Records each review, approval, change, and release decision.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Transparency: </w:t>
      </w:r>
      <w:r>
        <w:rPr>
          <w:rFonts w:ascii="Aptos" w:hAnsi="Aptos"/>
          <w:b w:val="0"/>
          <w:i w:val="0"/>
          <w:color w:val="172033"/>
          <w:sz w:val="18"/>
        </w:rPr>
        <w:t>Improves student self-service while protecting unreleased results.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Decision support: </w:t>
      </w:r>
      <w:r>
        <w:rPr>
          <w:rFonts w:ascii="Aptos" w:hAnsi="Aptos"/>
          <w:b w:val="0"/>
          <w:i w:val="0"/>
          <w:color w:val="172033"/>
          <w:sz w:val="18"/>
        </w:rPr>
        <w:t>Provides institutional reports for academic leadership.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Policy alignment: </w:t>
      </w:r>
      <w:r>
        <w:rPr>
          <w:rFonts w:ascii="Aptos" w:hAnsi="Aptos"/>
          <w:b w:val="0"/>
          <w:i w:val="0"/>
          <w:color w:val="172033"/>
          <w:sz w:val="18"/>
        </w:rPr>
        <w:t>Adapts grading, promotion, and workflow rules to the institution.</w:t>
      </w:r>
    </w:p>
    <w:p>
      <w:r>
        <w:br w:type="page"/>
      </w:r>
    </w:p>
    <w:p>
      <w:pPr>
        <w:pStyle w:val="Heading1"/>
      </w:pPr>
      <w:r>
        <w:t>4. Current Demo Scope</w:t>
      </w:r>
    </w:p>
    <w:p>
      <w:pPr>
        <w:keepNext w:val="0"/>
        <w:spacing w:before="0" w:after="100" w:line="259" w:lineRule="auto"/>
      </w:pPr>
      <w:r>
        <w:rPr>
          <w:rFonts w:ascii="Aptos" w:hAnsi="Aptos"/>
          <w:b w:val="0"/>
          <w:i w:val="0"/>
          <w:color w:val="172033"/>
          <w:sz w:val="18"/>
        </w:rPr>
        <w:t>The current demonstration focuses on working institutional academic workflows. Planned items are presented as consultation and phased-expansion opportunities, not completed production modules.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5DBE5"/>
          <w:left w:val="single" w:sz="5" w:color="D5DBE5"/>
          <w:bottom w:val="single" w:sz="5" w:color="D5DBE5"/>
          <w:right w:val="single" w:sz="5" w:color="D5DBE5"/>
          <w:insideH w:val="single" w:sz="5" w:color="D5DBE5"/>
          <w:insideV w:val="single" w:sz="5" w:color="D5DBE5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AF0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102A56"/>
                <w:sz w:val="18"/>
              </w:rPr>
              <w:t>CURRENT DEMONSTRATION SCOPE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Registration &amp; Enrollment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Academic Structure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Student Management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Academic Records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Examination &amp; Academic Progression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Supplementary &amp; Carry-Over Tracking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Timetable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Complaints / Helpdesk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Exam Clearance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Institutional Reports</w:t>
            </w:r>
          </w:p>
        </w:tc>
        <w:tc>
          <w:tcPr>
            <w:tcW w:type="dxa" w:w="4680"/>
            <w:shd w:fill="F8F3E3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keepNext/>
              <w:spacing w:before="0" w:after="100" w:line="259" w:lineRule="auto"/>
            </w:pPr>
            <w:r>
              <w:rPr>
                <w:rFonts w:ascii="Aptos" w:hAnsi="Aptos"/>
                <w:b/>
                <w:i w:val="0"/>
                <w:color w:val="102A56"/>
                <w:sz w:val="18"/>
              </w:rPr>
              <w:t>PLANNED EXPANSION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Finance integration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Payment workflows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Lecturer assignment controls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Advanced analytics and dashboards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SMS / Email notifications</w:t>
            </w:r>
          </w:p>
          <w:p>
            <w:pPr>
              <w:pStyle w:val="ListBullet"/>
              <w:keepNext w:val="0"/>
              <w:spacing w:before="0" w:after="44" w:line="252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7"/>
              </w:rPr>
              <w:t>Additional institutional workflows</w:t>
            </w:r>
          </w:p>
        </w:tc>
      </w:tr>
    </w:tbl>
    <w:p>
      <w:pPr>
        <w:pStyle w:val="Heading1"/>
      </w:pPr>
      <w:r>
        <w:t>5. Module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5DBE5"/>
          <w:left w:val="single" w:sz="5" w:color="D5DBE5"/>
          <w:bottom w:val="single" w:sz="5" w:color="D5DBE5"/>
          <w:right w:val="single" w:sz="5" w:color="D5DBE5"/>
          <w:insideH w:val="single" w:sz="5" w:color="D5DBE5"/>
          <w:insideV w:val="single" w:sz="5" w:color="D5DBE5"/>
        </w:tblBorders>
      </w:tblPr>
      <w:tblGrid>
        <w:gridCol w:w="2760"/>
        <w:gridCol w:w="6600"/>
      </w:tblGrid>
      <w:tr>
        <w:trPr>
          <w:tblHeader w:val="true"/>
        </w:trPr>
        <w:tc>
          <w:tcPr>
            <w:tcW w:type="dxa" w:w="2760"/>
            <w:shd w:fill="102A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Module</w:t>
            </w:r>
          </w:p>
        </w:tc>
        <w:tc>
          <w:tcPr>
            <w:tcW w:type="dxa" w:w="6600"/>
            <w:shd w:fill="102A56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Dashboard</w:t>
            </w:r>
          </w:p>
        </w:tc>
        <w:tc>
          <w:tcPr>
            <w:tcW w:type="dxa" w:w="6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Role-specific indicators, pending work, totals, and task links.</w:t>
            </w:r>
          </w:p>
        </w:tc>
      </w:tr>
      <w:tr>
        <w:tc>
          <w:tcPr>
            <w:tcW w:type="dxa" w:w="276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Academic Setup</w:t>
            </w:r>
          </w:p>
        </w:tc>
        <w:tc>
          <w:tcPr>
            <w:tcW w:type="dxa" w:w="660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Faculties, departments, programs, sessions, and structure.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Student Management</w:t>
            </w:r>
          </w:p>
        </w:tc>
        <w:tc>
          <w:tcPr>
            <w:tcW w:type="dxa" w:w="6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Identity, program placement, verification, and account status.</w:t>
            </w:r>
          </w:p>
        </w:tc>
      </w:tr>
      <w:tr>
        <w:tc>
          <w:tcPr>
            <w:tcW w:type="dxa" w:w="276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Course Management</w:t>
            </w:r>
          </w:p>
        </w:tc>
        <w:tc>
          <w:tcPr>
            <w:tcW w:type="dxa" w:w="660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Codes, titles, credits, level, semester, links, and active status.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Enrollment Management</w:t>
            </w:r>
          </w:p>
        </w:tc>
        <w:tc>
          <w:tcPr>
            <w:tcW w:type="dxa" w:w="6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Requests, Registrar decisions, reasons, tracking, and printable slips.</w:t>
            </w:r>
          </w:p>
        </w:tc>
      </w:tr>
      <w:tr>
        <w:tc>
          <w:tcPr>
            <w:tcW w:type="dxa" w:w="276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Academic Records</w:t>
            </w:r>
          </w:p>
        </w:tc>
        <w:tc>
          <w:tcPr>
            <w:tcW w:type="dxa" w:w="660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Semester courses, grades, credits, GPA, remarks, and history.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Examinations &amp; Progression</w:t>
            </w:r>
          </w:p>
        </w:tc>
        <w:tc>
          <w:tcPr>
            <w:tcW w:type="dxa" w:w="6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Marks, calculations, standing, approvals, release, and student access.</w:t>
            </w:r>
          </w:p>
        </w:tc>
      </w:tr>
      <w:tr>
        <w:tc>
          <w:tcPr>
            <w:tcW w:type="dxa" w:w="276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Progression Reports</w:t>
            </w:r>
          </w:p>
        </w:tc>
        <w:tc>
          <w:tcPr>
            <w:tcW w:type="dxa" w:w="660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Supplementary, carry-over, pass, repeat/discontinued, and department lists.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Timetable</w:t>
            </w:r>
          </w:p>
        </w:tc>
        <w:tc>
          <w:tcPr>
            <w:tcW w:type="dxa" w:w="6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Course schedules, venues, lecturers, semesters, and programs.</w:t>
            </w:r>
          </w:p>
        </w:tc>
      </w:tr>
      <w:tr>
        <w:tc>
          <w:tcPr>
            <w:tcW w:type="dxa" w:w="276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Complaints / Helpdesk</w:t>
            </w:r>
          </w:p>
        </w:tc>
        <w:tc>
          <w:tcPr>
            <w:tcW w:type="dxa" w:w="660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Student requests, responses, handling status, and resolution.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Exam Clearance</w:t>
            </w:r>
          </w:p>
        </w:tc>
        <w:tc>
          <w:tcPr>
            <w:tcW w:type="dxa" w:w="6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Attendance, financial clearance, eligibility, notes, and approval.</w:t>
            </w:r>
          </w:p>
        </w:tc>
      </w:tr>
      <w:tr>
        <w:tc>
          <w:tcPr>
            <w:tcW w:type="dxa" w:w="276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Finance (Pilot Concept)</w:t>
            </w:r>
          </w:p>
        </w:tc>
        <w:tc>
          <w:tcPr>
            <w:tcW w:type="dxa" w:w="6600"/>
            <w:shd w:fill="F3F5F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Demonstrates future institutional fee, financial clearance, and payment workflow possibilities. Current implementation is intentionally limited for institutional consultation and phased rollout discussions.</w:t>
            </w:r>
          </w:p>
        </w:tc>
      </w:tr>
      <w:tr>
        <w:tc>
          <w:tcPr>
            <w:tcW w:type="dxa" w:w="276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Audit Trail &amp; Security</w:t>
            </w:r>
          </w:p>
        </w:tc>
        <w:tc>
          <w:tcPr>
            <w:tcW w:type="dxa" w:w="66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72033"/>
                <w:sz w:val="15"/>
              </w:rPr>
              <w:t>Role permissions and histories for decisions, changes, approvals, and releases.</w:t>
            </w:r>
          </w:p>
        </w:tc>
      </w:tr>
    </w:tbl>
    <w:p>
      <w:r>
        <w:br w:type="page"/>
      </w:r>
    </w:p>
    <w:p>
      <w:pPr>
        <w:pStyle w:val="Heading1"/>
      </w:pPr>
      <w:r>
        <w:t>6. Examination &amp; Academic Progression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GPA / CGPA: </w:t>
      </w:r>
      <w:r>
        <w:rPr>
          <w:rFonts w:ascii="Aptos" w:hAnsi="Aptos"/>
          <w:b w:val="0"/>
          <w:i w:val="0"/>
          <w:color w:val="172033"/>
          <w:sz w:val="18"/>
        </w:rPr>
        <w:t>Calculated from course credit hours and grade points.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Grading policy: </w:t>
      </w:r>
      <w:r>
        <w:rPr>
          <w:rFonts w:ascii="Aptos" w:hAnsi="Aptos"/>
          <w:b w:val="0"/>
          <w:i w:val="0"/>
          <w:color w:val="172033"/>
          <w:sz w:val="18"/>
        </w:rPr>
        <w:t>Grade bands, pass marks, and points are institution-configurable and retained with the result.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Promotion policy: </w:t>
      </w:r>
      <w:r>
        <w:rPr>
          <w:rFonts w:ascii="Aptos" w:hAnsi="Aptos"/>
          <w:b w:val="0"/>
          <w:i w:val="0"/>
          <w:color w:val="172033"/>
          <w:sz w:val="18"/>
        </w:rPr>
        <w:t>GPA, credits, failed-course, repeat, and discontinuation thresholds follow configured rules.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Progression detection: </w:t>
      </w:r>
      <w:r>
        <w:rPr>
          <w:rFonts w:ascii="Aptos" w:hAnsi="Aptos"/>
          <w:b w:val="0"/>
          <w:i w:val="0"/>
          <w:color w:val="172033"/>
          <w:sz w:val="18"/>
        </w:rPr>
        <w:t>Failed courses are identified for supplementary or carry-over tracking; standing may be Pass, Supplementary, Carry Over, Repeat, Discontinued, or Suspended.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Approval workflow: </w:t>
      </w:r>
      <w:r>
        <w:rPr>
          <w:rFonts w:ascii="Aptos" w:hAnsi="Aptos"/>
          <w:b w:val="0"/>
          <w:i w:val="0"/>
          <w:color w:val="172033"/>
          <w:sz w:val="18"/>
        </w:rPr>
        <w:t>Lecturer Submitted → Dean/HOD Reviewed → Registrar Approved → Released.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Release control: </w:t>
      </w:r>
      <w:r>
        <w:rPr>
          <w:rFonts w:ascii="Aptos" w:hAnsi="Aptos"/>
          <w:b w:val="0"/>
          <w:i w:val="0"/>
          <w:color w:val="172033"/>
          <w:sz w:val="18"/>
        </w:rPr>
        <w:t>Students see released results only; lecturers and Dean/HOD reviewers cannot release final results.</w:t>
      </w:r>
    </w:p>
    <w:p>
      <w:pPr>
        <w:pStyle w:val="ListBullet"/>
        <w:keepNext w:val="0"/>
        <w:spacing w:before="0" w:after="36" w:line="247" w:lineRule="auto"/>
      </w:pPr>
      <w:r>
        <w:rPr>
          <w:rFonts w:ascii="Aptos" w:hAnsi="Aptos"/>
          <w:b/>
          <w:i w:val="0"/>
          <w:color w:val="102A56"/>
          <w:sz w:val="18"/>
        </w:rPr>
        <w:t xml:space="preserve">Printable result sheet: </w:t>
      </w:r>
      <w:r>
        <w:rPr>
          <w:rFonts w:ascii="Aptos" w:hAnsi="Aptos"/>
          <w:b w:val="0"/>
          <w:i w:val="0"/>
          <w:color w:val="172033"/>
          <w:sz w:val="18"/>
        </w:rPr>
        <w:t>Shows institutional and student details, courses, marks, grades, GPA, CGPA, standing, and approval status.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8C47A"/>
          <w:left w:val="single" w:sz="6" w:color="D8C47A"/>
          <w:bottom w:val="single" w:sz="6" w:color="D8C47A"/>
          <w:right w:val="single" w:sz="6" w:color="D8C47A"/>
          <w:insideH w:val="single" w:sz="6" w:color="D8C47A"/>
          <w:insideV w:val="single" w:sz="6" w:color="D8C47A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C9A22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DEMO CREDENTIALS</w:t>
            </w:r>
          </w:p>
        </w:tc>
        <w:tc>
          <w:tcPr>
            <w:tcW w:type="dxa" w:w="7160"/>
            <w:shd w:fill="F8F3E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02A56"/>
                <w:sz w:val="17"/>
              </w:rPr>
              <w:t>All demo accounts use:  UniPortal123</w:t>
              <w:br/>
              <w:t>Role-specific emails are listed in the demo login documentation.</w:t>
            </w:r>
          </w:p>
        </w:tc>
      </w:tr>
    </w:tbl>
    <w:p>
      <w:pPr>
        <w:pStyle w:val="Heading1"/>
      </w:pPr>
      <w:r>
        <w:t>7. Institutional Configuration</w:t>
      </w:r>
    </w:p>
    <w:p>
      <w:pPr>
        <w:keepNext w:val="0"/>
        <w:spacing w:before="0" w:after="0" w:line="259" w:lineRule="auto"/>
      </w:pPr>
      <w:r>
        <w:rPr>
          <w:rFonts w:ascii="Aptos" w:hAnsi="Aptos"/>
          <w:b w:val="0"/>
          <w:i w:val="0"/>
          <w:color w:val="172033"/>
          <w:sz w:val="18"/>
        </w:rPr>
        <w:t>UniPortal is configurable per institution. Academic structures, grading policies, promotion rules, approval workflows, hosting, security controls, and reports can be adapted to the university's official regulations and governance requirements.</w:t>
      </w:r>
    </w:p>
    <w:sectPr w:rsidR="00FC693F" w:rsidRPr="0006063C" w:rsidSect="00034616">
      <w:footerReference w:type="default" r:id="rId9"/>
      <w:pgSz w:w="12240" w:h="15840"/>
      <w:pgMar w:top="835" w:right="1037" w:bottom="806" w:left="1037" w:header="36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40" w:after="0" w:line="240" w:lineRule="auto"/>
      <w:jc w:val="center"/>
    </w:pPr>
    <w:r>
      <w:rPr>
        <w:rFonts w:ascii="Aptos" w:hAnsi="Aptos"/>
        <w:b w:val="0"/>
        <w:i w:val="0"/>
        <w:color w:val="667085"/>
        <w:sz w:val="15"/>
      </w:rPr>
      <w:t>Confidential Institutional Demonstration Material | UniPortal by Sky High Tech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ptos" w:hAnsi="Aptos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5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5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7" w:lineRule="auto"/>
      <w:ind w:left="461" w:hanging="245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7" w:lineRule="auto"/>
      <w:ind w:left="461" w:hanging="245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UniPortal System Flow &amp; User Manual</dc:title>
  <dc:subject>Institutional demo quick reference</dc:subject>
  <dc:creator>Sky High Tech</dc:creator>
  <cp:keywords>UniPortal, institutional demo, user manual, system 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