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porta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C9A227"/>
          <w:sz w:val="20"/>
        </w:rPr>
        <w:t>PRELIMINARY INSTITUTIONAL PROPOSAL</w:t>
      </w:r>
    </w:p>
    <w:p>
      <w:pPr>
        <w:spacing w:after="280"/>
        <w:jc w:val="center"/>
      </w:pPr>
      <w:r>
        <w:rPr>
          <w:rFonts w:ascii="Aptos" w:hAnsi="Aptos"/>
          <w:b/>
          <w:i w:val="0"/>
          <w:color w:val="5D6978"/>
          <w:sz w:val="17"/>
        </w:rPr>
        <w:t>CONFIDENTIAL / PRELIMINARY CONSULTATION DOCUMENT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0B2545"/>
          <w:sz w:val="50"/>
        </w:rPr>
        <w:t>Proposal for UniPortal Institutional Digital Transformation Platform</w:t>
      </w:r>
    </w:p>
    <w:p>
      <w:pPr>
        <w:spacing w:after="520"/>
        <w:jc w:val="center"/>
      </w:pPr>
      <w:r>
        <w:rPr>
          <w:rFonts w:ascii="Aptos" w:hAnsi="Aptos"/>
          <w:b w:val="0"/>
          <w:i w:val="0"/>
          <w:color w:val="5D6978"/>
          <w:sz w:val="26"/>
        </w:rPr>
        <w:t>A Preliminary Institutional Proposal for University Digital Administration, Student Services &amp; Academic Management</w:t>
      </w:r>
    </w:p>
    <w:p>
      <w:pPr>
        <w:pBdr>
          <w:bottom w:val="single" w:sz="18" w:space="8" w:color="C9A227"/>
        </w:pBdr>
        <w:spacing w:after="560"/>
      </w:pPr>
    </w:p>
    <w:tbl>
      <w:tblPr>
        <w:tblW w:type="dxa" w:w="8400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300"/>
        <w:gridCol w:w="6100"/>
      </w:tblGrid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Prepared By</w:t>
            </w:r>
          </w:p>
        </w:tc>
        <w:tc>
          <w:tcPr>
            <w:tcW w:type="dxa" w:w="6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/>
                <w:i w:val="0"/>
                <w:color w:val="212529"/>
                <w:sz w:val="21"/>
              </w:rPr>
              <w:t>Sky High Tech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Tagline</w:t>
            </w:r>
          </w:p>
        </w:tc>
        <w:tc>
          <w:tcPr>
            <w:tcW w:type="dxa" w:w="6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/>
                <w:i w:val="0"/>
                <w:color w:val="212529"/>
                <w:sz w:val="21"/>
              </w:rPr>
              <w:t>Technology Made Simple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Mission Line</w:t>
            </w:r>
          </w:p>
        </w:tc>
        <w:tc>
          <w:tcPr>
            <w:tcW w:type="dxa" w:w="6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/>
                <w:i w:val="0"/>
                <w:color w:val="212529"/>
                <w:sz w:val="21"/>
              </w:rPr>
              <w:t>Building Africa's Digital Future from South Sudan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>
            <w:r>
              <w:rPr>
                <w:rFonts w:ascii="Aptos" w:hAnsi="Aptos"/>
                <w:b/>
                <w:i w:val="0"/>
                <w:color w:val="0B2545"/>
                <w:sz w:val="19"/>
              </w:rPr>
              <w:t>Document Purpose</w:t>
            </w:r>
          </w:p>
        </w:tc>
        <w:tc>
          <w:tcPr>
            <w:tcW w:type="dxa" w:w="6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Institutional presentation, consultation, pilot planning, and partnership discussion</w:t>
            </w:r>
          </w:p>
        </w:tc>
      </w:tr>
    </w:tbl>
    <w:p>
      <w:pPr>
        <w:spacing w:before="560"/>
        <w:jc w:val="center"/>
      </w:pPr>
      <w:r>
        <w:rPr>
          <w:rFonts w:ascii="Aptos" w:hAnsi="Aptos"/>
          <w:b w:val="0"/>
          <w:i w:val="0"/>
          <w:color w:val="5D6978"/>
          <w:sz w:val="20"/>
        </w:rPr>
        <w:t>Date: June 1, 2026</w:t>
      </w:r>
    </w:p>
    <w:p>
      <w:pPr>
        <w:spacing w:before="160"/>
        <w:jc w:val="center"/>
      </w:pPr>
      <w:r>
        <w:rPr>
          <w:rFonts w:ascii="Aptos" w:hAnsi="Aptos"/>
          <w:b w:val="0"/>
          <w:i w:val="0"/>
          <w:color w:val="5D6978"/>
          <w:sz w:val="17"/>
        </w:rPr>
        <w:t>Version 1.0 - June 2026</w:t>
      </w:r>
    </w:p>
    <w:p>
      <w:pPr>
        <w:spacing w:after="720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1. Executive Summary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University digital transformation is no longer an optional technology project. It is becoming a core institutional capability for improving student services, academic accountability, operational visibility, and leadership decision-making.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Many institutions face pressure from growing student populations, manual registration processes, fragmented records, and limited real-time reporting. These challenges affect students, registrars, academic departments, finance teams, ICT units, and senior leadership.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UniPortal responds with a focused, web-based institutional platform that demonstrates the core academic registration workflow: academic setup, student management, course enrollment, registrar review, student self-service, and foundational reporting.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This proposal positions UniPortal honestly as a current MVP with demonstrable institutional capabilities and a clear pathway toward phased deployment. Consultation is therefore essential: the system should be aligned with each university's governance model, academic structure, data policies, staff readiness, and implementation priorities.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Executive Positioning: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UniPortal is a practical foundation for institutional digital transformation, beginning with high-value academic registration and expanding through phased consultation, pilot validation, and partnership delivery.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2. Institutional Context &amp; Common Challenges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Across the higher education sector, many administrative processes remain partly manual, partly digital, and often distributed across offices, spreadsheets, paper files, and individual staff workflows. This context is not a criticism of any institution; it reflects common realities faced by universities working under resource, infrastructure, and growth constraints.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3300"/>
        <w:gridCol w:w="5800"/>
      </w:tblGrid>
      <w:t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Common Institutional Reality</w:t>
            </w:r>
          </w:p>
        </w:tc>
        <w:tc>
          <w:tcPr>
            <w:tcW w:type="dxa" w:w="5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Operational Effect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Manual and paper-based registration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Creates queues, repeated follow-up, and slower confirmation of student enrollment.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Delayed student enrollment processes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Affects academic planning, course lists, and student confidence during registration periods.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Fragmented student information systems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Makes it difficult to maintain one trusted record for students, courses, and academic sessions.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Limited academic process visibility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Restricts leadership's ability to monitor progress, bottlenecks, and workload across offices.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communication challenges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Students may not know whether action is required, approval is pending, or records are complete.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Reporting and accountability limitations</w:t>
            </w:r>
          </w:p>
        </w:tc>
        <w:tc>
          <w:tcPr>
            <w:tcW w:type="dxa" w:w="5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Institutional reports can take longer to prepare and may require manual reconciliation.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A well-managed digital platform should reduce administrative friction while respecting the institution's existing structure, policy environment, and pace of change.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3. Introduction to UniPortal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UniPortal is an institutional digital administration platform designed to support universities as they gradually modernize student services, academic management, and administrative workflows.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Its immediate purpose is to provide a controlled digital registration and enrollment environment. Its longer-term vision is to become a broader institutional platform that can support academic departments, finance workflows, examinations, results, clearance, analytics, and executive reporting.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2100"/>
        <w:gridCol w:w="7000"/>
      </w:tblGrid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7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UniPortal Institutional Value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Purpose</w:t>
            </w:r>
          </w:p>
        </w:tc>
        <w:tc>
          <w:tcPr>
            <w:tcW w:type="dxa" w:w="7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Digitize the core student registration and academic enrollment workflow.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Vision</w:t>
            </w:r>
          </w:p>
        </w:tc>
        <w:tc>
          <w:tcPr>
            <w:tcW w:type="dxa" w:w="7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Support institutional digital transformation through phased modules.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Current MVP capability</w:t>
            </w:r>
          </w:p>
        </w:tc>
        <w:tc>
          <w:tcPr>
            <w:tcW w:type="dxa" w:w="7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Demonstrates student management, course setup, enrollment, role-based access, dashboards, and reporting foundations.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Institutional value</w:t>
            </w:r>
          </w:p>
        </w:tc>
        <w:tc>
          <w:tcPr>
            <w:tcW w:type="dxa" w:w="7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Improves visibility, reduces repeated manual work, and creates a structured foundation for future systems.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Scalability</w:t>
            </w:r>
          </w:p>
        </w:tc>
        <w:tc>
          <w:tcPr>
            <w:tcW w:type="dxa" w:w="7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Designed for gradual expansion based on institutional priorities, readiness, and governance requirements.</w:t>
            </w:r>
          </w:p>
        </w:tc>
      </w:tr>
    </w:tbl>
    <w:p>
      <w:pPr>
        <w:spacing w:after="6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Important Clarification: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UniPortal should not be presented as a fully completed SIS or ERP today. It is a focused institutional MVP and consultation-ready platform with a defined foundation for phased expansion.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4. Why UniPortal?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Institutions considering digital administration often face a choice between generic foreign systems, disconnected manual processes, and locally adaptable platforms. UniPortal is positioned as a practical option for institutions that need phased modernization, local support, and a system that can be shaped around institutional governance and operational realities.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4100"/>
        <w:gridCol w:w="5000"/>
      </w:tblGrid>
      <w:tr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UniPortal Advantage</w:t>
            </w:r>
          </w:p>
        </w:tc>
        <w:tc>
          <w:tcPr>
            <w:tcW w:type="dxa" w:w="5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Institutional Benefit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Designed with South Sudan institutional realities in mind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Better local relevance and adaptability.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Local technical support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Faster support, customization, and training coordination.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Phased implementation model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Lower institutional risk through controlled pilot validation.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Consultation-driven development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The institution shapes priorities before broad deployment.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Flexible customization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Can align with faculties, departments, programs, roles, and institutional terminology.</w:t>
            </w:r>
          </w:p>
        </w:tc>
      </w:tr>
      <w:tr>
        <w:tc>
          <w:tcPr>
            <w:tcW w:type="dxa" w:w="4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Cost-aware implementation</w:t>
            </w:r>
          </w:p>
        </w:tc>
        <w:tc>
          <w:tcPr>
            <w:tcW w:type="dxa" w:w="5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More realistic planning for regional institutions and staged budgets.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The objective is institutional strengthening rather than software replacement alone. UniPortal should help improve operational efficiency, accountability, and digital service delivery while allowing the institution to modernize at a manageable pace.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5. Purpose of the Institutional Presentation &amp; Consultation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The institutional presentation is not only a product demonstration. It is a structured consultation meeting that helps the university and Sky High Tech determine whether UniPortal fits the institution's operating realities, leadership priorities, and digital transformation roadmap.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UniPortal Presentation Discussion Summary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3100"/>
        <w:gridCol w:w="6000"/>
      </w:tblGrid>
      <w:tr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Consultation Purpose</w:t>
            </w:r>
          </w:p>
        </w:tc>
        <w:tc>
          <w:tcPr>
            <w:tcW w:type="dxa" w:w="6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Expected Discussion Outcome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Demonstrate current capabilities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Confirm what the MVP can show today through a live institutional workflow.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Gather institutional feedback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Identify workflow gaps, policy expectations, terminology, and user requirements.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Understand university priorities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Determine whether registration, reporting, finance, examinations, or student services should lead the roadmap.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Explore customization requirements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Discuss faculties, departments, programs, approval rules, reports, branding, and data structures.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Discuss implementation readiness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Review hosting, ICT capacity, data quality, staff onboarding, and pilot timing.</w:t>
            </w:r>
          </w:p>
        </w:tc>
      </w:tr>
      <w:tr>
        <w:tc>
          <w:tcPr>
            <w:tcW w:type="dxa" w:w="31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Align with institutional realities</w:t>
            </w:r>
          </w:p>
        </w:tc>
        <w:tc>
          <w:tcPr>
            <w:tcW w:type="dxa" w:w="60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Shape a practical pilot plan that respects existing systems, staff responsibilities, and governance controls.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This consultation-first approach reduces the risk of premature commitment and allows both parties to design a realistic pilot based on evidence rather than assumptions.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B2545"/>
                <w:sz w:val="21"/>
              </w:rPr>
              <w:t>Expected Outcome of the Presentation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The institutional consultation is expected to help determine: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Whether UniPortal aligns with institutional priorities.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Which modules should be prioritized first.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Whether a pilot implementation is appropriate.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Institutional focal persons.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Technical readiness and hosting expectations.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Aptos" w:hAnsi="Aptos"/>
                <w:b w:val="0"/>
                <w:i w:val="0"/>
                <w:color w:val="212529"/>
                <w:sz w:val="20"/>
              </w:rPr>
              <w:t>Preliminary next steps toward implementation planning.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6. UniPortal Demonstration (Current MVP)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Current Demonstrable MVP Features: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The features below represent capabilities available for demonstration and pilot discussion. Production deployment scope should be confirmed after institutional review, data assessment, security checks, and workflow validation.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Student Management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Registration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Student profiles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Student records and academic identity fields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Course &amp; Academic Management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Course creation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Semester enrollment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Academic setup for faculties, departments, programs, sessions, and courses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Role-Based Access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Admin access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Registrar access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Student access with controlled self-service views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Student Self-Service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Enrollment requests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Course tracking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Profile updates where institutionally permitted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Administrative Dashboard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Enrollment visibility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Monitoring of institutional activity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Basic reporting and operational indicators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7. Institutional Vision &amp; Future Modules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UniPortal's long-term institutional value comes from its ability to expand gradually. Future modules should be prioritized through leadership consultation, technical assessment, policy review, and pilot evidence.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Planned Institutional Expansion Modules: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The items below are planned expansion areas, not claims that every module is already complete in the MVP.</w:t>
            </w:r>
          </w:p>
        </w:tc>
      </w:tr>
    </w:tbl>
    <w:p>
      <w:pPr>
        <w:spacing w:after="4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2700"/>
        <w:gridCol w:w="6400"/>
      </w:tblGrid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Expansion Area</w:t>
            </w:r>
          </w:p>
        </w:tc>
        <w:tc>
          <w:tcPr>
            <w:tcW w:type="dxa" w:w="6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Institutional Purpose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Finance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Fees, balances, payment tracking, finance reporting, and possible payment integrations.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Lecturer management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Lecturer profiles, course assignment, grade entry workflows, and academic workload visibility.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Dean/HOD module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Faculty and department-level oversight, approvals, and academic monitoring.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Exams &amp; results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Exam clearance, result processing, grade approval, transcripts, and result publication controls.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Timetable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Course schedules, room allocation, and student/lecturer timetable visibility.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clearance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Graduation, finance, library, academic, and departmental clearance workflows.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Complaint tracking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support requests, escalation, resolution tracking, and service accountability.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Analytics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Operational dashboards, trend analysis, institutional KPIs, and decision support.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Mobile accessibility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Improved access for students and staff using phones and low-bandwidth environments.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Notifications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Email/SMS/in-app alerts for registration status, deadlines, and institutional announcements.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AI-assisted reporting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Future possibility for guided report generation, summaries, and leadership insights.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Each module should be introduced only after scope, policy ownership, process design, data fields, user permissions, and support expectations are agreed.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8. Governance, Security &amp; Institutional Data Ownership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Data Ownership Principle: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The institution owns its data. Sky High Tech acts as a technology implementation and support partner, not the owner of institutional data.</w:t>
            </w:r>
          </w:p>
        </w:tc>
      </w:tr>
    </w:tbl>
    <w:p>
      <w:pPr>
        <w:spacing w:after="4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2700"/>
        <w:gridCol w:w="6400"/>
      </w:tblGrid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Governance Area</w:t>
            </w:r>
          </w:p>
        </w:tc>
        <w:tc>
          <w:tcPr>
            <w:tcW w:type="dxa" w:w="6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Institutional Position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Data ownership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All student, academic, administrative, and institutional records remain the property of the institution.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Access permissions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Users should access only the modules and records appropriate to their official role.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Audit logging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Critical actions should be traceable, including approvals, status changes, and administrative decisions.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Security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Authentication, role controls, secure hosting practices, and controlled configuration should be part of deployment planning.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Cloud hosting options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Deployment can be discussed based on institutional preference, budget, compliance, and ICT readiness.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Backup &amp; disaster recovery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Backup frequency, recovery process, and retention expectations should be agreed before production use.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Restricted technical access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Technical support access should be limited, authorized, and documented according to institutional policy.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Administrative control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The institution should retain administrative oversight of users, roles, academic structures, and data governance rules.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Governance should be treated as a leadership and policy discussion, not only an ICT matter. Registrar, ICT, finance, academic affairs, and institutional leadership should agree on data responsibilities before rollout.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9. Institutional Deployment Approach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A phased approach is recommended so that the institution can validate workflow fit, staff readiness, data quality, user adoption, reporting needs, and technical operations before broad deployment.</w:t>
      </w: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Visual Implementation Roadmap</w:t>
      </w:r>
    </w:p>
    <w:tbl>
      <w:tblPr>
        <w:tblW w:type="dxa" w:w="84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B8C6D8"/>
          <w:left w:val="single" w:sz="5" w:space="0" w:color="B8C6D8"/>
          <w:bottom w:val="single" w:sz="5" w:space="0" w:color="B8C6D8"/>
          <w:right w:val="single" w:sz="5" w:space="0" w:color="B8C6D8"/>
          <w:insideH w:val="single" w:sz="5" w:space="0" w:color="B8C6D8"/>
          <w:insideV w:val="single" w:sz="5" w:space="0" w:color="B8C6D8"/>
        </w:tblBorders>
      </w:tblPr>
      <w:tblGrid>
        <w:gridCol w:w="2500"/>
        <w:gridCol w:w="450"/>
        <w:gridCol w:w="2500"/>
        <w:gridCol w:w="450"/>
        <w:gridCol w:w="2500"/>
      </w:tblGrid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Phase 1 - Pilot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Phase 2 - Academic Expansion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Phase 3 - Institutional Expansion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/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Registration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Enrollment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profiles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Basic reporting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32"/>
              </w:rPr>
              <w:t>&gt;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/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Timetable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support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Academic workflows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32"/>
              </w:rPr>
              <w:t>&gt;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1F8"/>
          </w:tcPr>
          <w:p/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Finance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Examinations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Results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Advanced reporting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Analytics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5D6978"/>
                <w:sz w:val="17"/>
              </w:rPr>
              <w:t>Validate core workflow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5D6978"/>
                <w:sz w:val="17"/>
              </w:rPr>
              <w:t>Extend academic operations</w:t>
            </w:r>
          </w:p>
        </w:tc>
        <w:tc>
          <w:tcPr>
            <w:tcW w:type="dxa" w:w="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i/>
                <w:color w:val="5D6978"/>
                <w:sz w:val="17"/>
              </w:rPr>
              <w:t>Broaden institutional reporting</w:t>
            </w:r>
          </w:p>
        </w:tc>
      </w:tr>
    </w:tbl>
    <w:p>
      <w:pPr>
        <w:spacing w:after="8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1800"/>
        <w:gridCol w:w="3900"/>
        <w:gridCol w:w="3400"/>
      </w:tblGrid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Primary Scope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Expected Institutional Outcome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Phase 1 (Pilot)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Registration, enrollment, student profiles, and basic reporting.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Validate the core workflow with selected faculties, departments, or student groups.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Phase 2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Academic workflows, timetable, and student support.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Extend operational value beyond registration and strengthen student service delivery.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Phase 3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Finance, examinations, results, and advanced reporting.</w:t>
            </w:r>
          </w:p>
        </w:tc>
        <w:tc>
          <w:tcPr>
            <w:tcW w:type="dxa" w:w="3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Move toward broader institutional administration with stronger leadership visibility.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ptos" w:hAnsi="Aptos"/>
          <w:b/>
          <w:i w:val="0"/>
          <w:color w:val="1F4E79"/>
          <w:sz w:val="25"/>
        </w:rPr>
        <w:t>Implementation Enablers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Training for administrators, registrar staff, ICT users, and selected academic offices.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Change management to help staff transition from manual or spreadsheet-based workflows.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Staff onboarding with role-specific guidance and controlled user permissions.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Data migration planning for students, courses, departments, programs, and academic sessions.</w:t>
      </w:r>
    </w:p>
    <w:p>
      <w:pPr>
        <w:pStyle w:val="ListBullet"/>
        <w:spacing w:after="80"/>
        <w:ind w:left="360" w:hanging="173"/>
      </w:pPr>
      <w:r>
        <w:rPr>
          <w:rFonts w:ascii="Aptos" w:hAnsi="Aptos"/>
          <w:b w:val="0"/>
          <w:i w:val="0"/>
          <w:color w:val="212529"/>
          <w:sz w:val="21"/>
        </w:rPr>
        <w:t>Institutional focal persons to coordinate approvals, data validation, communication, and feedback.</w:t>
      </w: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10. Partnership &amp; Sustainability Model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The recommended partnership model is collaborative and scope-based. UniPortal should be configured around the institution's academic structure, reporting expectations, governance model, and deployment readiness.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2700"/>
        <w:gridCol w:w="6400"/>
      </w:tblGrid>
      <w:t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Partnership Area</w:t>
            </w:r>
          </w:p>
        </w:tc>
        <w:tc>
          <w:tcPr>
            <w:tcW w:type="dxa" w:w="6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Recommended Approach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Customization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Adapt terminology, workflows, reports, roles, and institutional branding after consultation.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Hosting options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Discuss cloud, managed hosting, or institution-preferred hosting based on technical and policy requirements.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Support structure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Agree response channels, support hours, issue escalation, and responsibilities for institutional focal persons.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Maintenance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Plan system updates, backups, monitoring, documentation, and controlled change requests.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Costing philosophy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Keep pricing subject to institutional scope, customization requirements, hosting model, data migration, and agreed support level.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Long-term collaboration</w:t>
            </w:r>
          </w:p>
        </w:tc>
        <w:tc>
          <w:tcPr>
            <w:tcW w:type="dxa" w:w="64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Use pilot evidence to define expansion modules and sustainability arrangements.</w:t>
            </w:r>
          </w:p>
        </w:tc>
      </w:tr>
    </w:tbl>
    <w:p>
      <w:pPr>
        <w:spacing w:after="6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Pricing Position: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Final pricing should be provided only after scope confirmation. Initial discussions should focus on institutional needs, module priorities, hosting requirements, data readiness, and implementation effort.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11. Recommended Institutional Participants for Presentation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For the presentation and consultation to be effective, participation should include both decision-makers and operational users who understand the university's day-to-day administrative realities.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2900"/>
        <w:gridCol w:w="6200"/>
      </w:tblGrid>
      <w:tr>
        <w:tc>
          <w:tcPr>
            <w:tcW w:type="dxa" w:w="2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Participant Group</w:t>
            </w:r>
          </w:p>
        </w:tc>
        <w:tc>
          <w:tcPr>
            <w:tcW w:type="dxa" w:w="6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Reason for Attendance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University leadership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Strategic alignment, institutional sponsorship, policy direction, and partnership decision-making.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Registrar office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Registration workflow ownership, student records, approvals, and academic administration requirements.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ICT department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Hosting, security, integration, support model, infrastructure, and technical readiness.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Finance office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Future finance module requirements, payment workflows, clearance, and cost implications.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Academic affairs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Academic calendar, course structures, enrollment rules, and quality assurance requirements.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Deans/HODs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Faculty and department-level workflows, approvals, reporting needs, and academic oversight.</w:t>
            </w:r>
          </w:p>
        </w:tc>
      </w:tr>
      <w:tr>
        <w:tc>
          <w:tcPr>
            <w:tcW w:type="dxa" w:w="29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representatives</w:t>
            </w:r>
          </w:p>
        </w:tc>
        <w:tc>
          <w:tcPr>
            <w:tcW w:type="dxa" w:w="62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Student service experience, communication needs, usability feedback, and adoption considerations.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12. Feedback &amp; Institutional Consultation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The consultation should produce clear institutional feedback that can be converted into a pilot scope, implementation plan, governance model, and future module roadmap.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</w:tblPr>
      <w:tblGrid>
        <w:gridCol w:w="4300"/>
        <w:gridCol w:w="4800"/>
      </w:tblGrid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Consultation Question</w:t>
            </w:r>
          </w:p>
        </w:tc>
        <w:tc>
          <w:tcPr>
            <w:tcW w:type="dxa" w:w="4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B2545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Response Notes</w:t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Which modules should be prioritized first?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What are the institution's biggest administrative pain points?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What implementation timeline is realistic for a pilot?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What data governance expectations must be respected?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Which existing systems, spreadsheets, or databases may need integration or migration?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Which departments, faculties, or student groups should be included in the first pilot?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What reports does leadership need during and after registration?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  <w:tr>
        <w:tc>
          <w:tcPr>
            <w:tcW w:type="dxa" w:w="43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  <w:t>Who should serve as institutional focal persons for implementation?</w:t>
            </w:r>
          </w:p>
        </w:tc>
        <w:tc>
          <w:tcPr>
            <w:tcW w:type="dxa" w:w="480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12529"/>
                <w:sz w:val="19"/>
              </w:rPr>
            </w:r>
          </w:p>
        </w:tc>
      </w:tr>
    </w:tbl>
    <w:p>
      <w:pPr>
        <w:spacing w:after="60"/>
      </w:pP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Consultation Output: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After the meeting, Sky High Tech can prepare a scoped pilot note covering priority modules, deployment approach, timeline, responsibilities, support model, and cost estimate subject to agreed requirements.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13. Conclusion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UniPortal represents a practical pathway for South Sudanese universities to begin digital transformation in a focused, measurable, and institutionally responsible way. It starts with the registration and academic enrollment workflow because that workflow is visible, high-impact, and central to student service delivery.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The platform should be viewed as a long-term institutional digital transformation partner, not a one-time software installation. Its current MVP demonstrates a sufficiently defined workflow for institutional consultation, while its roadmap leaves room for finance, examinations, results, timetable, clearance, analytics, and other modules to be introduced responsibly.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Sky High Tech recommends a leadership consultation followed by a controlled pilot. This approach allows the institution to validate the system with real workflows, protect institutional data ownership, train staff, measure adoption, and plan future expansion with confidence.</w:t>
      </w:r>
    </w:p>
    <w:tbl>
      <w:tblPr>
        <w:tblW w:type="dxa" w:w="9100"/>
        <w:tblLook w:firstColumn="1" w:firstRow="1" w:lastColumn="0" w:lastRow="0" w:noHBand="0" w:noVBand="1" w:val="04A0"/>
        <w:tblLayout w:type="fixed"/>
        <w:tblInd w:w="120" w:type="dxa"/>
        <w:tblBorders>
          <w:top w:val="single" w:sz="5" w:space="0" w:color="E6D8A7"/>
          <w:left w:val="single" w:sz="5" w:space="0" w:color="E6D8A7"/>
          <w:bottom w:val="single" w:sz="5" w:space="0" w:color="E6D8A7"/>
          <w:right w:val="single" w:sz="5" w:space="0" w:color="E6D8A7"/>
          <w:insideH w:val="single" w:sz="5" w:space="0" w:color="E6D8A7"/>
          <w:insideV w:val="single" w:sz="5" w:space="0" w:color="E6D8A7"/>
        </w:tblBorders>
      </w:tblPr>
      <w:tblGrid>
        <w:gridCol w:w="9100"/>
      </w:tblGrid>
      <w:tr>
        <w:tc>
          <w:tcPr>
            <w:tcW w:type="dxa" w:w="9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5DF"/>
          </w:tcPr>
          <w:p>
            <w:r>
              <w:rPr>
                <w:rFonts w:ascii="Aptos" w:hAnsi="Aptos"/>
                <w:b/>
                <w:i w:val="0"/>
                <w:color w:val="0B2545"/>
                <w:sz w:val="21"/>
              </w:rPr>
              <w:t xml:space="preserve">Closing Position: </w:t>
            </w:r>
            <w:r>
              <w:rPr>
                <w:rFonts w:ascii="Aptos" w:hAnsi="Aptos"/>
                <w:b w:val="0"/>
                <w:i w:val="0"/>
                <w:color w:val="212529"/>
                <w:sz w:val="21"/>
              </w:rPr>
              <w:t>UniPortal is a realistic, partnership-driven foundation for university digital administration that can grow with institutional needs.</w:t>
            </w:r>
          </w:p>
        </w:tc>
      </w:tr>
    </w:tbl>
    <w:p>
      <w:pPr>
        <w:spacing w:after="40"/>
      </w:pPr>
    </w:p>
    <w:p>
      <w:pPr>
        <w:sectPr>
          <w:footerReference w:type="default" r:id="rId9"/>
          <w:footerReference w:type="first" r:id="rId10"/>
          <w:pgSz w:w="12240" w:h="15840"/>
          <w:pgMar w:top="1224" w:right="1224" w:bottom="1080" w:left="1224" w:header="648" w:footer="648" w:gutter="0"/>
          <w:cols w:space="720"/>
          <w:titlePg/>
          <w:docGrid w:linePitch="360"/>
        </w:sectPr>
      </w:pPr>
    </w:p>
    <w:p>
      <w:pPr>
        <w:pStyle w:val="Heading1"/>
        <w:pBdr>
          <w:bottom w:val="single" w:sz="8" w:space="8" w:color="E3B341"/>
        </w:pBdr>
      </w:pPr>
      <w:r>
        <w:rPr>
          <w:rFonts w:ascii="Aptos" w:hAnsi="Aptos"/>
          <w:b/>
          <w:i w:val="0"/>
          <w:color w:val="0B2545"/>
          <w:sz w:val="32"/>
        </w:rPr>
        <w:t>Signature Page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Prepared by:</w:t>
      </w:r>
    </w:p>
    <w:p>
      <w:r>
        <w:rPr>
          <w:rFonts w:ascii="Aptos" w:hAnsi="Aptos"/>
          <w:b/>
          <w:i w:val="0"/>
          <w:color w:val="0B2545"/>
          <w:sz w:val="26"/>
        </w:rPr>
        <w:t>Sky High Tech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Technology Made Simple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Building Africa's Digital Future from South Sudan</w:t>
      </w:r>
    </w:p>
    <w:p>
      <w:pPr>
        <w:jc w:val="both"/>
      </w:pPr>
      <w:r>
        <w:rPr>
          <w:rFonts w:ascii="Aptos" w:hAnsi="Aptos"/>
          <w:b w:val="0"/>
          <w:i w:val="0"/>
          <w:color w:val="212529"/>
          <w:sz w:val="22"/>
        </w:rPr>
        <w:t>Email: skyhighttech@gmail.com</w:t>
      </w:r>
    </w:p>
    <w:p>
      <w:pPr>
        <w:spacing w:before="440"/>
      </w:pPr>
      <w:r>
        <w:rPr>
          <w:rFonts w:ascii="Aptos" w:hAnsi="Aptos"/>
          <w:b/>
          <w:i w:val="0"/>
          <w:color w:val="0B2545"/>
          <w:sz w:val="21"/>
        </w:rPr>
        <w:t>Institution Receiving the Proposal:</w:t>
      </w:r>
    </w:p>
    <w:p>
      <w:r>
        <w:rPr>
          <w:rFonts w:ascii="Aptos" w:hAnsi="Aptos"/>
          <w:b w:val="0"/>
          <w:i w:val="0"/>
          <w:color w:val="212529"/>
          <w:sz w:val="21"/>
        </w:rPr>
        <w:t>____________________________________________________________</w:t>
      </w:r>
    </w:p>
    <w:p>
      <w:pPr>
        <w:spacing w:before="240"/>
      </w:pPr>
      <w:r>
        <w:rPr>
          <w:rFonts w:ascii="Aptos" w:hAnsi="Aptos"/>
          <w:b/>
          <w:i w:val="0"/>
          <w:color w:val="0B2545"/>
          <w:sz w:val="21"/>
        </w:rPr>
        <w:t>Name &amp; Title of Institutional Representative:</w:t>
      </w:r>
    </w:p>
    <w:p>
      <w:r>
        <w:rPr>
          <w:rFonts w:ascii="Aptos" w:hAnsi="Aptos"/>
          <w:b w:val="0"/>
          <w:i w:val="0"/>
          <w:color w:val="212529"/>
          <w:sz w:val="21"/>
        </w:rPr>
        <w:t>____________________________________________________________</w:t>
      </w:r>
    </w:p>
    <w:p>
      <w:pPr>
        <w:spacing w:before="240"/>
      </w:pPr>
      <w:r>
        <w:rPr>
          <w:rFonts w:ascii="Aptos" w:hAnsi="Aptos"/>
          <w:b/>
          <w:i w:val="0"/>
          <w:color w:val="0B2545"/>
          <w:sz w:val="21"/>
        </w:rPr>
        <w:t>Date of Institutional Consultation:</w:t>
      </w:r>
    </w:p>
    <w:p>
      <w:r>
        <w:rPr>
          <w:rFonts w:ascii="Aptos" w:hAnsi="Aptos"/>
          <w:b w:val="0"/>
          <w:i w:val="0"/>
          <w:color w:val="212529"/>
          <w:sz w:val="21"/>
        </w:rPr>
        <w:t>____________________________________________________________</w:t>
      </w:r>
    </w:p>
    <w:p>
      <w:pPr>
        <w:spacing w:before="440"/>
      </w:pPr>
      <w:r>
        <w:rPr>
          <w:rFonts w:ascii="Aptos" w:hAnsi="Aptos"/>
          <w:b/>
          <w:i w:val="0"/>
          <w:color w:val="0B2545"/>
          <w:sz w:val="21"/>
        </w:rPr>
        <w:t>Authorized Representative:</w:t>
      </w:r>
    </w:p>
    <w:p>
      <w:r>
        <w:rPr>
          <w:rFonts w:ascii="Aptos" w:hAnsi="Aptos"/>
          <w:b w:val="0"/>
          <w:i w:val="0"/>
          <w:color w:val="212529"/>
          <w:sz w:val="21"/>
        </w:rPr>
        <w:t>____________________________________________________________</w:t>
      </w:r>
    </w:p>
    <w:p>
      <w:pPr>
        <w:spacing w:before="240"/>
      </w:pPr>
      <w:r>
        <w:rPr>
          <w:rFonts w:ascii="Aptos" w:hAnsi="Aptos"/>
          <w:b/>
          <w:i w:val="0"/>
          <w:color w:val="0B2545"/>
          <w:sz w:val="21"/>
        </w:rPr>
        <w:t>Date:</w:t>
      </w:r>
    </w:p>
    <w:p>
      <w:r>
        <w:rPr>
          <w:rFonts w:ascii="Aptos" w:hAnsi="Aptos"/>
          <w:b w:val="0"/>
          <w:i w:val="0"/>
          <w:color w:val="212529"/>
          <w:sz w:val="21"/>
        </w:rPr>
        <w:t>____________________________________________________________</w:t>
      </w:r>
    </w:p>
    <w:sectPr w:rsidR="00FC693F" w:rsidRPr="0006063C" w:rsidSect="00034616">
      <w:footerReference w:type="default" r:id="rId12"/>
      <w:footerReference w:type="first" r:id="rId13"/>
      <w:pgSz w:w="12240" w:h="15840"/>
      <w:pgMar w:top="1224" w:right="1224" w:bottom="1080" w:left="1224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978"/>
        <w:sz w:val="16"/>
      </w:rPr>
      <w:t>Confidential - For Institutional Consultation Only | Version 1.0 - June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978"/>
        <w:sz w:val="16"/>
      </w:rPr>
      <w:t>Confidential - For Institutional Consultation Only | Version 1.0 - June 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978"/>
        <w:sz w:val="16"/>
      </w:rPr>
      <w:t>Confidential - For Institutional Consultation Only | Version 1.0 - June 2026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978"/>
        <w:sz w:val="16"/>
      </w:rPr>
      <w:t>Confidential - For Institutional Consultation Only | Version 1.0 -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