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68880" cy="2468880"/>
            <wp:docPr id="1" name="Picture 1"/>
            <wp:cNvGraphicFramePr>
              <a:graphicFrameLocks noChangeAspect="1"/>
            </wp:cNvGraphicFramePr>
            <a:graphic>
              <a:graphicData uri="http://schemas.openxmlformats.org/drawingml/2006/picture">
                <pic:pic>
                  <pic:nvPicPr>
                    <pic:cNvPr id="0" name="uniportal-logo.png"/>
                    <pic:cNvPicPr/>
                  </pic:nvPicPr>
                  <pic:blipFill>
                    <a:blip r:embed="rId11"/>
                    <a:stretch>
                      <a:fillRect/>
                    </a:stretch>
                  </pic:blipFill>
                  <pic:spPr>
                    <a:xfrm>
                      <a:off x="0" y="0"/>
                      <a:ext cx="2468880" cy="2468880"/>
                    </a:xfrm>
                    <a:prstGeom prst="rect"/>
                  </pic:spPr>
                </pic:pic>
              </a:graphicData>
            </a:graphic>
          </wp:inline>
        </w:drawing>
      </w:r>
    </w:p>
    <w:p>
      <w:pPr>
        <w:spacing w:after="160" w:line="300" w:lineRule="auto"/>
        <w:jc w:val="center"/>
      </w:pPr>
      <w:r>
        <w:rPr>
          <w:rFonts w:ascii="Calibri" w:hAnsi="Calibri"/>
          <w:b/>
          <w:color w:val="08365F"/>
          <w:sz w:val="68"/>
        </w:rPr>
        <w:t>UniPortal</w:t>
      </w:r>
    </w:p>
    <w:p>
      <w:pPr>
        <w:spacing w:after="160" w:line="300" w:lineRule="auto"/>
        <w:jc w:val="center"/>
      </w:pPr>
      <w:r>
        <w:rPr>
          <w:rFonts w:ascii="Calibri" w:hAnsi="Calibri"/>
          <w:b/>
          <w:color w:val="102033"/>
          <w:sz w:val="36"/>
        </w:rPr>
        <w:t>Institutional Student Information &amp; Enrollment Management System Proposal</w:t>
      </w:r>
    </w:p>
    <w:p>
      <w:pPr>
        <w:spacing w:after="160" w:line="300" w:lineRule="auto"/>
        <w:jc w:val="center"/>
        <w:pBdr>
          <w:bottom w:val="single" w:sz="20" w:space="4" w:color="C9972B"/>
        </w:pBdr>
      </w:pPr>
      <w:r>
        <w:rPr>
          <w:rFonts w:ascii="Calibri" w:hAnsi="Calibri"/>
          <w:b w:val="0"/>
          <w:color w:val="0B4F8A"/>
          <w:sz w:val="26"/>
        </w:rPr>
        <w:t>Prepared for Institutional Discussion</w:t>
      </w:r>
    </w:p>
    <w:p>
      <w:pPr>
        <w:spacing w:after="160" w:line="300" w:lineRule="auto"/>
        <w:jc w:val="center"/>
      </w:pPr>
      <w:r>
        <w:rPr>
          <w:rFonts w:ascii="Calibri" w:hAnsi="Calibri"/>
          <w:b/>
          <w:color w:val="08365F"/>
          <w:sz w:val="32"/>
        </w:rPr>
        <w:t>Prepared by Sky High Tech</w:t>
      </w:r>
    </w:p>
    <w:p>
      <w:pPr>
        <w:spacing w:after="160" w:line="300" w:lineRule="auto"/>
        <w:jc w:val="center"/>
      </w:pPr>
      <w:r>
        <w:rPr>
          <w:rFonts w:ascii="Calibri" w:hAnsi="Calibri"/>
          <w:b/>
          <w:color w:val="C9972B"/>
          <w:sz w:val="24"/>
        </w:rPr>
        <w:t>Technology Made Simple</w:t>
      </w:r>
    </w:p>
    <w:p>
      <w:pPr>
        <w:spacing w:after="160" w:line="300" w:lineRule="auto"/>
        <w:jc w:val="center"/>
      </w:pPr>
      <w:r>
        <w:rPr>
          <w:rFonts w:ascii="Calibri" w:hAnsi="Calibri"/>
          <w:b/>
          <w:color w:val="0B4F8A"/>
          <w:sz w:val="24"/>
        </w:rPr>
        <w:t>Building Africa's Digital Future from South Sudan</w:t>
      </w:r>
    </w:p>
    <w:p>
      <w:pPr>
        <w:spacing w:after="160" w:line="300" w:lineRule="auto"/>
        <w:jc w:val="center"/>
      </w:pPr>
      <w:r>
        <w:rPr>
          <w:rFonts w:ascii="Calibri" w:hAnsi="Calibri"/>
          <w:b w:val="0"/>
          <w:color w:val="5D6B7A"/>
          <w:sz w:val="21"/>
        </w:rPr>
        <w:t>Date: May 25, 2026</w:t>
      </w:r>
    </w:p>
    <w:p>
      <w:r>
        <w:br w:type="page"/>
      </w:r>
    </w:p>
    <w:p>
      <w:pPr>
        <w:pStyle w:val="Heading1"/>
      </w:pPr>
      <w:r>
        <w:rPr>
          <w:rFonts w:ascii="Calibri" w:hAnsi="Calibri"/>
          <w:b/>
          <w:color w:val="0B4F8A"/>
        </w:rPr>
        <w:t>1. Executive Summary</w:t>
      </w:r>
    </w:p>
    <w:p>
      <w:pPr>
        <w:spacing w:after="160" w:line="300" w:lineRule="auto"/>
      </w:pPr>
      <w:r>
        <w:rPr>
          <w:rFonts w:ascii="Calibri" w:hAnsi="Calibri"/>
          <w:b w:val="0"/>
          <w:color w:val="102033"/>
        </w:rPr>
        <w:t>Many universities and colleges still manage registration, student identity, course selection, approval decisions, and reporting through disconnected tools. Paper forms, spreadsheet files, manual approvals, and office-to-office follow-ups make registration slower than it needs to be and reduce confidence in institutional data.</w:t>
      </w:r>
    </w:p>
    <w:p>
      <w:pPr>
        <w:spacing w:after="160" w:line="300" w:lineRule="auto"/>
      </w:pPr>
      <w:r>
        <w:rPr>
          <w:rFonts w:ascii="Calibri" w:hAnsi="Calibri"/>
          <w:b w:val="0"/>
          <w:color w:val="102033"/>
        </w:rPr>
        <w:t>UniPortal is proposed as a focused, web-based institutional platform that brings the registration lifecycle into one controlled environment. It allows administrators to configure academic structure, students to submit enrollment requests, registrars to approve or return requests with accountability, and leadership to view registration activity with greater clarity.</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EXECUTIVE RECOMMENDATION</w:t>
            </w:r>
          </w:p>
          <w:p>
            <w:pPr>
              <w:spacing w:after="0" w:line="288" w:lineRule="auto"/>
            </w:pPr>
            <w:r>
              <w:rPr>
                <w:color w:val="102033"/>
                <w:sz w:val="21"/>
              </w:rPr>
              <w:t>Begin with a guided institutional pilot. The pilot should validate registration policies, data structure, reporting needs, user roles, and operational readiness before any full institutional rollout.</w:t>
            </w:r>
          </w:p>
        </w:tc>
      </w:tr>
    </w:tbl>
    <w:p/>
    <w:p>
      <w:pPr>
        <w:pStyle w:val="Heading1"/>
      </w:pPr>
      <w:r>
        <w:rPr>
          <w:rFonts w:ascii="Calibri" w:hAnsi="Calibri"/>
          <w:b/>
          <w:color w:val="0B4F8A"/>
        </w:rPr>
        <w:t>2. Institutional Challenges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3096"/>
            <w:shd w:fill="08365F"/>
            <w:vAlign w:val="center"/>
          </w:tcPr>
          <w:p>
            <w:pPr>
              <w:spacing w:after="0" w:line="264" w:lineRule="auto"/>
            </w:pPr>
            <w:r/>
            <w:r>
              <w:rPr>
                <w:rFonts w:ascii="Calibri" w:hAnsi="Calibri"/>
                <w:b/>
                <w:color w:val="FFFFFF"/>
                <w:sz w:val="18"/>
              </w:rPr>
              <w:t>Challenge</w:t>
            </w:r>
          </w:p>
        </w:tc>
        <w:tc>
          <w:tcPr>
            <w:tcW w:type="dxa" w:w="5976"/>
            <w:shd w:fill="08365F"/>
            <w:vAlign w:val="center"/>
          </w:tcPr>
          <w:p>
            <w:pPr>
              <w:spacing w:after="0" w:line="264" w:lineRule="auto"/>
            </w:pPr>
            <w:r/>
            <w:r>
              <w:rPr>
                <w:rFonts w:ascii="Calibri" w:hAnsi="Calibri"/>
                <w:b/>
                <w:color w:val="FFFFFF"/>
                <w:sz w:val="18"/>
              </w:rPr>
              <w:t>Institutional impact</w:t>
            </w:r>
          </w:p>
        </w:tc>
      </w:tr>
      <w:tr>
        <w:tc>
          <w:tcPr>
            <w:tcW w:type="dxa" w:w="3096"/>
            <w:vAlign w:val="center"/>
          </w:tcPr>
          <w:p>
            <w:pPr>
              <w:spacing w:after="0" w:line="264" w:lineRule="auto"/>
            </w:pPr>
            <w:r/>
            <w:r>
              <w:rPr>
                <w:rFonts w:ascii="Calibri" w:hAnsi="Calibri"/>
                <w:b w:val="0"/>
                <w:color w:val="102033"/>
                <w:sz w:val="18"/>
              </w:rPr>
              <w:t>Paper-based registration</w:t>
            </w:r>
          </w:p>
        </w:tc>
        <w:tc>
          <w:tcPr>
            <w:tcW w:type="dxa" w:w="5976"/>
            <w:vAlign w:val="center"/>
          </w:tcPr>
          <w:p>
            <w:pPr>
              <w:spacing w:after="0" w:line="264" w:lineRule="auto"/>
            </w:pPr>
            <w:r/>
            <w:r>
              <w:rPr>
                <w:rFonts w:ascii="Calibri" w:hAnsi="Calibri"/>
                <w:b w:val="0"/>
                <w:color w:val="102033"/>
                <w:sz w:val="18"/>
              </w:rPr>
              <w:t>Creates delays, physical queues, lost forms, and limited visibility across departments.</w:t>
            </w:r>
          </w:p>
        </w:tc>
      </w:tr>
      <w:tr>
        <w:tc>
          <w:tcPr>
            <w:tcW w:type="dxa" w:w="3096"/>
            <w:vAlign w:val="center"/>
            <w:shd w:fill="FBFCFE"/>
          </w:tcPr>
          <w:p>
            <w:pPr>
              <w:spacing w:after="0" w:line="264" w:lineRule="auto"/>
            </w:pPr>
            <w:r/>
            <w:r>
              <w:rPr>
                <w:rFonts w:ascii="Calibri" w:hAnsi="Calibri"/>
                <w:b w:val="0"/>
                <w:color w:val="102033"/>
                <w:sz w:val="18"/>
              </w:rPr>
              <w:t>Spreadsheet dependency</w:t>
            </w:r>
          </w:p>
        </w:tc>
        <w:tc>
          <w:tcPr>
            <w:tcW w:type="dxa" w:w="5976"/>
            <w:vAlign w:val="center"/>
            <w:shd w:fill="FBFCFE"/>
          </w:tcPr>
          <w:p>
            <w:pPr>
              <w:spacing w:after="0" w:line="264" w:lineRule="auto"/>
            </w:pPr>
            <w:r/>
            <w:r>
              <w:rPr>
                <w:rFonts w:ascii="Calibri" w:hAnsi="Calibri"/>
                <w:b w:val="0"/>
                <w:color w:val="102033"/>
                <w:sz w:val="18"/>
              </w:rPr>
              <w:t>Makes data duplication, inconsistent versions, and manual consolidation common.</w:t>
            </w:r>
          </w:p>
        </w:tc>
      </w:tr>
      <w:tr>
        <w:tc>
          <w:tcPr>
            <w:tcW w:type="dxa" w:w="3096"/>
            <w:vAlign w:val="center"/>
          </w:tcPr>
          <w:p>
            <w:pPr>
              <w:spacing w:after="0" w:line="264" w:lineRule="auto"/>
            </w:pPr>
            <w:r/>
            <w:r>
              <w:rPr>
                <w:rFonts w:ascii="Calibri" w:hAnsi="Calibri"/>
                <w:b w:val="0"/>
                <w:color w:val="102033"/>
                <w:sz w:val="18"/>
              </w:rPr>
              <w:t>Delayed approvals</w:t>
            </w:r>
          </w:p>
        </w:tc>
        <w:tc>
          <w:tcPr>
            <w:tcW w:type="dxa" w:w="5976"/>
            <w:vAlign w:val="center"/>
          </w:tcPr>
          <w:p>
            <w:pPr>
              <w:spacing w:after="0" w:line="264" w:lineRule="auto"/>
            </w:pPr>
            <w:r/>
            <w:r>
              <w:rPr>
                <w:rFonts w:ascii="Calibri" w:hAnsi="Calibri"/>
                <w:b w:val="0"/>
                <w:color w:val="102033"/>
                <w:sz w:val="18"/>
              </w:rPr>
              <w:t>Leaves students uncertain and increases pressure on registrar and departmental offices.</w:t>
            </w:r>
          </w:p>
        </w:tc>
      </w:tr>
      <w:tr>
        <w:tc>
          <w:tcPr>
            <w:tcW w:type="dxa" w:w="3096"/>
            <w:vAlign w:val="center"/>
            <w:shd w:fill="FBFCFE"/>
          </w:tcPr>
          <w:p>
            <w:pPr>
              <w:spacing w:after="0" w:line="264" w:lineRule="auto"/>
            </w:pPr>
            <w:r/>
            <w:r>
              <w:rPr>
                <w:rFonts w:ascii="Calibri" w:hAnsi="Calibri"/>
                <w:b w:val="0"/>
                <w:color w:val="102033"/>
                <w:sz w:val="18"/>
              </w:rPr>
              <w:t>Student confusion</w:t>
            </w:r>
          </w:p>
        </w:tc>
        <w:tc>
          <w:tcPr>
            <w:tcW w:type="dxa" w:w="5976"/>
            <w:vAlign w:val="center"/>
            <w:shd w:fill="FBFCFE"/>
          </w:tcPr>
          <w:p>
            <w:pPr>
              <w:spacing w:after="0" w:line="264" w:lineRule="auto"/>
            </w:pPr>
            <w:r/>
            <w:r>
              <w:rPr>
                <w:rFonts w:ascii="Calibri" w:hAnsi="Calibri"/>
                <w:b w:val="0"/>
                <w:color w:val="102033"/>
                <w:sz w:val="18"/>
              </w:rPr>
              <w:t>Students do not always know whether their registration is pending, approved, rejected, or returned for correction.</w:t>
            </w:r>
          </w:p>
        </w:tc>
      </w:tr>
      <w:tr>
        <w:tc>
          <w:tcPr>
            <w:tcW w:type="dxa" w:w="3096"/>
            <w:vAlign w:val="center"/>
          </w:tcPr>
          <w:p>
            <w:pPr>
              <w:spacing w:after="0" w:line="264" w:lineRule="auto"/>
            </w:pPr>
            <w:r/>
            <w:r>
              <w:rPr>
                <w:rFonts w:ascii="Calibri" w:hAnsi="Calibri"/>
                <w:b w:val="0"/>
                <w:color w:val="102033"/>
                <w:sz w:val="18"/>
              </w:rPr>
              <w:t>Weak audit trails</w:t>
            </w:r>
          </w:p>
        </w:tc>
        <w:tc>
          <w:tcPr>
            <w:tcW w:type="dxa" w:w="5976"/>
            <w:vAlign w:val="center"/>
          </w:tcPr>
          <w:p>
            <w:pPr>
              <w:spacing w:after="0" w:line="264" w:lineRule="auto"/>
            </w:pPr>
            <w:r/>
            <w:r>
              <w:rPr>
                <w:rFonts w:ascii="Calibri" w:hAnsi="Calibri"/>
                <w:b w:val="0"/>
                <w:color w:val="102033"/>
                <w:sz w:val="18"/>
              </w:rPr>
              <w:t>Approval decisions may lack clear reviewer identity, date, previous status, or reason.</w:t>
            </w:r>
          </w:p>
        </w:tc>
      </w:tr>
      <w:tr>
        <w:tc>
          <w:tcPr>
            <w:tcW w:type="dxa" w:w="3096"/>
            <w:vAlign w:val="center"/>
            <w:shd w:fill="FBFCFE"/>
          </w:tcPr>
          <w:p>
            <w:pPr>
              <w:spacing w:after="0" w:line="264" w:lineRule="auto"/>
            </w:pPr>
            <w:r/>
            <w:r>
              <w:rPr>
                <w:rFonts w:ascii="Calibri" w:hAnsi="Calibri"/>
                <w:b w:val="0"/>
                <w:color w:val="102033"/>
                <w:sz w:val="18"/>
              </w:rPr>
              <w:t>Limited reporting visibility</w:t>
            </w:r>
          </w:p>
        </w:tc>
        <w:tc>
          <w:tcPr>
            <w:tcW w:type="dxa" w:w="5976"/>
            <w:vAlign w:val="center"/>
            <w:shd w:fill="FBFCFE"/>
          </w:tcPr>
          <w:p>
            <w:pPr>
              <w:spacing w:after="0" w:line="264" w:lineRule="auto"/>
            </w:pPr>
            <w:r/>
            <w:r>
              <w:rPr>
                <w:rFonts w:ascii="Calibri" w:hAnsi="Calibri"/>
                <w:b w:val="0"/>
                <w:color w:val="102033"/>
                <w:sz w:val="18"/>
              </w:rPr>
              <w:t>Leadership must wait for manual reports instead of seeing operational registration activity quickly.</w:t>
            </w:r>
          </w:p>
        </w:tc>
      </w:tr>
    </w:tbl>
    <w:p/>
    <w:p>
      <w:pPr>
        <w:pStyle w:val="Heading1"/>
      </w:pPr>
      <w:r>
        <w:rPr>
          <w:rFonts w:ascii="Calibri" w:hAnsi="Calibri"/>
          <w:b/>
          <w:color w:val="0B4F8A"/>
        </w:rPr>
        <w:t>3. Proposed Solution: UniPortal</w:t>
      </w:r>
    </w:p>
    <w:p>
      <w:pPr>
        <w:spacing w:after="160" w:line="300" w:lineRule="auto"/>
      </w:pPr>
      <w:r>
        <w:rPr>
          <w:rFonts w:ascii="Calibri" w:hAnsi="Calibri"/>
          <w:b w:val="0"/>
          <w:color w:val="102033"/>
        </w:rPr>
        <w:t>UniPortal is a modern institutional web platform designed to support academic setup, student management, course registration, registrar approval, enrollment slips, and academic record foundations. The platform is intentionally focused: it solves a high-value registration workflow first, while creating the foundation for broader institutional modules.</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POSITIONING</w:t>
            </w:r>
          </w:p>
          <w:p>
            <w:pPr>
              <w:spacing w:after="0" w:line="288" w:lineRule="auto"/>
            </w:pPr>
            <w:r>
              <w:rPr>
                <w:color w:val="102033"/>
                <w:sz w:val="21"/>
              </w:rPr>
              <w:t>UniPortal gives university leadership a practical path from fragmented registration operations to a controlled digital workflow that can be piloted, measured, and expanded.</w:t>
            </w:r>
          </w:p>
        </w:tc>
      </w:tr>
    </w:tbl>
    <w:p/>
    <w:p>
      <w:pPr>
        <w:pStyle w:val="Heading1"/>
      </w:pPr>
      <w:r>
        <w:rPr>
          <w:rFonts w:ascii="Calibri" w:hAnsi="Calibri"/>
          <w:b/>
          <w:color w:val="0B4F8A"/>
        </w:rPr>
        <w:t>4. Current MVP Capabilities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2664"/>
            <w:shd w:fill="0B4F8A"/>
            <w:vAlign w:val="center"/>
          </w:tcPr>
          <w:p>
            <w:pPr>
              <w:spacing w:after="0" w:line="264" w:lineRule="auto"/>
            </w:pPr>
            <w:r/>
            <w:r>
              <w:rPr>
                <w:rFonts w:ascii="Calibri" w:hAnsi="Calibri"/>
                <w:b/>
                <w:color w:val="FFFFFF"/>
                <w:sz w:val="18"/>
              </w:rPr>
              <w:t>Capability area</w:t>
            </w:r>
          </w:p>
        </w:tc>
        <w:tc>
          <w:tcPr>
            <w:tcW w:type="dxa" w:w="6408"/>
            <w:shd w:fill="0B4F8A"/>
            <w:vAlign w:val="center"/>
          </w:tcPr>
          <w:p>
            <w:pPr>
              <w:spacing w:after="0" w:line="264" w:lineRule="auto"/>
            </w:pPr>
            <w:r/>
            <w:r>
              <w:rPr>
                <w:rFonts w:ascii="Calibri" w:hAnsi="Calibri"/>
                <w:b/>
                <w:color w:val="FFFFFF"/>
                <w:sz w:val="18"/>
              </w:rPr>
              <w:t>Current UniPortal support</w:t>
            </w:r>
          </w:p>
        </w:tc>
      </w:tr>
      <w:tr>
        <w:tc>
          <w:tcPr>
            <w:tcW w:type="dxa" w:w="2664"/>
            <w:vAlign w:val="center"/>
          </w:tcPr>
          <w:p>
            <w:pPr>
              <w:spacing w:after="0" w:line="264" w:lineRule="auto"/>
            </w:pPr>
            <w:r/>
            <w:r>
              <w:rPr>
                <w:rFonts w:ascii="Calibri" w:hAnsi="Calibri"/>
                <w:b w:val="0"/>
                <w:color w:val="102033"/>
                <w:sz w:val="18"/>
              </w:rPr>
              <w:t>Academic setup</w:t>
            </w:r>
          </w:p>
        </w:tc>
        <w:tc>
          <w:tcPr>
            <w:tcW w:type="dxa" w:w="6408"/>
            <w:vAlign w:val="center"/>
          </w:tcPr>
          <w:p>
            <w:pPr>
              <w:spacing w:after="0" w:line="264" w:lineRule="auto"/>
            </w:pPr>
            <w:r/>
            <w:r>
              <w:rPr>
                <w:rFonts w:ascii="Calibri" w:hAnsi="Calibri"/>
                <w:b w:val="0"/>
                <w:color w:val="102033"/>
                <w:sz w:val="18"/>
              </w:rPr>
              <w:t>Faculties, departments, programs, courses, levels, semesters, and academic sessions.</w:t>
            </w:r>
          </w:p>
        </w:tc>
      </w:tr>
      <w:tr>
        <w:tc>
          <w:tcPr>
            <w:tcW w:type="dxa" w:w="2664"/>
            <w:vAlign w:val="center"/>
            <w:shd w:fill="FBFCFE"/>
          </w:tcPr>
          <w:p>
            <w:pPr>
              <w:spacing w:after="0" w:line="264" w:lineRule="auto"/>
            </w:pPr>
            <w:r/>
            <w:r>
              <w:rPr>
                <w:rFonts w:ascii="Calibri" w:hAnsi="Calibri"/>
                <w:b w:val="0"/>
                <w:color w:val="102033"/>
                <w:sz w:val="18"/>
              </w:rPr>
              <w:t>Student management</w:t>
            </w:r>
          </w:p>
        </w:tc>
        <w:tc>
          <w:tcPr>
            <w:tcW w:type="dxa" w:w="6408"/>
            <w:vAlign w:val="center"/>
            <w:shd w:fill="FBFCFE"/>
          </w:tcPr>
          <w:p>
            <w:pPr>
              <w:spacing w:after="0" w:line="264" w:lineRule="auto"/>
            </w:pPr>
            <w:r/>
            <w:r>
              <w:rPr>
                <w:rFonts w:ascii="Calibri" w:hAnsi="Calibri"/>
                <w:b w:val="0"/>
                <w:color w:val="102033"/>
                <w:sz w:val="18"/>
              </w:rPr>
              <w:t>Student accounts, academic identity, profile fields, status management, and verification controls.</w:t>
            </w:r>
          </w:p>
        </w:tc>
      </w:tr>
      <w:tr>
        <w:tc>
          <w:tcPr>
            <w:tcW w:type="dxa" w:w="2664"/>
            <w:vAlign w:val="center"/>
          </w:tcPr>
          <w:p>
            <w:pPr>
              <w:spacing w:after="0" w:line="264" w:lineRule="auto"/>
            </w:pPr>
            <w:r/>
            <w:r>
              <w:rPr>
                <w:rFonts w:ascii="Calibri" w:hAnsi="Calibri"/>
                <w:b w:val="0"/>
                <w:color w:val="102033"/>
                <w:sz w:val="18"/>
              </w:rPr>
              <w:t>Enrollment workflow</w:t>
            </w:r>
          </w:p>
        </w:tc>
        <w:tc>
          <w:tcPr>
            <w:tcW w:type="dxa" w:w="6408"/>
            <w:vAlign w:val="center"/>
          </w:tcPr>
          <w:p>
            <w:pPr>
              <w:spacing w:after="0" w:line="264" w:lineRule="auto"/>
            </w:pPr>
            <w:r/>
            <w:r>
              <w:rPr>
                <w:rFonts w:ascii="Calibri" w:hAnsi="Calibri"/>
                <w:b w:val="0"/>
                <w:color w:val="102033"/>
                <w:sz w:val="18"/>
              </w:rPr>
              <w:t>Student course browsing, enrollment request submission, credit total review, and active session control.</w:t>
            </w:r>
          </w:p>
        </w:tc>
      </w:tr>
      <w:tr>
        <w:tc>
          <w:tcPr>
            <w:tcW w:type="dxa" w:w="2664"/>
            <w:vAlign w:val="center"/>
            <w:shd w:fill="FBFCFE"/>
          </w:tcPr>
          <w:p>
            <w:pPr>
              <w:spacing w:after="0" w:line="264" w:lineRule="auto"/>
            </w:pPr>
            <w:r/>
            <w:r>
              <w:rPr>
                <w:rFonts w:ascii="Calibri" w:hAnsi="Calibri"/>
                <w:b w:val="0"/>
                <w:color w:val="102033"/>
                <w:sz w:val="18"/>
              </w:rPr>
              <w:t>Registrar approval</w:t>
            </w:r>
          </w:p>
        </w:tc>
        <w:tc>
          <w:tcPr>
            <w:tcW w:type="dxa" w:w="6408"/>
            <w:vAlign w:val="center"/>
            <w:shd w:fill="FBFCFE"/>
          </w:tcPr>
          <w:p>
            <w:pPr>
              <w:spacing w:after="0" w:line="264" w:lineRule="auto"/>
            </w:pPr>
            <w:r/>
            <w:r>
              <w:rPr>
                <w:rFonts w:ascii="Calibri" w:hAnsi="Calibri"/>
                <w:b w:val="0"/>
                <w:color w:val="102033"/>
                <w:sz w:val="18"/>
              </w:rPr>
              <w:t>Approve, reject, or return requests for correction with structured reasons and decision notes.</w:t>
            </w:r>
          </w:p>
        </w:tc>
      </w:tr>
      <w:tr>
        <w:tc>
          <w:tcPr>
            <w:tcW w:type="dxa" w:w="2664"/>
            <w:vAlign w:val="center"/>
          </w:tcPr>
          <w:p>
            <w:pPr>
              <w:spacing w:after="0" w:line="264" w:lineRule="auto"/>
            </w:pPr>
            <w:r/>
            <w:r>
              <w:rPr>
                <w:rFonts w:ascii="Calibri" w:hAnsi="Calibri"/>
                <w:b w:val="0"/>
                <w:color w:val="102033"/>
                <w:sz w:val="18"/>
              </w:rPr>
              <w:t>Auditability</w:t>
            </w:r>
          </w:p>
        </w:tc>
        <w:tc>
          <w:tcPr>
            <w:tcW w:type="dxa" w:w="6408"/>
            <w:vAlign w:val="center"/>
          </w:tcPr>
          <w:p>
            <w:pPr>
              <w:spacing w:after="0" w:line="264" w:lineRule="auto"/>
            </w:pPr>
            <w:r/>
            <w:r>
              <w:rPr>
                <w:rFonts w:ascii="Calibri" w:hAnsi="Calibri"/>
                <w:b w:val="0"/>
                <w:color w:val="102033"/>
                <w:sz w:val="18"/>
              </w:rPr>
              <w:t>Decision audit logs capture reviewer, date, previous status, new status, reason type, and note.</w:t>
            </w:r>
          </w:p>
        </w:tc>
      </w:tr>
      <w:tr>
        <w:tc>
          <w:tcPr>
            <w:tcW w:type="dxa" w:w="2664"/>
            <w:vAlign w:val="center"/>
            <w:shd w:fill="FBFCFE"/>
          </w:tcPr>
          <w:p>
            <w:pPr>
              <w:spacing w:after="0" w:line="264" w:lineRule="auto"/>
            </w:pPr>
            <w:r/>
            <w:r>
              <w:rPr>
                <w:rFonts w:ascii="Calibri" w:hAnsi="Calibri"/>
                <w:b w:val="0"/>
                <w:color w:val="102033"/>
                <w:sz w:val="18"/>
              </w:rPr>
              <w:t>Official outputs</w:t>
            </w:r>
          </w:p>
        </w:tc>
        <w:tc>
          <w:tcPr>
            <w:tcW w:type="dxa" w:w="6408"/>
            <w:vAlign w:val="center"/>
            <w:shd w:fill="FBFCFE"/>
          </w:tcPr>
          <w:p>
            <w:pPr>
              <w:spacing w:after="0" w:line="264" w:lineRule="auto"/>
            </w:pPr>
            <w:r/>
            <w:r>
              <w:rPr>
                <w:rFonts w:ascii="Calibri" w:hAnsi="Calibri"/>
                <w:b w:val="0"/>
                <w:color w:val="102033"/>
                <w:sz w:val="18"/>
              </w:rPr>
              <w:t>Printable enrollment slips for approved enrollments and academic records foundation.</w:t>
            </w:r>
          </w:p>
        </w:tc>
      </w:tr>
      <w:tr>
        <w:tc>
          <w:tcPr>
            <w:tcW w:type="dxa" w:w="2664"/>
            <w:vAlign w:val="center"/>
          </w:tcPr>
          <w:p>
            <w:pPr>
              <w:spacing w:after="0" w:line="264" w:lineRule="auto"/>
            </w:pPr>
            <w:r/>
            <w:r>
              <w:rPr>
                <w:rFonts w:ascii="Calibri" w:hAnsi="Calibri"/>
                <w:b w:val="0"/>
                <w:color w:val="102033"/>
                <w:sz w:val="18"/>
              </w:rPr>
              <w:t>Dashboards</w:t>
            </w:r>
          </w:p>
        </w:tc>
        <w:tc>
          <w:tcPr>
            <w:tcW w:type="dxa" w:w="6408"/>
            <w:vAlign w:val="center"/>
          </w:tcPr>
          <w:p>
            <w:pPr>
              <w:spacing w:after="0" w:line="264" w:lineRule="auto"/>
            </w:pPr>
            <w:r/>
            <w:r>
              <w:rPr>
                <w:rFonts w:ascii="Calibri" w:hAnsi="Calibri"/>
                <w:b w:val="0"/>
                <w:color w:val="102033"/>
                <w:sz w:val="18"/>
              </w:rPr>
              <w:t>Admin dashboard, registrar dashboard, and student self-service views.</w:t>
            </w:r>
          </w:p>
        </w:tc>
      </w:tr>
    </w:tbl>
    <w:p/>
    <w:p>
      <w:pPr>
        <w:pStyle w:val="Heading1"/>
      </w:pPr>
      <w:r>
        <w:rPr>
          <w:rFonts w:ascii="Calibri" w:hAnsi="Calibri"/>
          <w:b/>
          <w:color w:val="0B4F8A"/>
        </w:rPr>
        <w:t>5. Role-Based Access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3293"/>
        <w:gridCol w:w="3293"/>
        <w:gridCol w:w="3293"/>
      </w:tblGrid>
      <w:tr>
        <w:tc>
          <w:tcPr>
            <w:tcW w:type="dxa" w:w="1656"/>
            <w:shd w:fill="08365F"/>
            <w:vAlign w:val="center"/>
          </w:tcPr>
          <w:p>
            <w:pPr>
              <w:spacing w:after="0" w:line="264" w:lineRule="auto"/>
            </w:pPr>
            <w:r/>
            <w:r>
              <w:rPr>
                <w:rFonts w:ascii="Calibri" w:hAnsi="Calibri"/>
                <w:b/>
                <w:color w:val="FFFFFF"/>
                <w:sz w:val="18"/>
              </w:rPr>
              <w:t>Role</w:t>
            </w:r>
          </w:p>
        </w:tc>
        <w:tc>
          <w:tcPr>
            <w:tcW w:type="dxa" w:w="5976"/>
            <w:shd w:fill="08365F"/>
            <w:vAlign w:val="center"/>
          </w:tcPr>
          <w:p>
            <w:pPr>
              <w:spacing w:after="0" w:line="264" w:lineRule="auto"/>
            </w:pPr>
            <w:r/>
            <w:r>
              <w:rPr>
                <w:rFonts w:ascii="Calibri" w:hAnsi="Calibri"/>
                <w:b/>
                <w:color w:val="FFFFFF"/>
                <w:sz w:val="18"/>
              </w:rPr>
              <w:t>Access and institutional purpose</w:t>
            </w:r>
          </w:p>
        </w:tc>
        <w:tc>
          <w:tcPr>
            <w:tcW w:type="dxa" w:w="1440"/>
            <w:shd w:fill="08365F"/>
            <w:vAlign w:val="center"/>
          </w:tcPr>
          <w:p>
            <w:pPr>
              <w:spacing w:after="0" w:line="264" w:lineRule="auto"/>
            </w:pPr>
            <w:r/>
            <w:r>
              <w:rPr>
                <w:rFonts w:ascii="Calibri" w:hAnsi="Calibri"/>
                <w:b/>
                <w:color w:val="FFFFFF"/>
                <w:sz w:val="18"/>
              </w:rPr>
              <w:t>Status</w:t>
            </w:r>
          </w:p>
        </w:tc>
      </w:tr>
      <w:tr>
        <w:tc>
          <w:tcPr>
            <w:tcW w:type="dxa" w:w="1656"/>
            <w:vAlign w:val="center"/>
          </w:tcPr>
          <w:p>
            <w:pPr>
              <w:spacing w:after="0" w:line="264" w:lineRule="auto"/>
            </w:pPr>
            <w:r/>
            <w:r>
              <w:rPr>
                <w:rFonts w:ascii="Calibri" w:hAnsi="Calibri"/>
                <w:b w:val="0"/>
                <w:color w:val="102033"/>
                <w:sz w:val="18"/>
              </w:rPr>
              <w:t>Admin</w:t>
            </w:r>
          </w:p>
        </w:tc>
        <w:tc>
          <w:tcPr>
            <w:tcW w:type="dxa" w:w="5976"/>
            <w:vAlign w:val="center"/>
          </w:tcPr>
          <w:p>
            <w:pPr>
              <w:spacing w:after="0" w:line="264" w:lineRule="auto"/>
            </w:pPr>
            <w:r/>
            <w:r>
              <w:rPr>
                <w:rFonts w:ascii="Calibri" w:hAnsi="Calibri"/>
                <w:b w:val="0"/>
                <w:color w:val="102033"/>
                <w:sz w:val="18"/>
              </w:rPr>
              <w:t>Academic setup, student management, course management, academic sessions, dashboards, and demo readiness.</w:t>
            </w:r>
          </w:p>
        </w:tc>
        <w:tc>
          <w:tcPr>
            <w:tcW w:type="dxa" w:w="1440"/>
            <w:vAlign w:val="center"/>
          </w:tcPr>
          <w:p>
            <w:pPr>
              <w:spacing w:after="0" w:line="264" w:lineRule="auto"/>
            </w:pPr>
            <w:r/>
            <w:r>
              <w:rPr>
                <w:rFonts w:ascii="Calibri" w:hAnsi="Calibri"/>
                <w:b w:val="0"/>
                <w:color w:val="102033"/>
                <w:sz w:val="18"/>
              </w:rPr>
              <w:t>Current MVP</w:t>
            </w:r>
          </w:p>
        </w:tc>
      </w:tr>
      <w:tr>
        <w:tc>
          <w:tcPr>
            <w:tcW w:type="dxa" w:w="1656"/>
            <w:vAlign w:val="center"/>
            <w:shd w:fill="FBFCFE"/>
          </w:tcPr>
          <w:p>
            <w:pPr>
              <w:spacing w:after="0" w:line="264" w:lineRule="auto"/>
            </w:pPr>
            <w:r/>
            <w:r>
              <w:rPr>
                <w:rFonts w:ascii="Calibri" w:hAnsi="Calibri"/>
                <w:b w:val="0"/>
                <w:color w:val="102033"/>
                <w:sz w:val="18"/>
              </w:rPr>
              <w:t>Registrar</w:t>
            </w:r>
          </w:p>
        </w:tc>
        <w:tc>
          <w:tcPr>
            <w:tcW w:type="dxa" w:w="5976"/>
            <w:vAlign w:val="center"/>
            <w:shd w:fill="FBFCFE"/>
          </w:tcPr>
          <w:p>
            <w:pPr>
              <w:spacing w:after="0" w:line="264" w:lineRule="auto"/>
            </w:pPr>
            <w:r/>
            <w:r>
              <w:rPr>
                <w:rFonts w:ascii="Calibri" w:hAnsi="Calibri"/>
                <w:b w:val="0"/>
                <w:color w:val="102033"/>
                <w:sz w:val="18"/>
              </w:rPr>
              <w:t>Enrollment review, approval decisions, audit log review, and academic records operations.</w:t>
            </w:r>
          </w:p>
        </w:tc>
        <w:tc>
          <w:tcPr>
            <w:tcW w:type="dxa" w:w="1440"/>
            <w:vAlign w:val="center"/>
            <w:shd w:fill="FBFCFE"/>
          </w:tcPr>
          <w:p>
            <w:pPr>
              <w:spacing w:after="0" w:line="264" w:lineRule="auto"/>
            </w:pPr>
            <w:r/>
            <w:r>
              <w:rPr>
                <w:rFonts w:ascii="Calibri" w:hAnsi="Calibri"/>
                <w:b w:val="0"/>
                <w:color w:val="102033"/>
                <w:sz w:val="18"/>
              </w:rPr>
              <w:t>Current MVP</w:t>
            </w:r>
          </w:p>
        </w:tc>
      </w:tr>
      <w:tr>
        <w:tc>
          <w:tcPr>
            <w:tcW w:type="dxa" w:w="1656"/>
            <w:vAlign w:val="center"/>
          </w:tcPr>
          <w:p>
            <w:pPr>
              <w:spacing w:after="0" w:line="264" w:lineRule="auto"/>
            </w:pPr>
            <w:r/>
            <w:r>
              <w:rPr>
                <w:rFonts w:ascii="Calibri" w:hAnsi="Calibri"/>
                <w:b w:val="0"/>
                <w:color w:val="102033"/>
                <w:sz w:val="18"/>
              </w:rPr>
              <w:t>Student</w:t>
            </w:r>
          </w:p>
        </w:tc>
        <w:tc>
          <w:tcPr>
            <w:tcW w:type="dxa" w:w="5976"/>
            <w:vAlign w:val="center"/>
          </w:tcPr>
          <w:p>
            <w:pPr>
              <w:spacing w:after="0" w:line="264" w:lineRule="auto"/>
            </w:pPr>
            <w:r/>
            <w:r>
              <w:rPr>
                <w:rFonts w:ascii="Calibri" w:hAnsi="Calibri"/>
                <w:b w:val="0"/>
                <w:color w:val="102033"/>
                <w:sz w:val="18"/>
              </w:rPr>
              <w:t>Profile updates, course browsing, enrollment requests, enrollment slip viewing, and academic records viewing.</w:t>
            </w:r>
          </w:p>
        </w:tc>
        <w:tc>
          <w:tcPr>
            <w:tcW w:type="dxa" w:w="1440"/>
            <w:vAlign w:val="center"/>
          </w:tcPr>
          <w:p>
            <w:pPr>
              <w:spacing w:after="0" w:line="264" w:lineRule="auto"/>
            </w:pPr>
            <w:r/>
            <w:r>
              <w:rPr>
                <w:rFonts w:ascii="Calibri" w:hAnsi="Calibri"/>
                <w:b w:val="0"/>
                <w:color w:val="102033"/>
                <w:sz w:val="18"/>
              </w:rPr>
              <w:t>Current MVP</w:t>
            </w:r>
          </w:p>
        </w:tc>
      </w:tr>
      <w:tr>
        <w:tc>
          <w:tcPr>
            <w:tcW w:type="dxa" w:w="1656"/>
            <w:vAlign w:val="center"/>
            <w:shd w:fill="FBFCFE"/>
          </w:tcPr>
          <w:p>
            <w:pPr>
              <w:spacing w:after="0" w:line="264" w:lineRule="auto"/>
            </w:pPr>
            <w:r/>
            <w:r>
              <w:rPr>
                <w:rFonts w:ascii="Calibri" w:hAnsi="Calibri"/>
                <w:b w:val="0"/>
                <w:color w:val="102033"/>
                <w:sz w:val="18"/>
              </w:rPr>
              <w:t>Finance</w:t>
            </w:r>
          </w:p>
        </w:tc>
        <w:tc>
          <w:tcPr>
            <w:tcW w:type="dxa" w:w="5976"/>
            <w:vAlign w:val="center"/>
            <w:shd w:fill="FBFCFE"/>
          </w:tcPr>
          <w:p>
            <w:pPr>
              <w:spacing w:after="0" w:line="264" w:lineRule="auto"/>
            </w:pPr>
            <w:r/>
            <w:r>
              <w:rPr>
                <w:rFonts w:ascii="Calibri" w:hAnsi="Calibri"/>
                <w:b w:val="0"/>
                <w:color w:val="102033"/>
                <w:sz w:val="18"/>
              </w:rPr>
              <w:t>Payment tracking, financial clearance, and fee management foundation.</w:t>
            </w:r>
          </w:p>
        </w:tc>
        <w:tc>
          <w:tcPr>
            <w:tcW w:type="dxa" w:w="1440"/>
            <w:vAlign w:val="center"/>
            <w:shd w:fill="FBFCFE"/>
          </w:tcPr>
          <w:p>
            <w:pPr>
              <w:spacing w:after="0" w:line="264" w:lineRule="auto"/>
            </w:pPr>
            <w:r/>
            <w:r>
              <w:rPr>
                <w:rFonts w:ascii="Calibri" w:hAnsi="Calibri"/>
                <w:b w:val="0"/>
                <w:color w:val="102033"/>
                <w:sz w:val="18"/>
              </w:rPr>
              <w:t>Pilot module</w:t>
            </w:r>
          </w:p>
        </w:tc>
      </w:tr>
      <w:tr>
        <w:tc>
          <w:tcPr>
            <w:tcW w:type="dxa" w:w="1656"/>
            <w:vAlign w:val="center"/>
          </w:tcPr>
          <w:p>
            <w:pPr>
              <w:spacing w:after="0" w:line="264" w:lineRule="auto"/>
            </w:pPr>
            <w:r/>
            <w:r>
              <w:rPr>
                <w:rFonts w:ascii="Calibri" w:hAnsi="Calibri"/>
                <w:b w:val="0"/>
                <w:color w:val="102033"/>
                <w:sz w:val="18"/>
              </w:rPr>
              <w:t>Lecturer</w:t>
            </w:r>
          </w:p>
        </w:tc>
        <w:tc>
          <w:tcPr>
            <w:tcW w:type="dxa" w:w="5976"/>
            <w:vAlign w:val="center"/>
          </w:tcPr>
          <w:p>
            <w:pPr>
              <w:spacing w:after="0" w:line="264" w:lineRule="auto"/>
            </w:pPr>
            <w:r/>
            <w:r>
              <w:rPr>
                <w:rFonts w:ascii="Calibri" w:hAnsi="Calibri"/>
                <w:b w:val="0"/>
                <w:color w:val="102033"/>
                <w:sz w:val="18"/>
              </w:rPr>
              <w:t>Assigned courses, student rosters, and grade submission workflow.</w:t>
            </w:r>
          </w:p>
        </w:tc>
        <w:tc>
          <w:tcPr>
            <w:tcW w:type="dxa" w:w="1440"/>
            <w:vAlign w:val="center"/>
          </w:tcPr>
          <w:p>
            <w:pPr>
              <w:spacing w:after="0" w:line="264" w:lineRule="auto"/>
            </w:pPr>
            <w:r/>
            <w:r>
              <w:rPr>
                <w:rFonts w:ascii="Calibri" w:hAnsi="Calibri"/>
                <w:b w:val="0"/>
                <w:color w:val="102033"/>
                <w:sz w:val="18"/>
              </w:rPr>
              <w:t>Pilot module</w:t>
            </w:r>
          </w:p>
        </w:tc>
      </w:tr>
      <w:tr>
        <w:tc>
          <w:tcPr>
            <w:tcW w:type="dxa" w:w="1656"/>
            <w:vAlign w:val="center"/>
            <w:shd w:fill="FBFCFE"/>
          </w:tcPr>
          <w:p>
            <w:pPr>
              <w:spacing w:after="0" w:line="264" w:lineRule="auto"/>
            </w:pPr>
            <w:r/>
            <w:r>
              <w:rPr>
                <w:rFonts w:ascii="Calibri" w:hAnsi="Calibri"/>
                <w:b w:val="0"/>
                <w:color w:val="102033"/>
                <w:sz w:val="18"/>
              </w:rPr>
              <w:t>Dean/HOD</w:t>
            </w:r>
          </w:p>
        </w:tc>
        <w:tc>
          <w:tcPr>
            <w:tcW w:type="dxa" w:w="5976"/>
            <w:vAlign w:val="center"/>
            <w:shd w:fill="FBFCFE"/>
          </w:tcPr>
          <w:p>
            <w:pPr>
              <w:spacing w:after="0" w:line="264" w:lineRule="auto"/>
            </w:pPr>
            <w:r/>
            <w:r>
              <w:rPr>
                <w:rFonts w:ascii="Calibri" w:hAnsi="Calibri"/>
                <w:b w:val="0"/>
                <w:color w:val="102033"/>
                <w:sz w:val="18"/>
              </w:rPr>
              <w:t>Department oversight, enrollment analytics, and academic approval visibility.</w:t>
            </w:r>
          </w:p>
        </w:tc>
        <w:tc>
          <w:tcPr>
            <w:tcW w:type="dxa" w:w="1440"/>
            <w:vAlign w:val="center"/>
            <w:shd w:fill="FBFCFE"/>
          </w:tcPr>
          <w:p>
            <w:pPr>
              <w:spacing w:after="0" w:line="264" w:lineRule="auto"/>
            </w:pPr>
            <w:r/>
            <w:r>
              <w:rPr>
                <w:rFonts w:ascii="Calibri" w:hAnsi="Calibri"/>
                <w:b w:val="0"/>
                <w:color w:val="102033"/>
                <w:sz w:val="18"/>
              </w:rPr>
              <w:t>Pilot module</w:t>
            </w:r>
          </w:p>
        </w:tc>
      </w:tr>
    </w:tbl>
    <w:p/>
    <w:p>
      <w:pPr>
        <w:pStyle w:val="Heading1"/>
      </w:pPr>
      <w:r>
        <w:rPr>
          <w:rFonts w:ascii="Calibri" w:hAnsi="Calibri"/>
          <w:b/>
          <w:color w:val="0B4F8A"/>
        </w:rPr>
        <w:t>6. Institutional Benefits</w:t>
      </w:r>
    </w:p>
    <w:p>
      <w:pPr>
        <w:pStyle w:val="ListBullet"/>
        <w:spacing w:after="80" w:line="276" w:lineRule="auto"/>
      </w:pPr>
      <w:r>
        <w:rPr>
          <w:rFonts w:ascii="Calibri" w:hAnsi="Calibri"/>
          <w:color w:val="102033"/>
          <w:sz w:val="21"/>
        </w:rPr>
        <w:t>Faster registration process through a clearer digital workflow.</w:t>
      </w:r>
    </w:p>
    <w:p>
      <w:pPr>
        <w:pStyle w:val="ListBullet"/>
        <w:spacing w:after="80" w:line="276" w:lineRule="auto"/>
      </w:pPr>
      <w:r>
        <w:rPr>
          <w:rFonts w:ascii="Calibri" w:hAnsi="Calibri"/>
          <w:color w:val="102033"/>
          <w:sz w:val="21"/>
        </w:rPr>
        <w:t>Reduced manual errors caused by duplicate spreadsheets and repeated data entry.</w:t>
      </w:r>
    </w:p>
    <w:p>
      <w:pPr>
        <w:pStyle w:val="ListBullet"/>
        <w:spacing w:after="80" w:line="276" w:lineRule="auto"/>
      </w:pPr>
      <w:r>
        <w:rPr>
          <w:rFonts w:ascii="Calibri" w:hAnsi="Calibri"/>
          <w:color w:val="102033"/>
          <w:sz w:val="21"/>
        </w:rPr>
        <w:t>Better student communication because students can see registration status and action-required messages.</w:t>
      </w:r>
    </w:p>
    <w:p>
      <w:pPr>
        <w:pStyle w:val="ListBullet"/>
        <w:spacing w:after="80" w:line="276" w:lineRule="auto"/>
      </w:pPr>
      <w:r>
        <w:rPr>
          <w:rFonts w:ascii="Calibri" w:hAnsi="Calibri"/>
          <w:color w:val="102033"/>
          <w:sz w:val="21"/>
        </w:rPr>
        <w:t>Registrar accountability through controlled decisions and audit history.</w:t>
      </w:r>
    </w:p>
    <w:p>
      <w:pPr>
        <w:pStyle w:val="ListBullet"/>
        <w:spacing w:after="80" w:line="276" w:lineRule="auto"/>
      </w:pPr>
      <w:r>
        <w:rPr>
          <w:rFonts w:ascii="Calibri" w:hAnsi="Calibri"/>
          <w:color w:val="102033"/>
          <w:sz w:val="21"/>
        </w:rPr>
        <w:t>Leadership visibility into students, courses, sessions, and enrollment status.</w:t>
      </w:r>
    </w:p>
    <w:p>
      <w:pPr>
        <w:pStyle w:val="ListBullet"/>
        <w:spacing w:after="80" w:line="276" w:lineRule="auto"/>
      </w:pPr>
      <w:r>
        <w:rPr>
          <w:rFonts w:ascii="Calibri" w:hAnsi="Calibri"/>
          <w:color w:val="102033"/>
          <w:sz w:val="21"/>
        </w:rPr>
        <w:t>Foundation for digital transformation across academic, finance, and departmental operations.</w:t>
      </w:r>
    </w:p>
    <w:p>
      <w:pPr>
        <w:pStyle w:val="Heading1"/>
      </w:pPr>
      <w:r>
        <w:rPr>
          <w:rFonts w:ascii="Calibri" w:hAnsi="Calibri"/>
          <w:b/>
          <w:color w:val="0B4F8A"/>
        </w:rPr>
        <w:t>7. Security &amp; Technical Readiness</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2592"/>
            <w:shd w:fill="0B4F8A"/>
            <w:vAlign w:val="center"/>
          </w:tcPr>
          <w:p>
            <w:pPr>
              <w:spacing w:after="0" w:line="264" w:lineRule="auto"/>
            </w:pPr>
            <w:r/>
            <w:r>
              <w:rPr>
                <w:rFonts w:ascii="Calibri" w:hAnsi="Calibri"/>
                <w:b/>
                <w:color w:val="FFFFFF"/>
                <w:sz w:val="18"/>
              </w:rPr>
              <w:t>Readiness area</w:t>
            </w:r>
          </w:p>
        </w:tc>
        <w:tc>
          <w:tcPr>
            <w:tcW w:type="dxa" w:w="6480"/>
            <w:shd w:fill="0B4F8A"/>
            <w:vAlign w:val="center"/>
          </w:tcPr>
          <w:p>
            <w:pPr>
              <w:spacing w:after="0" w:line="264" w:lineRule="auto"/>
            </w:pPr>
            <w:r/>
            <w:r>
              <w:rPr>
                <w:rFonts w:ascii="Calibri" w:hAnsi="Calibri"/>
                <w:b/>
                <w:color w:val="FFFFFF"/>
                <w:sz w:val="18"/>
              </w:rPr>
              <w:t>Current foundation</w:t>
            </w:r>
          </w:p>
        </w:tc>
      </w:tr>
      <w:tr>
        <w:tc>
          <w:tcPr>
            <w:tcW w:type="dxa" w:w="2592"/>
            <w:vAlign w:val="center"/>
          </w:tcPr>
          <w:p>
            <w:pPr>
              <w:spacing w:after="0" w:line="264" w:lineRule="auto"/>
            </w:pPr>
            <w:r/>
            <w:r>
              <w:rPr>
                <w:rFonts w:ascii="Calibri" w:hAnsi="Calibri"/>
                <w:b w:val="0"/>
                <w:color w:val="102033"/>
                <w:sz w:val="18"/>
              </w:rPr>
              <w:t>Authentication</w:t>
            </w:r>
          </w:p>
        </w:tc>
        <w:tc>
          <w:tcPr>
            <w:tcW w:type="dxa" w:w="6480"/>
            <w:vAlign w:val="center"/>
          </w:tcPr>
          <w:p>
            <w:pPr>
              <w:spacing w:after="0" w:line="264" w:lineRule="auto"/>
            </w:pPr>
            <w:r/>
            <w:r>
              <w:rPr>
                <w:rFonts w:ascii="Calibri" w:hAnsi="Calibri"/>
                <w:b w:val="0"/>
                <w:color w:val="102033"/>
                <w:sz w:val="18"/>
              </w:rPr>
              <w:t>JWT-based login and protected API routes.</w:t>
            </w:r>
          </w:p>
        </w:tc>
      </w:tr>
      <w:tr>
        <w:tc>
          <w:tcPr>
            <w:tcW w:type="dxa" w:w="2592"/>
            <w:vAlign w:val="center"/>
            <w:shd w:fill="FBFCFE"/>
          </w:tcPr>
          <w:p>
            <w:pPr>
              <w:spacing w:after="0" w:line="264" w:lineRule="auto"/>
            </w:pPr>
            <w:r/>
            <w:r>
              <w:rPr>
                <w:rFonts w:ascii="Calibri" w:hAnsi="Calibri"/>
                <w:b w:val="0"/>
                <w:color w:val="102033"/>
                <w:sz w:val="18"/>
              </w:rPr>
              <w:t>Role protection</w:t>
            </w:r>
          </w:p>
        </w:tc>
        <w:tc>
          <w:tcPr>
            <w:tcW w:type="dxa" w:w="6480"/>
            <w:vAlign w:val="center"/>
            <w:shd w:fill="FBFCFE"/>
          </w:tcPr>
          <w:p>
            <w:pPr>
              <w:spacing w:after="0" w:line="264" w:lineRule="auto"/>
            </w:pPr>
            <w:r/>
            <w:r>
              <w:rPr>
                <w:rFonts w:ascii="Calibri" w:hAnsi="Calibri"/>
                <w:b w:val="0"/>
                <w:color w:val="102033"/>
                <w:sz w:val="18"/>
              </w:rPr>
              <w:t>Role-based access control for admin, registrar, student, and pilot institutional roles.</w:t>
            </w:r>
          </w:p>
        </w:tc>
      </w:tr>
      <w:tr>
        <w:tc>
          <w:tcPr>
            <w:tcW w:type="dxa" w:w="2592"/>
            <w:vAlign w:val="center"/>
          </w:tcPr>
          <w:p>
            <w:pPr>
              <w:spacing w:after="0" w:line="264" w:lineRule="auto"/>
            </w:pPr>
            <w:r/>
            <w:r>
              <w:rPr>
                <w:rFonts w:ascii="Calibri" w:hAnsi="Calibri"/>
                <w:b w:val="0"/>
                <w:color w:val="102033"/>
                <w:sz w:val="18"/>
              </w:rPr>
              <w:t>Application hardening</w:t>
            </w:r>
          </w:p>
        </w:tc>
        <w:tc>
          <w:tcPr>
            <w:tcW w:type="dxa" w:w="6480"/>
            <w:vAlign w:val="center"/>
          </w:tcPr>
          <w:p>
            <w:pPr>
              <w:spacing w:after="0" w:line="264" w:lineRule="auto"/>
            </w:pPr>
            <w:r/>
            <w:r>
              <w:rPr>
                <w:rFonts w:ascii="Calibri" w:hAnsi="Calibri"/>
                <w:b w:val="0"/>
                <w:color w:val="102033"/>
                <w:sz w:val="18"/>
              </w:rPr>
              <w:t>Helmet security headers, authentication rate limiting, JSON body size limits, and structured error handling.</w:t>
            </w:r>
          </w:p>
        </w:tc>
      </w:tr>
      <w:tr>
        <w:tc>
          <w:tcPr>
            <w:tcW w:type="dxa" w:w="2592"/>
            <w:vAlign w:val="center"/>
            <w:shd w:fill="FBFCFE"/>
          </w:tcPr>
          <w:p>
            <w:pPr>
              <w:spacing w:after="0" w:line="264" w:lineRule="auto"/>
            </w:pPr>
            <w:r/>
            <w:r>
              <w:rPr>
                <w:rFonts w:ascii="Calibri" w:hAnsi="Calibri"/>
                <w:b w:val="0"/>
                <w:color w:val="102033"/>
                <w:sz w:val="18"/>
              </w:rPr>
              <w:t>CORS</w:t>
            </w:r>
          </w:p>
        </w:tc>
        <w:tc>
          <w:tcPr>
            <w:tcW w:type="dxa" w:w="6480"/>
            <w:vAlign w:val="center"/>
            <w:shd w:fill="FBFCFE"/>
          </w:tcPr>
          <w:p>
            <w:pPr>
              <w:spacing w:after="0" w:line="264" w:lineRule="auto"/>
            </w:pPr>
            <w:r/>
            <w:r>
              <w:rPr>
                <w:rFonts w:ascii="Calibri" w:hAnsi="Calibri"/>
                <w:b w:val="0"/>
                <w:color w:val="102033"/>
                <w:sz w:val="18"/>
              </w:rPr>
              <w:t>Frontend origin control using CLIENT_URL and optional CORS_ORIGINS.</w:t>
            </w:r>
          </w:p>
        </w:tc>
      </w:tr>
      <w:tr>
        <w:tc>
          <w:tcPr>
            <w:tcW w:type="dxa" w:w="2592"/>
            <w:vAlign w:val="center"/>
          </w:tcPr>
          <w:p>
            <w:pPr>
              <w:spacing w:after="0" w:line="264" w:lineRule="auto"/>
            </w:pPr>
            <w:r/>
            <w:r>
              <w:rPr>
                <w:rFonts w:ascii="Calibri" w:hAnsi="Calibri"/>
                <w:b w:val="0"/>
                <w:color w:val="102033"/>
                <w:sz w:val="18"/>
              </w:rPr>
              <w:t>Health monitoring</w:t>
            </w:r>
          </w:p>
        </w:tc>
        <w:tc>
          <w:tcPr>
            <w:tcW w:type="dxa" w:w="6480"/>
            <w:vAlign w:val="center"/>
          </w:tcPr>
          <w:p>
            <w:pPr>
              <w:spacing w:after="0" w:line="264" w:lineRule="auto"/>
            </w:pPr>
            <w:r/>
            <w:r>
              <w:rPr>
                <w:rFonts w:ascii="Calibri" w:hAnsi="Calibri"/>
                <w:b w:val="0"/>
                <w:color w:val="102033"/>
                <w:sz w:val="18"/>
              </w:rPr>
              <w:t>Backend health endpoint for deployment checks.</w:t>
            </w:r>
          </w:p>
        </w:tc>
      </w:tr>
      <w:tr>
        <w:tc>
          <w:tcPr>
            <w:tcW w:type="dxa" w:w="2592"/>
            <w:vAlign w:val="center"/>
            <w:shd w:fill="FBFCFE"/>
          </w:tcPr>
          <w:p>
            <w:pPr>
              <w:spacing w:after="0" w:line="264" w:lineRule="auto"/>
            </w:pPr>
            <w:r/>
            <w:r>
              <w:rPr>
                <w:rFonts w:ascii="Calibri" w:hAnsi="Calibri"/>
                <w:b w:val="0"/>
                <w:color w:val="102033"/>
                <w:sz w:val="18"/>
              </w:rPr>
              <w:t>Deployment model</w:t>
            </w:r>
          </w:p>
        </w:tc>
        <w:tc>
          <w:tcPr>
            <w:tcW w:type="dxa" w:w="6480"/>
            <w:vAlign w:val="center"/>
            <w:shd w:fill="FBFCFE"/>
          </w:tcPr>
          <w:p>
            <w:pPr>
              <w:spacing w:after="0" w:line="264" w:lineRule="auto"/>
            </w:pPr>
            <w:r/>
            <w:r>
              <w:rPr>
                <w:rFonts w:ascii="Calibri" w:hAnsi="Calibri"/>
                <w:b w:val="0"/>
                <w:color w:val="102033"/>
                <w:sz w:val="18"/>
              </w:rPr>
              <w:t>Render backend support, Vercel frontend support, and MongoDB Atlas database support.</w:t>
            </w:r>
          </w:p>
        </w:tc>
      </w:tr>
    </w:tbl>
    <w:p/>
    <w:p>
      <w:pPr>
        <w:pStyle w:val="Heading1"/>
      </w:pPr>
      <w:r>
        <w:rPr>
          <w:rFonts w:ascii="Calibri" w:hAnsi="Calibri"/>
          <w:b/>
          <w:color w:val="0B4F8A"/>
        </w:rPr>
        <w:t>8. Honest Positioning</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WHAT UNIPORTAL IS TODAY</w:t>
            </w:r>
          </w:p>
          <w:p>
            <w:pPr>
              <w:spacing w:after="0" w:line="288" w:lineRule="auto"/>
            </w:pPr>
            <w:r>
              <w:rPr>
                <w:color w:val="102033"/>
                <w:sz w:val="21"/>
              </w:rPr>
              <w:t>UniPortal is a serious institutional MVP ready for guided pilot deployment. It is not yet positioned as a complete full-scale Student Information System. The current product proves the registration lifecycle and establishes the foundation for future institutional modules.</w:t>
            </w:r>
          </w:p>
        </w:tc>
      </w:tr>
    </w:tbl>
    <w:p/>
    <w:p>
      <w:pPr>
        <w:spacing w:after="160" w:line="300" w:lineRule="auto"/>
      </w:pPr>
      <w:r>
        <w:rPr>
          <w:rFonts w:ascii="Calibri" w:hAnsi="Calibri"/>
          <w:b w:val="0"/>
          <w:color w:val="102033"/>
        </w:rPr>
        <w:t>This honest positioning protects the institution and the implementation team. It allows leadership to evaluate real workflows, validate data requirements, and prioritize the next modules with evidence from an operational pilot.</w:t>
      </w:r>
    </w:p>
    <w:p>
      <w:pPr>
        <w:pStyle w:val="Heading1"/>
      </w:pPr>
      <w:r>
        <w:rPr>
          <w:rFonts w:ascii="Calibri" w:hAnsi="Calibri"/>
          <w:b/>
          <w:color w:val="0B4F8A"/>
        </w:rPr>
        <w:t>9. Roadmap</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4939"/>
        <w:gridCol w:w="4939"/>
      </w:tblGrid>
      <w:tr>
        <w:tc>
          <w:tcPr>
            <w:tcW w:type="dxa" w:w="2664"/>
            <w:shd w:fill="08365F"/>
            <w:vAlign w:val="center"/>
          </w:tcPr>
          <w:p>
            <w:pPr>
              <w:spacing w:after="0" w:line="264" w:lineRule="auto"/>
            </w:pPr>
            <w:r/>
            <w:r>
              <w:rPr>
                <w:rFonts w:ascii="Calibri" w:hAnsi="Calibri"/>
                <w:b/>
                <w:color w:val="FFFFFF"/>
                <w:sz w:val="18"/>
              </w:rPr>
              <w:t>Roadmap stream</w:t>
            </w:r>
          </w:p>
        </w:tc>
        <w:tc>
          <w:tcPr>
            <w:tcW w:type="dxa" w:w="6408"/>
            <w:shd w:fill="08365F"/>
            <w:vAlign w:val="center"/>
          </w:tcPr>
          <w:p>
            <w:pPr>
              <w:spacing w:after="0" w:line="264" w:lineRule="auto"/>
            </w:pPr>
            <w:r/>
            <w:r>
              <w:rPr>
                <w:rFonts w:ascii="Calibri" w:hAnsi="Calibri"/>
                <w:b/>
                <w:color w:val="FFFFFF"/>
                <w:sz w:val="18"/>
              </w:rPr>
              <w:t>Modules and outcomes</w:t>
            </w:r>
          </w:p>
        </w:tc>
      </w:tr>
      <w:tr>
        <w:tc>
          <w:tcPr>
            <w:tcW w:type="dxa" w:w="2664"/>
            <w:vAlign w:val="center"/>
          </w:tcPr>
          <w:p>
            <w:pPr>
              <w:spacing w:after="0" w:line="264" w:lineRule="auto"/>
            </w:pPr>
            <w:r/>
            <w:r>
              <w:rPr>
                <w:rFonts w:ascii="Calibri" w:hAnsi="Calibri"/>
                <w:b w:val="0"/>
                <w:color w:val="102033"/>
                <w:sz w:val="18"/>
              </w:rPr>
              <w:t>Pilot modules</w:t>
            </w:r>
          </w:p>
        </w:tc>
        <w:tc>
          <w:tcPr>
            <w:tcW w:type="dxa" w:w="6408"/>
            <w:vAlign w:val="center"/>
          </w:tcPr>
          <w:p>
            <w:pPr>
              <w:spacing w:after="0" w:line="264" w:lineRule="auto"/>
            </w:pPr>
            <w:r/>
            <w:r>
              <w:rPr>
                <w:rFonts w:ascii="Calibri" w:hAnsi="Calibri"/>
                <w:b w:val="0"/>
                <w:color w:val="102033"/>
                <w:sz w:val="18"/>
              </w:rPr>
              <w:t>Finance module, lecturer module, and dean/HOD oversight module.</w:t>
            </w:r>
          </w:p>
        </w:tc>
      </w:tr>
      <w:tr>
        <w:tc>
          <w:tcPr>
            <w:tcW w:type="dxa" w:w="2664"/>
            <w:vAlign w:val="center"/>
            <w:shd w:fill="FBFCFE"/>
          </w:tcPr>
          <w:p>
            <w:pPr>
              <w:spacing w:after="0" w:line="264" w:lineRule="auto"/>
            </w:pPr>
            <w:r/>
            <w:r>
              <w:rPr>
                <w:rFonts w:ascii="Calibri" w:hAnsi="Calibri"/>
                <w:b w:val="0"/>
                <w:color w:val="102033"/>
                <w:sz w:val="18"/>
              </w:rPr>
              <w:t>Academic expansion</w:t>
            </w:r>
          </w:p>
        </w:tc>
        <w:tc>
          <w:tcPr>
            <w:tcW w:type="dxa" w:w="6408"/>
            <w:vAlign w:val="center"/>
            <w:shd w:fill="FBFCFE"/>
          </w:tcPr>
          <w:p>
            <w:pPr>
              <w:spacing w:after="0" w:line="264" w:lineRule="auto"/>
            </w:pPr>
            <w:r/>
            <w:r>
              <w:rPr>
                <w:rFonts w:ascii="Calibri" w:hAnsi="Calibri"/>
                <w:b w:val="0"/>
                <w:color w:val="102033"/>
                <w:sz w:val="18"/>
              </w:rPr>
              <w:t>Transcript generation, grade workflows, timetable, and academic reporting.</w:t>
            </w:r>
          </w:p>
        </w:tc>
      </w:tr>
      <w:tr>
        <w:tc>
          <w:tcPr>
            <w:tcW w:type="dxa" w:w="2664"/>
            <w:vAlign w:val="center"/>
          </w:tcPr>
          <w:p>
            <w:pPr>
              <w:spacing w:after="0" w:line="264" w:lineRule="auto"/>
            </w:pPr>
            <w:r/>
            <w:r>
              <w:rPr>
                <w:rFonts w:ascii="Calibri" w:hAnsi="Calibri"/>
                <w:b w:val="0"/>
                <w:color w:val="102033"/>
                <w:sz w:val="18"/>
              </w:rPr>
              <w:t>Institutional communication</w:t>
            </w:r>
          </w:p>
        </w:tc>
        <w:tc>
          <w:tcPr>
            <w:tcW w:type="dxa" w:w="6408"/>
            <w:vAlign w:val="center"/>
          </w:tcPr>
          <w:p>
            <w:pPr>
              <w:spacing w:after="0" w:line="264" w:lineRule="auto"/>
            </w:pPr>
            <w:r/>
            <w:r>
              <w:rPr>
                <w:rFonts w:ascii="Calibri" w:hAnsi="Calibri"/>
                <w:b w:val="0"/>
                <w:color w:val="102033"/>
                <w:sz w:val="18"/>
              </w:rPr>
              <w:t>Notifications, announcements, and student-facing alerts.</w:t>
            </w:r>
          </w:p>
        </w:tc>
      </w:tr>
      <w:tr>
        <w:tc>
          <w:tcPr>
            <w:tcW w:type="dxa" w:w="2664"/>
            <w:vAlign w:val="center"/>
            <w:shd w:fill="FBFCFE"/>
          </w:tcPr>
          <w:p>
            <w:pPr>
              <w:spacing w:after="0" w:line="264" w:lineRule="auto"/>
            </w:pPr>
            <w:r/>
            <w:r>
              <w:rPr>
                <w:rFonts w:ascii="Calibri" w:hAnsi="Calibri"/>
                <w:b w:val="0"/>
                <w:color w:val="102033"/>
                <w:sz w:val="18"/>
              </w:rPr>
              <w:t>Administrative expansion</w:t>
            </w:r>
          </w:p>
        </w:tc>
        <w:tc>
          <w:tcPr>
            <w:tcW w:type="dxa" w:w="6408"/>
            <w:vAlign w:val="center"/>
            <w:shd w:fill="FBFCFE"/>
          </w:tcPr>
          <w:p>
            <w:pPr>
              <w:spacing w:after="0" w:line="264" w:lineRule="auto"/>
            </w:pPr>
            <w:r/>
            <w:r>
              <w:rPr>
                <w:rFonts w:ascii="Calibri" w:hAnsi="Calibri"/>
                <w:b w:val="0"/>
                <w:color w:val="102033"/>
                <w:sz w:val="18"/>
              </w:rPr>
              <w:t>Admissions/intake management, document uploads, CSV import, and reporting exports.</w:t>
            </w:r>
          </w:p>
        </w:tc>
      </w:tr>
      <w:tr>
        <w:tc>
          <w:tcPr>
            <w:tcW w:type="dxa" w:w="2664"/>
            <w:vAlign w:val="center"/>
          </w:tcPr>
          <w:p>
            <w:pPr>
              <w:spacing w:after="0" w:line="264" w:lineRule="auto"/>
            </w:pPr>
            <w:r/>
            <w:r>
              <w:rPr>
                <w:rFonts w:ascii="Calibri" w:hAnsi="Calibri"/>
                <w:b w:val="0"/>
                <w:color w:val="102033"/>
                <w:sz w:val="18"/>
              </w:rPr>
              <w:t>Financial expansion</w:t>
            </w:r>
          </w:p>
        </w:tc>
        <w:tc>
          <w:tcPr>
            <w:tcW w:type="dxa" w:w="6408"/>
            <w:vAlign w:val="center"/>
          </w:tcPr>
          <w:p>
            <w:pPr>
              <w:spacing w:after="0" w:line="264" w:lineRule="auto"/>
            </w:pPr>
            <w:r/>
            <w:r>
              <w:rPr>
                <w:rFonts w:ascii="Calibri" w:hAnsi="Calibri"/>
                <w:b w:val="0"/>
                <w:color w:val="102033"/>
                <w:sz w:val="18"/>
              </w:rPr>
              <w:t>Payments, fee statements, payment tracking, and financial clearance workflows.</w:t>
            </w:r>
          </w:p>
        </w:tc>
      </w:tr>
    </w:tbl>
    <w:p/>
    <w:p>
      <w:pPr>
        <w:pStyle w:val="Heading1"/>
      </w:pPr>
      <w:r>
        <w:rPr>
          <w:rFonts w:ascii="Calibri" w:hAnsi="Calibri"/>
          <w:b/>
          <w:color w:val="0B4F8A"/>
        </w:rPr>
        <w:t>10. Recommended Implementation Approach</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2469"/>
        <w:gridCol w:w="2469"/>
        <w:gridCol w:w="2469"/>
        <w:gridCol w:w="2469"/>
      </w:tblGrid>
      <w:tr>
        <w:tc>
          <w:tcPr>
            <w:tcW w:type="dxa" w:w="1944"/>
            <w:shd w:fill="0B4F8A"/>
            <w:vAlign w:val="center"/>
          </w:tcPr>
          <w:p>
            <w:pPr>
              <w:spacing w:after="0" w:line="264" w:lineRule="auto"/>
            </w:pPr>
            <w:r/>
            <w:r>
              <w:rPr>
                <w:rFonts w:ascii="Calibri" w:hAnsi="Calibri"/>
                <w:b/>
                <w:color w:val="FFFFFF"/>
                <w:sz w:val="18"/>
              </w:rPr>
              <w:t>Phase</w:t>
            </w:r>
          </w:p>
        </w:tc>
        <w:tc>
          <w:tcPr>
            <w:tcW w:type="dxa" w:w="1296"/>
            <w:shd w:fill="0B4F8A"/>
            <w:vAlign w:val="center"/>
          </w:tcPr>
          <w:p>
            <w:pPr>
              <w:spacing w:after="0" w:line="264" w:lineRule="auto"/>
            </w:pPr>
            <w:r/>
            <w:r>
              <w:rPr>
                <w:rFonts w:ascii="Calibri" w:hAnsi="Calibri"/>
                <w:b/>
                <w:color w:val="FFFFFF"/>
                <w:sz w:val="18"/>
              </w:rPr>
              <w:t>Duration</w:t>
            </w:r>
          </w:p>
        </w:tc>
        <w:tc>
          <w:tcPr>
            <w:tcW w:type="dxa" w:w="3960"/>
            <w:shd w:fill="0B4F8A"/>
            <w:vAlign w:val="center"/>
          </w:tcPr>
          <w:p>
            <w:pPr>
              <w:spacing w:after="0" w:line="264" w:lineRule="auto"/>
            </w:pPr>
            <w:r/>
            <w:r>
              <w:rPr>
                <w:rFonts w:ascii="Calibri" w:hAnsi="Calibri"/>
                <w:b/>
                <w:color w:val="FFFFFF"/>
                <w:sz w:val="18"/>
              </w:rPr>
              <w:t>Primary activities</w:t>
            </w:r>
          </w:p>
        </w:tc>
        <w:tc>
          <w:tcPr>
            <w:tcW w:type="dxa" w:w="1872"/>
            <w:shd w:fill="0B4F8A"/>
            <w:vAlign w:val="center"/>
          </w:tcPr>
          <w:p>
            <w:pPr>
              <w:spacing w:after="0" w:line="264" w:lineRule="auto"/>
            </w:pPr>
            <w:r/>
            <w:r>
              <w:rPr>
                <w:rFonts w:ascii="Calibri" w:hAnsi="Calibri"/>
                <w:b/>
                <w:color w:val="FFFFFF"/>
                <w:sz w:val="18"/>
              </w:rPr>
              <w:t>Outcome</w:t>
            </w:r>
          </w:p>
        </w:tc>
      </w:tr>
      <w:tr>
        <w:tc>
          <w:tcPr>
            <w:tcW w:type="dxa" w:w="1944"/>
            <w:vAlign w:val="center"/>
          </w:tcPr>
          <w:p>
            <w:pPr>
              <w:spacing w:after="0" w:line="264" w:lineRule="auto"/>
            </w:pPr>
            <w:r/>
            <w:r>
              <w:rPr>
                <w:rFonts w:ascii="Calibri" w:hAnsi="Calibri"/>
                <w:b w:val="0"/>
                <w:color w:val="102033"/>
                <w:sz w:val="18"/>
              </w:rPr>
              <w:t>Phase 1: Pilot Discovery</w:t>
            </w:r>
          </w:p>
        </w:tc>
        <w:tc>
          <w:tcPr>
            <w:tcW w:type="dxa" w:w="1296"/>
            <w:vAlign w:val="center"/>
          </w:tcPr>
          <w:p>
            <w:pPr>
              <w:spacing w:after="0" w:line="264" w:lineRule="auto"/>
            </w:pPr>
            <w:r/>
            <w:r>
              <w:rPr>
                <w:rFonts w:ascii="Calibri" w:hAnsi="Calibri"/>
                <w:b w:val="0"/>
                <w:color w:val="102033"/>
                <w:sz w:val="18"/>
              </w:rPr>
              <w:t>30-60 days</w:t>
            </w:r>
          </w:p>
        </w:tc>
        <w:tc>
          <w:tcPr>
            <w:tcW w:type="dxa" w:w="3960"/>
            <w:vAlign w:val="center"/>
          </w:tcPr>
          <w:p>
            <w:pPr>
              <w:spacing w:after="0" w:line="264" w:lineRule="auto"/>
            </w:pPr>
            <w:r/>
            <w:r>
              <w:rPr>
                <w:rFonts w:ascii="Calibri" w:hAnsi="Calibri"/>
                <w:b w:val="0"/>
                <w:color w:val="102033"/>
                <w:sz w:val="18"/>
              </w:rPr>
              <w:t>Registration workflow mapping, academic setup review, data structure validation, and user role confirmation.</w:t>
            </w:r>
          </w:p>
        </w:tc>
        <w:tc>
          <w:tcPr>
            <w:tcW w:type="dxa" w:w="1872"/>
            <w:vAlign w:val="center"/>
          </w:tcPr>
          <w:p>
            <w:pPr>
              <w:spacing w:after="0" w:line="264" w:lineRule="auto"/>
            </w:pPr>
            <w:r/>
            <w:r>
              <w:rPr>
                <w:rFonts w:ascii="Calibri" w:hAnsi="Calibri"/>
                <w:b w:val="0"/>
                <w:color w:val="102033"/>
                <w:sz w:val="18"/>
              </w:rPr>
              <w:t>Pilot scope and success criteria approved.</w:t>
            </w:r>
          </w:p>
        </w:tc>
      </w:tr>
      <w:tr>
        <w:tc>
          <w:tcPr>
            <w:tcW w:type="dxa" w:w="1944"/>
            <w:vAlign w:val="center"/>
            <w:shd w:fill="FBFCFE"/>
          </w:tcPr>
          <w:p>
            <w:pPr>
              <w:spacing w:after="0" w:line="264" w:lineRule="auto"/>
            </w:pPr>
            <w:r/>
            <w:r>
              <w:rPr>
                <w:rFonts w:ascii="Calibri" w:hAnsi="Calibri"/>
                <w:b w:val="0"/>
                <w:color w:val="102033"/>
                <w:sz w:val="18"/>
              </w:rPr>
              <w:t>Phase 2: Pilot Deployment</w:t>
            </w:r>
          </w:p>
        </w:tc>
        <w:tc>
          <w:tcPr>
            <w:tcW w:type="dxa" w:w="1296"/>
            <w:vAlign w:val="center"/>
            <w:shd w:fill="FBFCFE"/>
          </w:tcPr>
          <w:p>
            <w:pPr>
              <w:spacing w:after="0" w:line="264" w:lineRule="auto"/>
            </w:pPr>
            <w:r/>
            <w:r>
              <w:rPr>
                <w:rFonts w:ascii="Calibri" w:hAnsi="Calibri"/>
                <w:b w:val="0"/>
                <w:color w:val="102033"/>
                <w:sz w:val="18"/>
              </w:rPr>
              <w:t>60-90 days</w:t>
            </w:r>
          </w:p>
        </w:tc>
        <w:tc>
          <w:tcPr>
            <w:tcW w:type="dxa" w:w="3960"/>
            <w:vAlign w:val="center"/>
            <w:shd w:fill="FBFCFE"/>
          </w:tcPr>
          <w:p>
            <w:pPr>
              <w:spacing w:after="0" w:line="264" w:lineRule="auto"/>
            </w:pPr>
            <w:r/>
            <w:r>
              <w:rPr>
                <w:rFonts w:ascii="Calibri" w:hAnsi="Calibri"/>
                <w:b w:val="0"/>
                <w:color w:val="102033"/>
                <w:sz w:val="18"/>
              </w:rPr>
              <w:t>Configured deployment, sample data import, training, controlled pilot registration cycle, and support.</w:t>
            </w:r>
          </w:p>
        </w:tc>
        <w:tc>
          <w:tcPr>
            <w:tcW w:type="dxa" w:w="1872"/>
            <w:vAlign w:val="center"/>
            <w:shd w:fill="FBFCFE"/>
          </w:tcPr>
          <w:p>
            <w:pPr>
              <w:spacing w:after="0" w:line="264" w:lineRule="auto"/>
            </w:pPr>
            <w:r/>
            <w:r>
              <w:rPr>
                <w:rFonts w:ascii="Calibri" w:hAnsi="Calibri"/>
                <w:b w:val="0"/>
                <w:color w:val="102033"/>
                <w:sz w:val="18"/>
              </w:rPr>
              <w:t>Institution validates UniPortal in real operations.</w:t>
            </w:r>
          </w:p>
        </w:tc>
      </w:tr>
      <w:tr>
        <w:tc>
          <w:tcPr>
            <w:tcW w:type="dxa" w:w="1944"/>
            <w:vAlign w:val="center"/>
          </w:tcPr>
          <w:p>
            <w:pPr>
              <w:spacing w:after="0" w:line="264" w:lineRule="auto"/>
            </w:pPr>
            <w:r/>
            <w:r>
              <w:rPr>
                <w:rFonts w:ascii="Calibri" w:hAnsi="Calibri"/>
                <w:b w:val="0"/>
                <w:color w:val="102033"/>
                <w:sz w:val="18"/>
              </w:rPr>
              <w:t>Phase 3: Institutional Rollout</w:t>
            </w:r>
          </w:p>
        </w:tc>
        <w:tc>
          <w:tcPr>
            <w:tcW w:type="dxa" w:w="1296"/>
            <w:vAlign w:val="center"/>
          </w:tcPr>
          <w:p>
            <w:pPr>
              <w:spacing w:after="0" w:line="264" w:lineRule="auto"/>
            </w:pPr>
            <w:r/>
            <w:r>
              <w:rPr>
                <w:rFonts w:ascii="Calibri" w:hAnsi="Calibri"/>
                <w:b w:val="0"/>
                <w:color w:val="102033"/>
                <w:sz w:val="18"/>
              </w:rPr>
              <w:t>After pilot</w:t>
            </w:r>
          </w:p>
        </w:tc>
        <w:tc>
          <w:tcPr>
            <w:tcW w:type="dxa" w:w="3960"/>
            <w:vAlign w:val="center"/>
          </w:tcPr>
          <w:p>
            <w:pPr>
              <w:spacing w:after="0" w:line="264" w:lineRule="auto"/>
            </w:pPr>
            <w:r/>
            <w:r>
              <w:rPr>
                <w:rFonts w:ascii="Calibri" w:hAnsi="Calibri"/>
                <w:b w:val="0"/>
                <w:color w:val="102033"/>
                <w:sz w:val="18"/>
              </w:rPr>
              <w:t>Department-by-department rollout, expanded data migration, reporting setup, support model, and roadmap activation.</w:t>
            </w:r>
          </w:p>
        </w:tc>
        <w:tc>
          <w:tcPr>
            <w:tcW w:type="dxa" w:w="1872"/>
            <w:vAlign w:val="center"/>
          </w:tcPr>
          <w:p>
            <w:pPr>
              <w:spacing w:after="0" w:line="264" w:lineRule="auto"/>
            </w:pPr>
            <w:r/>
            <w:r>
              <w:rPr>
                <w:rFonts w:ascii="Calibri" w:hAnsi="Calibri"/>
                <w:b w:val="0"/>
                <w:color w:val="102033"/>
                <w:sz w:val="18"/>
              </w:rPr>
              <w:t>Institutional adoption plan launched.</w:t>
            </w:r>
          </w:p>
        </w:tc>
      </w:tr>
    </w:tbl>
    <w:p/>
    <w:p>
      <w:pPr>
        <w:pStyle w:val="Heading1"/>
      </w:pPr>
      <w:r>
        <w:rPr>
          <w:rFonts w:ascii="Calibri" w:hAnsi="Calibri"/>
          <w:b/>
          <w:color w:val="0B4F8A"/>
        </w:rPr>
        <w:t>11. Pricing Options</w:t>
      </w:r>
    </w:p>
    <w:p>
      <w:pPr>
        <w:spacing w:after="160" w:line="300" w:lineRule="auto"/>
      </w:pPr>
      <w:r>
        <w:rPr>
          <w:rFonts w:ascii="Calibri" w:hAnsi="Calibri"/>
          <w:b w:val="0"/>
          <w:color w:val="102033"/>
        </w:rPr>
        <w:t>The pricing below is intended for institutional discussion and final scoping. Actual pricing should be confirmed after pilot discovery, data review, hosting requirements, number of departments, user volume, and implementation complexity.</w:t>
      </w:r>
    </w:p>
    <w:tbl>
      <w:tblPr>
        <w:tblW w:type="auto" w:w="0"/>
        <w:jc w:val="center"/>
        <w:tblLayout w:type="fixed"/>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20" w:type="dxa"/>
          <w:start w:w="140" w:type="dxa"/>
          <w:bottom w:w="120" w:type="dxa"/>
          <w:end w:w="140" w:type="dxa"/>
        </w:tblCellMar>
      </w:tblPr>
      <w:tblGrid>
        <w:gridCol w:w="3293"/>
        <w:gridCol w:w="3293"/>
        <w:gridCol w:w="3293"/>
      </w:tblGrid>
      <w:tr>
        <w:tc>
          <w:tcPr>
            <w:tcW w:type="dxa" w:w="2232"/>
            <w:shd w:fill="08365F"/>
            <w:vAlign w:val="center"/>
          </w:tcPr>
          <w:p>
            <w:pPr>
              <w:spacing w:after="0" w:line="264" w:lineRule="auto"/>
            </w:pPr>
            <w:r/>
            <w:r>
              <w:rPr>
                <w:rFonts w:ascii="Calibri" w:hAnsi="Calibri"/>
                <w:b/>
                <w:color w:val="FFFFFF"/>
                <w:sz w:val="18"/>
              </w:rPr>
              <w:t>Model</w:t>
            </w:r>
          </w:p>
        </w:tc>
        <w:tc>
          <w:tcPr>
            <w:tcW w:type="dxa" w:w="2088"/>
            <w:shd w:fill="08365F"/>
            <w:vAlign w:val="center"/>
          </w:tcPr>
          <w:p>
            <w:pPr>
              <w:spacing w:after="0" w:line="264" w:lineRule="auto"/>
            </w:pPr>
            <w:r/>
            <w:r>
              <w:rPr>
                <w:rFonts w:ascii="Calibri" w:hAnsi="Calibri"/>
                <w:b/>
                <w:color w:val="FFFFFF"/>
                <w:sz w:val="18"/>
              </w:rPr>
              <w:t>Indicative price</w:t>
            </w:r>
          </w:p>
        </w:tc>
        <w:tc>
          <w:tcPr>
            <w:tcW w:type="dxa" w:w="4752"/>
            <w:shd w:fill="08365F"/>
            <w:vAlign w:val="center"/>
          </w:tcPr>
          <w:p>
            <w:pPr>
              <w:spacing w:after="0" w:line="264" w:lineRule="auto"/>
            </w:pPr>
            <w:r/>
            <w:r>
              <w:rPr>
                <w:rFonts w:ascii="Calibri" w:hAnsi="Calibri"/>
                <w:b/>
                <w:color w:val="FFFFFF"/>
                <w:sz w:val="18"/>
              </w:rPr>
              <w:t>Includes</w:t>
            </w:r>
          </w:p>
        </w:tc>
      </w:tr>
      <w:tr>
        <w:tc>
          <w:tcPr>
            <w:tcW w:type="dxa" w:w="2232"/>
            <w:vAlign w:val="center"/>
          </w:tcPr>
          <w:p>
            <w:pPr>
              <w:spacing w:after="0" w:line="264" w:lineRule="auto"/>
            </w:pPr>
            <w:r/>
            <w:r>
              <w:rPr>
                <w:rFonts w:ascii="Calibri" w:hAnsi="Calibri"/>
                <w:b w:val="0"/>
                <w:color w:val="102033"/>
                <w:sz w:val="18"/>
              </w:rPr>
              <w:t>Model A: Pilot Package</w:t>
            </w:r>
          </w:p>
        </w:tc>
        <w:tc>
          <w:tcPr>
            <w:tcW w:type="dxa" w:w="2088"/>
            <w:vAlign w:val="center"/>
          </w:tcPr>
          <w:p>
            <w:pPr>
              <w:spacing w:after="0" w:line="264" w:lineRule="auto"/>
            </w:pPr>
            <w:r/>
            <w:r>
              <w:rPr>
                <w:rFonts w:ascii="Calibri" w:hAnsi="Calibri"/>
                <w:b w:val="0"/>
                <w:color w:val="102033"/>
                <w:sz w:val="18"/>
              </w:rPr>
              <w:t>USD 2,500-5,000</w:t>
            </w:r>
          </w:p>
        </w:tc>
        <w:tc>
          <w:tcPr>
            <w:tcW w:type="dxa" w:w="4752"/>
            <w:vAlign w:val="center"/>
          </w:tcPr>
          <w:p>
            <w:pPr>
              <w:spacing w:after="0" w:line="264" w:lineRule="auto"/>
            </w:pPr>
            <w:r/>
            <w:r>
              <w:rPr>
                <w:rFonts w:ascii="Calibri" w:hAnsi="Calibri"/>
                <w:b w:val="0"/>
                <w:color w:val="102033"/>
                <w:sz w:val="18"/>
              </w:rPr>
              <w:t>Pilot deployment, configuration, academic setup, initial training, and pilot support.</w:t>
            </w:r>
          </w:p>
        </w:tc>
      </w:tr>
      <w:tr>
        <w:tc>
          <w:tcPr>
            <w:tcW w:type="dxa" w:w="2232"/>
            <w:vAlign w:val="center"/>
            <w:shd w:fill="FBFCFE"/>
          </w:tcPr>
          <w:p>
            <w:pPr>
              <w:spacing w:after="0" w:line="264" w:lineRule="auto"/>
            </w:pPr>
            <w:r/>
            <w:r>
              <w:rPr>
                <w:rFonts w:ascii="Calibri" w:hAnsi="Calibri"/>
                <w:b w:val="0"/>
                <w:color w:val="102033"/>
                <w:sz w:val="18"/>
              </w:rPr>
              <w:t>Model B: Institutional Rollout</w:t>
            </w:r>
          </w:p>
        </w:tc>
        <w:tc>
          <w:tcPr>
            <w:tcW w:type="dxa" w:w="2088"/>
            <w:vAlign w:val="center"/>
            <w:shd w:fill="FBFCFE"/>
          </w:tcPr>
          <w:p>
            <w:pPr>
              <w:spacing w:after="0" w:line="264" w:lineRule="auto"/>
            </w:pPr>
            <w:r/>
            <w:r>
              <w:rPr>
                <w:rFonts w:ascii="Calibri" w:hAnsi="Calibri"/>
                <w:b w:val="0"/>
                <w:color w:val="102033"/>
                <w:sz w:val="18"/>
              </w:rPr>
              <w:t>USD 8,000-20,000+</w:t>
            </w:r>
          </w:p>
        </w:tc>
        <w:tc>
          <w:tcPr>
            <w:tcW w:type="dxa" w:w="4752"/>
            <w:vAlign w:val="center"/>
            <w:shd w:fill="FBFCFE"/>
          </w:tcPr>
          <w:p>
            <w:pPr>
              <w:spacing w:after="0" w:line="264" w:lineRule="auto"/>
            </w:pPr>
            <w:r/>
            <w:r>
              <w:rPr>
                <w:rFonts w:ascii="Calibri" w:hAnsi="Calibri"/>
                <w:b w:val="0"/>
                <w:color w:val="102033"/>
                <w:sz w:val="18"/>
              </w:rPr>
              <w:t>Full implementation, department rollout, data migration, user training, and go-live support.</w:t>
            </w:r>
          </w:p>
        </w:tc>
      </w:tr>
      <w:tr>
        <w:tc>
          <w:tcPr>
            <w:tcW w:type="dxa" w:w="2232"/>
            <w:vAlign w:val="center"/>
          </w:tcPr>
          <w:p>
            <w:pPr>
              <w:spacing w:after="0" w:line="264" w:lineRule="auto"/>
            </w:pPr>
            <w:r/>
            <w:r>
              <w:rPr>
                <w:rFonts w:ascii="Calibri" w:hAnsi="Calibri"/>
                <w:b w:val="0"/>
                <w:color w:val="102033"/>
                <w:sz w:val="18"/>
              </w:rPr>
              <w:t>Model C: Annual Institutional Support License</w:t>
            </w:r>
          </w:p>
        </w:tc>
        <w:tc>
          <w:tcPr>
            <w:tcW w:type="dxa" w:w="2088"/>
            <w:vAlign w:val="center"/>
          </w:tcPr>
          <w:p>
            <w:pPr>
              <w:spacing w:after="0" w:line="264" w:lineRule="auto"/>
            </w:pPr>
            <w:r/>
            <w:r>
              <w:rPr>
                <w:rFonts w:ascii="Calibri" w:hAnsi="Calibri"/>
                <w:b w:val="0"/>
                <w:color w:val="102033"/>
                <w:sz w:val="18"/>
              </w:rPr>
              <w:t>USD 3,000-10,000/year</w:t>
            </w:r>
          </w:p>
        </w:tc>
        <w:tc>
          <w:tcPr>
            <w:tcW w:type="dxa" w:w="4752"/>
            <w:vAlign w:val="center"/>
          </w:tcPr>
          <w:p>
            <w:pPr>
              <w:spacing w:after="0" w:line="264" w:lineRule="auto"/>
            </w:pPr>
            <w:r/>
            <w:r>
              <w:rPr>
                <w:rFonts w:ascii="Calibri" w:hAnsi="Calibri"/>
                <w:b w:val="0"/>
                <w:color w:val="102033"/>
                <w:sz w:val="18"/>
              </w:rPr>
              <w:t>Hosting, maintenance, security updates, technical support, and agreed enhancements.</w:t>
            </w:r>
          </w:p>
        </w:tc>
      </w:tr>
    </w:tbl>
    <w:p/>
    <w:tbl>
      <w:tblPr>
        <w:tblW w:type="auto" w:w="0"/>
        <w:jc w:val="center"/>
        <w:tblLook w:firstColumn="1" w:firstRow="1" w:lastColumn="0" w:lastRow="0" w:noHBand="0" w:noVBand="1" w:val="04A0"/>
        <w:tblBorders>
          <w:top w:val="single" w:sz="8" w:space="0" w:color="C9972B"/>
          <w:left w:val="single" w:sz="8" w:space="0" w:color="C9972B"/>
          <w:bottom w:val="single" w:sz="8" w:space="0" w:color="C9972B"/>
          <w:right w:val="single" w:sz="8" w:space="0" w:color="C9972B"/>
          <w:insideH w:val="single" w:sz="8" w:space="0" w:color="C9972B"/>
          <w:insideV w:val="single" w:sz="8" w:space="0" w:color="C9972B"/>
        </w:tblBorders>
        <w:tblCellMar>
          <w:top w:w="170" w:type="dxa"/>
          <w:start w:w="220" w:type="dxa"/>
          <w:bottom w:w="170" w:type="dxa"/>
          <w:end w:w="220" w:type="dxa"/>
        </w:tblCellMar>
      </w:tblPr>
      <w:tblGrid>
        <w:gridCol w:w="9878"/>
      </w:tblGrid>
      <w:tr>
        <w:tc>
          <w:tcPr>
            <w:tcW w:type="dxa" w:w="9878"/>
            <w:shd w:fill="FFF4D8"/>
          </w:tcPr>
          <w:p>
            <w:pPr>
              <w:spacing w:after="80"/>
            </w:pPr>
            <w:r>
              <w:rPr>
                <w:b/>
                <w:color w:val="C9972B"/>
                <w:sz w:val="17"/>
              </w:rPr>
              <w:t>OPTIONAL STUDENT-BASED PRICING</w:t>
            </w:r>
          </w:p>
          <w:p>
            <w:pPr>
              <w:spacing w:after="0" w:line="288" w:lineRule="auto"/>
            </w:pPr>
            <w:r>
              <w:rPr>
                <w:color w:val="102033"/>
                <w:sz w:val="21"/>
              </w:rPr>
              <w:t>For larger institutions, Sky High Tech may propose a student-based pricing model. This can align cost with enrollment size, support requirements, hosting load, and phased institutional adoption.</w:t>
            </w:r>
          </w:p>
        </w:tc>
      </w:tr>
    </w:tbl>
    <w:p/>
    <w:p>
      <w:pPr>
        <w:pStyle w:val="Heading1"/>
      </w:pPr>
      <w:r>
        <w:rPr>
          <w:rFonts w:ascii="Calibri" w:hAnsi="Calibri"/>
          <w:b/>
          <w:color w:val="0B4F8A"/>
        </w:rPr>
        <w:t>12. Why Sky High Tech</w:t>
      </w:r>
    </w:p>
    <w:p>
      <w:pPr>
        <w:spacing w:after="160" w:line="300" w:lineRule="auto"/>
      </w:pPr>
      <w:r>
        <w:rPr>
          <w:rFonts w:ascii="Calibri" w:hAnsi="Calibri"/>
          <w:b w:val="0"/>
          <w:color w:val="102033"/>
        </w:rPr>
        <w:t>Sky High Tech is a South Sudan technology company focused on building practical digital solutions for local and regional institutions. Our positioning is simple: Technology Made Simple. We believe universities and colleges in South Sudan and East Africa should have access to modern, locally relevant systems that reflect their real operating environment.</w:t>
      </w:r>
    </w:p>
    <w:p>
      <w:pPr>
        <w:spacing w:after="160" w:line="300" w:lineRule="auto"/>
      </w:pPr>
      <w:r>
        <w:rPr>
          <w:rFonts w:ascii="Calibri" w:hAnsi="Calibri"/>
          <w:b w:val="0"/>
          <w:color w:val="102033"/>
        </w:rPr>
        <w:t>UniPortal is part of a broader mission: Building Africa's Digital Future from South Sudan. The platform is designed with institutional seriousness, practical deployment needs, and regional affordability in mind.</w:t>
      </w:r>
    </w:p>
    <w:p>
      <w:pPr>
        <w:pStyle w:val="Heading1"/>
      </w:pPr>
      <w:r>
        <w:rPr>
          <w:rFonts w:ascii="Calibri" w:hAnsi="Calibri"/>
          <w:b/>
          <w:color w:val="0B4F8A"/>
        </w:rPr>
        <w:t>13. Conclusion &amp; Recommendation</w:t>
      </w:r>
    </w:p>
    <w:p>
      <w:pPr>
        <w:spacing w:after="160" w:line="300" w:lineRule="auto"/>
      </w:pPr>
      <w:r>
        <w:rPr>
          <w:rFonts w:ascii="Calibri" w:hAnsi="Calibri"/>
          <w:b w:val="0"/>
          <w:color w:val="102033"/>
        </w:rPr>
        <w:t>UniPortal is ready for an institutional pilot discussion. The system demonstrates a credible registration lifecycle from academic setup to student enrollment, registrar decision-making, enrollment slip generation, and academic record foundations.</w:t>
      </w:r>
    </w:p>
    <w:p>
      <w:pPr>
        <w:spacing w:after="160" w:line="300" w:lineRule="auto"/>
      </w:pPr>
      <w:r>
        <w:rPr>
          <w:rFonts w:ascii="Calibri" w:hAnsi="Calibri"/>
          <w:b w:val="0"/>
          <w:color w:val="102033"/>
        </w:rPr>
        <w:t>Sky High Tech recommends beginning with a guided pilot discovery and controlled deployment. This approach allows the institution to validate workflow fit, data requirements, training needs, reporting priorities, and rollout cost before committing to a full institutional implementation.</w:t>
      </w:r>
    </w:p>
    <w:tbl>
      <w:tblPr>
        <w:tblW w:type="auto" w:w="0"/>
        <w:jc w:val="center"/>
        <w:tblLook w:firstColumn="1" w:firstRow="1" w:lastColumn="0" w:lastRow="0" w:noHBand="0" w:noVBand="1" w:val="04A0"/>
        <w:tblBorders>
          <w:top w:val="single" w:sz="8" w:space="0" w:color="0B4F8A"/>
          <w:left w:val="single" w:sz="8" w:space="0" w:color="0B4F8A"/>
          <w:bottom w:val="single" w:sz="8" w:space="0" w:color="0B4F8A"/>
          <w:right w:val="single" w:sz="8" w:space="0" w:color="0B4F8A"/>
          <w:insideH w:val="single" w:sz="8" w:space="0" w:color="0B4F8A"/>
          <w:insideV w:val="single" w:sz="8" w:space="0" w:color="0B4F8A"/>
        </w:tblBorders>
        <w:tblCellMar>
          <w:top w:w="170" w:type="dxa"/>
          <w:start w:w="220" w:type="dxa"/>
          <w:bottom w:w="170" w:type="dxa"/>
          <w:end w:w="220" w:type="dxa"/>
        </w:tblCellMar>
      </w:tblPr>
      <w:tblGrid>
        <w:gridCol w:w="9878"/>
      </w:tblGrid>
      <w:tr>
        <w:tc>
          <w:tcPr>
            <w:tcW w:type="dxa" w:w="9878"/>
            <w:shd w:fill="E9F2FB"/>
          </w:tcPr>
          <w:p>
            <w:pPr>
              <w:spacing w:after="80"/>
            </w:pPr>
            <w:r>
              <w:rPr>
                <w:b/>
                <w:color w:val="0B4F8A"/>
                <w:sz w:val="17"/>
              </w:rPr>
              <w:t>RECOMMENDED NEXT STEP</w:t>
            </w:r>
          </w:p>
          <w:p>
            <w:pPr>
              <w:spacing w:after="0" w:line="288" w:lineRule="auto"/>
            </w:pPr>
            <w:r>
              <w:rPr>
                <w:color w:val="102033"/>
                <w:sz w:val="21"/>
              </w:rPr>
              <w:t>Schedule a guided institutional pilot discussion with university leadership, registrar, ICT, finance, deans/HODs, and selected administrative users.</w:t>
            </w:r>
          </w:p>
        </w:tc>
      </w:tr>
    </w:tbl>
    <w:p/>
    <w:p>
      <w:r>
        <w:br w:type="page"/>
      </w:r>
    </w:p>
    <w:p>
      <w:pPr>
        <w:pStyle w:val="Heading1"/>
      </w:pPr>
      <w:r>
        <w:rPr>
          <w:rFonts w:ascii="Calibri" w:hAnsi="Calibri"/>
          <w:b/>
          <w:color w:val="0B4F8A"/>
        </w:rPr>
        <w:t>14. Signature Page</w:t>
      </w:r>
    </w:p>
    <w:p>
      <w:pPr>
        <w:spacing w:after="160" w:line="300" w:lineRule="auto"/>
      </w:pPr>
      <w:r>
        <w:rPr>
          <w:rFonts w:ascii="Calibri" w:hAnsi="Calibri"/>
          <w:b/>
          <w:color w:val="08365F"/>
        </w:rPr>
        <w:t>Prepared by:</w:t>
      </w:r>
    </w:p>
    <w:p>
      <w:pPr>
        <w:spacing w:after="160" w:line="300" w:lineRule="auto"/>
      </w:pPr>
      <w:r>
        <w:rPr>
          <w:rFonts w:ascii="Calibri" w:hAnsi="Calibri"/>
          <w:b/>
          <w:color w:val="102033"/>
          <w:sz w:val="28"/>
        </w:rPr>
        <w:t>Sky High Tech</w:t>
      </w:r>
    </w:p>
    <w:p>
      <w:pPr>
        <w:spacing w:after="160" w:line="300" w:lineRule="auto"/>
      </w:pPr>
      <w:r>
        <w:rPr>
          <w:rFonts w:ascii="Calibri" w:hAnsi="Calibri"/>
          <w:b/>
          <w:color w:val="C9972B"/>
        </w:rPr>
        <w:t>Technology Made Simple</w:t>
      </w:r>
    </w:p>
    <w:p>
      <w:pPr>
        <w:spacing w:after="160" w:line="300" w:lineRule="auto"/>
      </w:pPr>
      <w:r>
        <w:rPr>
          <w:rFonts w:ascii="Calibri" w:hAnsi="Calibri"/>
          <w:b/>
          <w:color w:val="0B4F8A"/>
        </w:rPr>
        <w:t>Building Africa's Digital Future from South Sudan</w:t>
      </w:r>
    </w:p>
    <w:p>
      <w:pPr>
        <w:spacing w:after="160" w:line="300" w:lineRule="auto"/>
      </w:pPr>
      <w:r>
        <w:rPr>
          <w:rFonts w:ascii="Calibri" w:hAnsi="Calibri"/>
          <w:b w:val="0"/>
          <w:color w:val="102033"/>
        </w:rPr>
        <w:t>Email: skyhighttech@gmail.com</w:t>
      </w:r>
    </w:p>
    <w:p/>
    <w:tbl>
      <w:tblPr>
        <w:tblW w:type="auto" w:w="0"/>
        <w:tblLook w:firstColumn="1" w:firstRow="1" w:lastColumn="0" w:lastRow="0" w:noHBand="0" w:noVBand="1" w:val="04A0"/>
        <w:tblBorders>
          <w:top w:val="single" w:sz="6" w:space="0" w:color="D8E1EA"/>
          <w:left w:val="single" w:sz="6" w:space="0" w:color="D8E1EA"/>
          <w:bottom w:val="single" w:sz="6" w:space="0" w:color="D8E1EA"/>
          <w:right w:val="single" w:sz="6" w:space="0" w:color="D8E1EA"/>
          <w:insideH w:val="single" w:sz="6" w:space="0" w:color="D8E1EA"/>
          <w:insideV w:val="single" w:sz="6" w:space="0" w:color="D8E1EA"/>
        </w:tblBorders>
        <w:tblCellMar>
          <w:top w:w="170" w:type="dxa"/>
          <w:start w:w="160" w:type="dxa"/>
          <w:bottom w:w="170" w:type="dxa"/>
          <w:end w:w="160" w:type="dxa"/>
        </w:tblCellMar>
      </w:tblPr>
      <w:tblGrid>
        <w:gridCol w:w="4939"/>
        <w:gridCol w:w="4939"/>
      </w:tblGrid>
      <w:tr>
        <w:tc>
          <w:tcPr>
            <w:tcW w:type="dxa" w:w="4939"/>
            <w:vAlign w:val="center"/>
          </w:tcPr>
          <w:p>
            <w:pPr>
              <w:spacing w:after="0" w:line="264" w:lineRule="auto"/>
            </w:pPr>
            <w:r/>
            <w:r>
              <w:rPr>
                <w:rFonts w:ascii="Calibri" w:hAnsi="Calibri"/>
                <w:b/>
                <w:color w:val="08365F"/>
                <w:sz w:val="19"/>
              </w:rPr>
              <w:t>Authorized representative</w:t>
            </w:r>
          </w:p>
        </w:tc>
        <w:tc>
          <w:tcPr>
            <w:tcW w:type="dxa" w:w="4939"/>
            <w:vAlign w:val="center"/>
          </w:tcPr>
          <w:p>
            <w:pPr>
              <w:spacing w:after="0" w:line="264" w:lineRule="auto"/>
            </w:pPr>
            <w:r/>
            <w:r>
              <w:rPr>
                <w:rFonts w:ascii="Calibri" w:hAnsi="Calibri"/>
                <w:b/>
                <w:color w:val="08365F"/>
                <w:sz w:val="19"/>
              </w:rPr>
              <w:t>Institution representative</w:t>
            </w:r>
          </w:p>
        </w:tc>
      </w:tr>
      <w:tr>
        <w:tc>
          <w:tcPr>
            <w:tcW w:type="dxa" w:w="4939"/>
            <w:vAlign w:val="center"/>
          </w:tcPr>
          <w:p>
            <w:pPr>
              <w:spacing w:after="0" w:line="264" w:lineRule="auto"/>
            </w:pPr>
            <w:r/>
            <w:r>
              <w:rPr>
                <w:rFonts w:ascii="Calibri" w:hAnsi="Calibri"/>
                <w:b w:val="0"/>
                <w:color w:val="5D6B7A"/>
                <w:sz w:val="19"/>
              </w:rPr>
              <w:t>Name / Signature / Date</w:t>
            </w:r>
          </w:p>
        </w:tc>
        <w:tc>
          <w:tcPr>
            <w:tcW w:type="dxa" w:w="4939"/>
            <w:vAlign w:val="center"/>
          </w:tcPr>
          <w:p>
            <w:pPr>
              <w:spacing w:after="0" w:line="264" w:lineRule="auto"/>
            </w:pPr>
            <w:r/>
            <w:r>
              <w:rPr>
                <w:rFonts w:ascii="Calibri" w:hAnsi="Calibri"/>
                <w:b w:val="0"/>
                <w:color w:val="5D6B7A"/>
                <w:sz w:val="19"/>
              </w:rPr>
              <w:t>Name / Signature / Date</w:t>
            </w:r>
          </w:p>
        </w:tc>
      </w:tr>
    </w:tbl>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D6B7A"/>
        <w:sz w:val="17"/>
      </w:rPr>
      <w:t>Technology Made Simple  |  Building Africa's Digital Future from South Sudan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D6B7A"/>
        <w:sz w:val="17"/>
      </w:rPr>
      <w:t>Sky High Tech / UniPortal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0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4F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4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836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