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68880" cy="2468880"/>
            <wp:docPr id="1" name="Picture 1"/>
            <wp:cNvGraphicFramePr>
              <a:graphicFrameLocks noChangeAspect="1"/>
            </wp:cNvGraphicFramePr>
            <a:graphic>
              <a:graphicData uri="http://schemas.openxmlformats.org/drawingml/2006/picture">
                <pic:pic>
                  <pic:nvPicPr>
                    <pic:cNvPr id="0" name="uniportal-logo.png"/>
                    <pic:cNvPicPr/>
                  </pic:nvPicPr>
                  <pic:blipFill>
                    <a:blip r:embed="rId11"/>
                    <a:stretch>
                      <a:fillRect/>
                    </a:stretch>
                  </pic:blipFill>
                  <pic:spPr>
                    <a:xfrm>
                      <a:off x="0" y="0"/>
                      <a:ext cx="2468880" cy="2468880"/>
                    </a:xfrm>
                    <a:prstGeom prst="rect"/>
                  </pic:spPr>
                </pic:pic>
              </a:graphicData>
            </a:graphic>
          </wp:inline>
        </w:drawing>
      </w:r>
    </w:p>
    <w:p>
      <w:pPr>
        <w:spacing w:after="160" w:line="300" w:lineRule="auto"/>
        <w:jc w:val="center"/>
      </w:pPr>
      <w:r>
        <w:rPr>
          <w:rFonts w:ascii="Calibri" w:hAnsi="Calibri"/>
          <w:b/>
          <w:color w:val="08365F"/>
          <w:sz w:val="68"/>
        </w:rPr>
        <w:t>UniPortal</w:t>
      </w:r>
    </w:p>
    <w:p>
      <w:pPr>
        <w:spacing w:after="160" w:line="300" w:lineRule="auto"/>
        <w:jc w:val="center"/>
      </w:pPr>
      <w:r>
        <w:rPr>
          <w:rFonts w:ascii="Calibri" w:hAnsi="Calibri"/>
          <w:b/>
          <w:color w:val="102033"/>
          <w:sz w:val="36"/>
        </w:rPr>
        <w:t>Institutional Student Information &amp; Enrollment Management System Proposal</w:t>
      </w:r>
    </w:p>
    <w:p>
      <w:pPr>
        <w:spacing w:after="160" w:line="300" w:lineRule="auto"/>
        <w:jc w:val="center"/>
        <w:pBdr>
          <w:bottom w:val="single" w:sz="20" w:space="4" w:color="C9972B"/>
        </w:pBdr>
      </w:pPr>
      <w:r>
        <w:rPr>
          <w:rFonts w:ascii="Calibri" w:hAnsi="Calibri"/>
          <w:b w:val="0"/>
          <w:color w:val="0B4F8A"/>
          <w:sz w:val="26"/>
        </w:rPr>
        <w:t>Prepared for Institutional Discussion</w:t>
      </w:r>
    </w:p>
    <w:p>
      <w:pPr>
        <w:spacing w:after="160" w:line="300" w:lineRule="auto"/>
        <w:jc w:val="center"/>
      </w:pPr>
      <w:r>
        <w:rPr>
          <w:rFonts w:ascii="Calibri" w:hAnsi="Calibri"/>
          <w:b/>
          <w:color w:val="08365F"/>
          <w:sz w:val="32"/>
        </w:rPr>
        <w:t>Prepared by Sky High Tech</w:t>
      </w:r>
    </w:p>
    <w:p>
      <w:pPr>
        <w:spacing w:after="160" w:line="300" w:lineRule="auto"/>
        <w:jc w:val="center"/>
      </w:pPr>
      <w:r>
        <w:rPr>
          <w:rFonts w:ascii="Calibri" w:hAnsi="Calibri"/>
          <w:b/>
          <w:color w:val="C9972B"/>
          <w:sz w:val="24"/>
        </w:rPr>
        <w:t>Technology Made Simple</w:t>
      </w:r>
    </w:p>
    <w:p>
      <w:pPr>
        <w:spacing w:after="160" w:line="300" w:lineRule="auto"/>
        <w:jc w:val="center"/>
      </w:pPr>
      <w:r>
        <w:rPr>
          <w:rFonts w:ascii="Calibri" w:hAnsi="Calibri"/>
          <w:b/>
          <w:color w:val="0B4F8A"/>
          <w:sz w:val="24"/>
        </w:rPr>
        <w:t>Building Africa's Digital Future from South Sudan</w:t>
      </w:r>
    </w:p>
    <w:p>
      <w:pPr>
        <w:spacing w:after="160" w:line="300" w:lineRule="auto"/>
        <w:jc w:val="center"/>
      </w:pPr>
      <w:r>
        <w:rPr>
          <w:rFonts w:ascii="Calibri" w:hAnsi="Calibri"/>
          <w:b w:val="0"/>
          <w:color w:val="5D6B7A"/>
          <w:sz w:val="21"/>
        </w:rPr>
        <w:t>Date: May 25, 2026</w:t>
      </w:r>
    </w:p>
    <w:p>
      <w:r>
        <w:br w:type="page"/>
      </w:r>
    </w:p>
    <w:p>
      <w:pPr>
        <w:pStyle w:val="Heading1"/>
      </w:pPr>
      <w:r>
        <w:rPr>
          <w:rFonts w:ascii="Calibri" w:hAnsi="Calibri"/>
          <w:b/>
          <w:color w:val="0B4F8A"/>
        </w:rPr>
        <w:t>1. Executive Summary</w:t>
      </w:r>
    </w:p>
    <w:p>
      <w:pPr>
        <w:spacing w:after="160" w:line="300" w:lineRule="auto"/>
      </w:pPr>
      <w:r>
        <w:rPr>
          <w:rFonts w:ascii="Calibri" w:hAnsi="Calibri"/>
          <w:b w:val="0"/>
          <w:color w:val="102033"/>
        </w:rPr>
        <w:t>Universities and colleges increasingly need registration systems that are faster, more accountable, and easier for leadership to monitor. Yet many institutions still rely on paper forms, spreadsheet files, manual approvals, and fragmented student records.</w:t>
      </w:r>
    </w:p>
    <w:p>
      <w:pPr>
        <w:spacing w:after="160" w:line="300" w:lineRule="auto"/>
      </w:pPr>
      <w:r>
        <w:rPr>
          <w:rFonts w:ascii="Calibri" w:hAnsi="Calibri"/>
          <w:b w:val="0"/>
          <w:color w:val="102033"/>
        </w:rPr>
        <w:t>UniPortal provides a focused institutional platform for academic setup, student management, course registration, registrar approval, enrollment slips, and academic record foundations. It is designed to help institutions prove a controlled digital registration workflow before committing to a broader SIS rollout.</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EXECUTIVE RECOMMENDATION</w:t>
            </w:r>
          </w:p>
          <w:p>
            <w:pPr>
              <w:spacing w:after="0" w:line="288" w:lineRule="auto"/>
            </w:pPr>
            <w:r>
              <w:rPr>
                <w:color w:val="102033"/>
                <w:sz w:val="21"/>
              </w:rPr>
              <w:t>Proceed with a guided institutional pilot discussion. The pilot should validate registration policies, data structure, reporting needs, user roles, and operational readiness with a controlled academic cycle.</w:t>
            </w:r>
          </w:p>
        </w:tc>
      </w:tr>
    </w:tbl>
    <w:p/>
    <w:p>
      <w:pPr>
        <w:pStyle w:val="Heading1"/>
      </w:pPr>
      <w:r>
        <w:rPr>
          <w:rFonts w:ascii="Calibri" w:hAnsi="Calibri"/>
          <w:b/>
          <w:color w:val="0B4F8A"/>
        </w:rPr>
        <w:t>2. Institutional Challenges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3096"/>
            <w:shd w:fill="08365F"/>
            <w:vAlign w:val="center"/>
          </w:tcPr>
          <w:p>
            <w:pPr>
              <w:spacing w:after="0" w:line="264" w:lineRule="auto"/>
            </w:pPr>
            <w:r/>
            <w:r>
              <w:rPr>
                <w:rFonts w:ascii="Calibri" w:hAnsi="Calibri"/>
                <w:b/>
                <w:color w:val="FFFFFF"/>
                <w:sz w:val="18"/>
              </w:rPr>
              <w:t>Challenge</w:t>
            </w:r>
          </w:p>
        </w:tc>
        <w:tc>
          <w:tcPr>
            <w:tcW w:type="dxa" w:w="5976"/>
            <w:shd w:fill="08365F"/>
            <w:vAlign w:val="center"/>
          </w:tcPr>
          <w:p>
            <w:pPr>
              <w:spacing w:after="0" w:line="264" w:lineRule="auto"/>
            </w:pPr>
            <w:r/>
            <w:r>
              <w:rPr>
                <w:rFonts w:ascii="Calibri" w:hAnsi="Calibri"/>
                <w:b/>
                <w:color w:val="FFFFFF"/>
                <w:sz w:val="18"/>
              </w:rPr>
              <w:t>Institutional impact</w:t>
            </w:r>
          </w:p>
        </w:tc>
      </w:tr>
      <w:tr>
        <w:tc>
          <w:tcPr>
            <w:tcW w:type="dxa" w:w="3096"/>
            <w:vAlign w:val="center"/>
          </w:tcPr>
          <w:p>
            <w:pPr>
              <w:spacing w:after="0" w:line="264" w:lineRule="auto"/>
            </w:pPr>
            <w:r/>
            <w:r>
              <w:rPr>
                <w:rFonts w:ascii="Calibri" w:hAnsi="Calibri"/>
                <w:b w:val="0"/>
                <w:color w:val="102033"/>
                <w:sz w:val="18"/>
              </w:rPr>
              <w:t>Paper-based registration</w:t>
            </w:r>
          </w:p>
        </w:tc>
        <w:tc>
          <w:tcPr>
            <w:tcW w:type="dxa" w:w="5976"/>
            <w:vAlign w:val="center"/>
          </w:tcPr>
          <w:p>
            <w:pPr>
              <w:spacing w:after="0" w:line="264" w:lineRule="auto"/>
            </w:pPr>
            <w:r/>
            <w:r>
              <w:rPr>
                <w:rFonts w:ascii="Calibri" w:hAnsi="Calibri"/>
                <w:b w:val="0"/>
                <w:color w:val="102033"/>
                <w:sz w:val="18"/>
              </w:rPr>
              <w:t>Creates delays, physical queues, lost forms, and limited visibility across departments.</w:t>
            </w:r>
          </w:p>
        </w:tc>
      </w:tr>
      <w:tr>
        <w:tc>
          <w:tcPr>
            <w:tcW w:type="dxa" w:w="3096"/>
            <w:vAlign w:val="center"/>
            <w:shd w:fill="FBFCFE"/>
          </w:tcPr>
          <w:p>
            <w:pPr>
              <w:spacing w:after="0" w:line="264" w:lineRule="auto"/>
            </w:pPr>
            <w:r/>
            <w:r>
              <w:rPr>
                <w:rFonts w:ascii="Calibri" w:hAnsi="Calibri"/>
                <w:b w:val="0"/>
                <w:color w:val="102033"/>
                <w:sz w:val="18"/>
              </w:rPr>
              <w:t>Spreadsheet dependency</w:t>
            </w:r>
          </w:p>
        </w:tc>
        <w:tc>
          <w:tcPr>
            <w:tcW w:type="dxa" w:w="5976"/>
            <w:vAlign w:val="center"/>
            <w:shd w:fill="FBFCFE"/>
          </w:tcPr>
          <w:p>
            <w:pPr>
              <w:spacing w:after="0" w:line="264" w:lineRule="auto"/>
            </w:pPr>
            <w:r/>
            <w:r>
              <w:rPr>
                <w:rFonts w:ascii="Calibri" w:hAnsi="Calibri"/>
                <w:b w:val="0"/>
                <w:color w:val="102033"/>
                <w:sz w:val="18"/>
              </w:rPr>
              <w:t>Makes data duplication, inconsistent versions, and manual consolidation common.</w:t>
            </w:r>
          </w:p>
        </w:tc>
      </w:tr>
      <w:tr>
        <w:tc>
          <w:tcPr>
            <w:tcW w:type="dxa" w:w="3096"/>
            <w:vAlign w:val="center"/>
          </w:tcPr>
          <w:p>
            <w:pPr>
              <w:spacing w:after="0" w:line="264" w:lineRule="auto"/>
            </w:pPr>
            <w:r/>
            <w:r>
              <w:rPr>
                <w:rFonts w:ascii="Calibri" w:hAnsi="Calibri"/>
                <w:b w:val="0"/>
                <w:color w:val="102033"/>
                <w:sz w:val="18"/>
              </w:rPr>
              <w:t>Delayed approvals</w:t>
            </w:r>
          </w:p>
        </w:tc>
        <w:tc>
          <w:tcPr>
            <w:tcW w:type="dxa" w:w="5976"/>
            <w:vAlign w:val="center"/>
          </w:tcPr>
          <w:p>
            <w:pPr>
              <w:spacing w:after="0" w:line="264" w:lineRule="auto"/>
            </w:pPr>
            <w:r/>
            <w:r>
              <w:rPr>
                <w:rFonts w:ascii="Calibri" w:hAnsi="Calibri"/>
                <w:b w:val="0"/>
                <w:color w:val="102033"/>
                <w:sz w:val="18"/>
              </w:rPr>
              <w:t>Leaves students uncertain and increases pressure on registrar and departmental offices.</w:t>
            </w:r>
          </w:p>
        </w:tc>
      </w:tr>
      <w:tr>
        <w:tc>
          <w:tcPr>
            <w:tcW w:type="dxa" w:w="3096"/>
            <w:vAlign w:val="center"/>
            <w:shd w:fill="FBFCFE"/>
          </w:tcPr>
          <w:p>
            <w:pPr>
              <w:spacing w:after="0" w:line="264" w:lineRule="auto"/>
            </w:pPr>
            <w:r/>
            <w:r>
              <w:rPr>
                <w:rFonts w:ascii="Calibri" w:hAnsi="Calibri"/>
                <w:b w:val="0"/>
                <w:color w:val="102033"/>
                <w:sz w:val="18"/>
              </w:rPr>
              <w:t>Student confusion</w:t>
            </w:r>
          </w:p>
        </w:tc>
        <w:tc>
          <w:tcPr>
            <w:tcW w:type="dxa" w:w="5976"/>
            <w:vAlign w:val="center"/>
            <w:shd w:fill="FBFCFE"/>
          </w:tcPr>
          <w:p>
            <w:pPr>
              <w:spacing w:after="0" w:line="264" w:lineRule="auto"/>
            </w:pPr>
            <w:r/>
            <w:r>
              <w:rPr>
                <w:rFonts w:ascii="Calibri" w:hAnsi="Calibri"/>
                <w:b w:val="0"/>
                <w:color w:val="102033"/>
                <w:sz w:val="18"/>
              </w:rPr>
              <w:t>Students do not always know whether their registration is pending, approved, rejected, or returned for correction.</w:t>
            </w:r>
          </w:p>
        </w:tc>
      </w:tr>
      <w:tr>
        <w:tc>
          <w:tcPr>
            <w:tcW w:type="dxa" w:w="3096"/>
            <w:vAlign w:val="center"/>
          </w:tcPr>
          <w:p>
            <w:pPr>
              <w:spacing w:after="0" w:line="264" w:lineRule="auto"/>
            </w:pPr>
            <w:r/>
            <w:r>
              <w:rPr>
                <w:rFonts w:ascii="Calibri" w:hAnsi="Calibri"/>
                <w:b w:val="0"/>
                <w:color w:val="102033"/>
                <w:sz w:val="18"/>
              </w:rPr>
              <w:t>Weak audit trails</w:t>
            </w:r>
          </w:p>
        </w:tc>
        <w:tc>
          <w:tcPr>
            <w:tcW w:type="dxa" w:w="5976"/>
            <w:vAlign w:val="center"/>
          </w:tcPr>
          <w:p>
            <w:pPr>
              <w:spacing w:after="0" w:line="264" w:lineRule="auto"/>
            </w:pPr>
            <w:r/>
            <w:r>
              <w:rPr>
                <w:rFonts w:ascii="Calibri" w:hAnsi="Calibri"/>
                <w:b w:val="0"/>
                <w:color w:val="102033"/>
                <w:sz w:val="18"/>
              </w:rPr>
              <w:t>Approval decisions may lack clear reviewer identity, date, previous status, or reason.</w:t>
            </w:r>
          </w:p>
        </w:tc>
      </w:tr>
      <w:tr>
        <w:tc>
          <w:tcPr>
            <w:tcW w:type="dxa" w:w="3096"/>
            <w:vAlign w:val="center"/>
            <w:shd w:fill="FBFCFE"/>
          </w:tcPr>
          <w:p>
            <w:pPr>
              <w:spacing w:after="0" w:line="264" w:lineRule="auto"/>
            </w:pPr>
            <w:r/>
            <w:r>
              <w:rPr>
                <w:rFonts w:ascii="Calibri" w:hAnsi="Calibri"/>
                <w:b w:val="0"/>
                <w:color w:val="102033"/>
                <w:sz w:val="18"/>
              </w:rPr>
              <w:t>Limited reporting visibility</w:t>
            </w:r>
          </w:p>
        </w:tc>
        <w:tc>
          <w:tcPr>
            <w:tcW w:type="dxa" w:w="5976"/>
            <w:vAlign w:val="center"/>
            <w:shd w:fill="FBFCFE"/>
          </w:tcPr>
          <w:p>
            <w:pPr>
              <w:spacing w:after="0" w:line="264" w:lineRule="auto"/>
            </w:pPr>
            <w:r/>
            <w:r>
              <w:rPr>
                <w:rFonts w:ascii="Calibri" w:hAnsi="Calibri"/>
                <w:b w:val="0"/>
                <w:color w:val="102033"/>
                <w:sz w:val="18"/>
              </w:rPr>
              <w:t>Leadership must wait for manual reports instead of seeing operational registration activity quickly.</w:t>
            </w:r>
          </w:p>
        </w:tc>
      </w:tr>
    </w:tbl>
    <w:p/>
    <w:p>
      <w:pPr>
        <w:pStyle w:val="Heading1"/>
      </w:pPr>
      <w:r>
        <w:rPr>
          <w:rFonts w:ascii="Calibri" w:hAnsi="Calibri"/>
          <w:b/>
          <w:color w:val="0B4F8A"/>
        </w:rPr>
        <w:t>3. Proposed Solution: UniPortal</w:t>
      </w:r>
    </w:p>
    <w:p>
      <w:pPr>
        <w:spacing w:after="160" w:line="300" w:lineRule="auto"/>
      </w:pPr>
      <w:r>
        <w:rPr>
          <w:rFonts w:ascii="Calibri" w:hAnsi="Calibri"/>
          <w:b w:val="0"/>
          <w:color w:val="102033"/>
        </w:rPr>
        <w:t>UniPortal is a modern institutional web platform designed to support academic setup, student management, course registration, registrar approval, enrollment slips, and academic record foundations. The platform is intentionally focused: it solves a high-value registration workflow first, while creating the foundation for broader institutional modules.</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POSITIONING</w:t>
            </w:r>
          </w:p>
          <w:p>
            <w:pPr>
              <w:spacing w:after="0" w:line="288" w:lineRule="auto"/>
            </w:pPr>
            <w:r>
              <w:rPr>
                <w:color w:val="102033"/>
                <w:sz w:val="21"/>
              </w:rPr>
              <w:t>UniPortal gives university leadership a practical path from fragmented registration operations to a controlled digital workflow that can be piloted, measured, and expanded.</w:t>
            </w:r>
          </w:p>
        </w:tc>
      </w:tr>
    </w:tbl>
    <w:p/>
    <w:p>
      <w:pPr>
        <w:pStyle w:val="Heading1"/>
      </w:pPr>
      <w:r>
        <w:rPr>
          <w:rFonts w:ascii="Calibri" w:hAnsi="Calibri"/>
          <w:b/>
          <w:color w:val="0B4F8A"/>
        </w:rPr>
        <w:t>4. Current MVP Capabilities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2664"/>
            <w:shd w:fill="0B4F8A"/>
            <w:vAlign w:val="center"/>
          </w:tcPr>
          <w:p>
            <w:pPr>
              <w:spacing w:after="0" w:line="264" w:lineRule="auto"/>
            </w:pPr>
            <w:r/>
            <w:r>
              <w:rPr>
                <w:rFonts w:ascii="Calibri" w:hAnsi="Calibri"/>
                <w:b/>
                <w:color w:val="FFFFFF"/>
                <w:sz w:val="18"/>
              </w:rPr>
              <w:t>Capability area</w:t>
            </w:r>
          </w:p>
        </w:tc>
        <w:tc>
          <w:tcPr>
            <w:tcW w:type="dxa" w:w="6408"/>
            <w:shd w:fill="0B4F8A"/>
            <w:vAlign w:val="center"/>
          </w:tcPr>
          <w:p>
            <w:pPr>
              <w:spacing w:after="0" w:line="264" w:lineRule="auto"/>
            </w:pPr>
            <w:r/>
            <w:r>
              <w:rPr>
                <w:rFonts w:ascii="Calibri" w:hAnsi="Calibri"/>
                <w:b/>
                <w:color w:val="FFFFFF"/>
                <w:sz w:val="18"/>
              </w:rPr>
              <w:t>Current UniPortal support</w:t>
            </w:r>
          </w:p>
        </w:tc>
      </w:tr>
      <w:tr>
        <w:tc>
          <w:tcPr>
            <w:tcW w:type="dxa" w:w="2664"/>
            <w:vAlign w:val="center"/>
          </w:tcPr>
          <w:p>
            <w:pPr>
              <w:spacing w:after="0" w:line="264" w:lineRule="auto"/>
            </w:pPr>
            <w:r/>
            <w:r>
              <w:rPr>
                <w:rFonts w:ascii="Calibri" w:hAnsi="Calibri"/>
                <w:b w:val="0"/>
                <w:color w:val="102033"/>
                <w:sz w:val="18"/>
              </w:rPr>
              <w:t>Academic setup</w:t>
            </w:r>
          </w:p>
        </w:tc>
        <w:tc>
          <w:tcPr>
            <w:tcW w:type="dxa" w:w="6408"/>
            <w:vAlign w:val="center"/>
          </w:tcPr>
          <w:p>
            <w:pPr>
              <w:spacing w:after="0" w:line="264" w:lineRule="auto"/>
            </w:pPr>
            <w:r/>
            <w:r>
              <w:rPr>
                <w:rFonts w:ascii="Calibri" w:hAnsi="Calibri"/>
                <w:b w:val="0"/>
                <w:color w:val="102033"/>
                <w:sz w:val="18"/>
              </w:rPr>
              <w:t>Faculties, departments, programs, courses, levels, semesters, and academic sessions.</w:t>
            </w:r>
          </w:p>
        </w:tc>
      </w:tr>
      <w:tr>
        <w:tc>
          <w:tcPr>
            <w:tcW w:type="dxa" w:w="2664"/>
            <w:vAlign w:val="center"/>
            <w:shd w:fill="FBFCFE"/>
          </w:tcPr>
          <w:p>
            <w:pPr>
              <w:spacing w:after="0" w:line="264" w:lineRule="auto"/>
            </w:pPr>
            <w:r/>
            <w:r>
              <w:rPr>
                <w:rFonts w:ascii="Calibri" w:hAnsi="Calibri"/>
                <w:b w:val="0"/>
                <w:color w:val="102033"/>
                <w:sz w:val="18"/>
              </w:rPr>
              <w:t>Student management</w:t>
            </w:r>
          </w:p>
        </w:tc>
        <w:tc>
          <w:tcPr>
            <w:tcW w:type="dxa" w:w="6408"/>
            <w:vAlign w:val="center"/>
            <w:shd w:fill="FBFCFE"/>
          </w:tcPr>
          <w:p>
            <w:pPr>
              <w:spacing w:after="0" w:line="264" w:lineRule="auto"/>
            </w:pPr>
            <w:r/>
            <w:r>
              <w:rPr>
                <w:rFonts w:ascii="Calibri" w:hAnsi="Calibri"/>
                <w:b w:val="0"/>
                <w:color w:val="102033"/>
                <w:sz w:val="18"/>
              </w:rPr>
              <w:t>Student accounts, academic identity, profile fields, status management, and verification controls.</w:t>
            </w:r>
          </w:p>
        </w:tc>
      </w:tr>
      <w:tr>
        <w:tc>
          <w:tcPr>
            <w:tcW w:type="dxa" w:w="2664"/>
            <w:vAlign w:val="center"/>
          </w:tcPr>
          <w:p>
            <w:pPr>
              <w:spacing w:after="0" w:line="264" w:lineRule="auto"/>
            </w:pPr>
            <w:r/>
            <w:r>
              <w:rPr>
                <w:rFonts w:ascii="Calibri" w:hAnsi="Calibri"/>
                <w:b w:val="0"/>
                <w:color w:val="102033"/>
                <w:sz w:val="18"/>
              </w:rPr>
              <w:t>Enrollment workflow</w:t>
            </w:r>
          </w:p>
        </w:tc>
        <w:tc>
          <w:tcPr>
            <w:tcW w:type="dxa" w:w="6408"/>
            <w:vAlign w:val="center"/>
          </w:tcPr>
          <w:p>
            <w:pPr>
              <w:spacing w:after="0" w:line="264" w:lineRule="auto"/>
            </w:pPr>
            <w:r/>
            <w:r>
              <w:rPr>
                <w:rFonts w:ascii="Calibri" w:hAnsi="Calibri"/>
                <w:b w:val="0"/>
                <w:color w:val="102033"/>
                <w:sz w:val="18"/>
              </w:rPr>
              <w:t>Student course browsing, enrollment request submission, credit total review, and active session control.</w:t>
            </w:r>
          </w:p>
        </w:tc>
      </w:tr>
      <w:tr>
        <w:tc>
          <w:tcPr>
            <w:tcW w:type="dxa" w:w="2664"/>
            <w:vAlign w:val="center"/>
            <w:shd w:fill="FBFCFE"/>
          </w:tcPr>
          <w:p>
            <w:pPr>
              <w:spacing w:after="0" w:line="264" w:lineRule="auto"/>
            </w:pPr>
            <w:r/>
            <w:r>
              <w:rPr>
                <w:rFonts w:ascii="Calibri" w:hAnsi="Calibri"/>
                <w:b w:val="0"/>
                <w:color w:val="102033"/>
                <w:sz w:val="18"/>
              </w:rPr>
              <w:t>Registrar approval</w:t>
            </w:r>
          </w:p>
        </w:tc>
        <w:tc>
          <w:tcPr>
            <w:tcW w:type="dxa" w:w="6408"/>
            <w:vAlign w:val="center"/>
            <w:shd w:fill="FBFCFE"/>
          </w:tcPr>
          <w:p>
            <w:pPr>
              <w:spacing w:after="0" w:line="264" w:lineRule="auto"/>
            </w:pPr>
            <w:r/>
            <w:r>
              <w:rPr>
                <w:rFonts w:ascii="Calibri" w:hAnsi="Calibri"/>
                <w:b w:val="0"/>
                <w:color w:val="102033"/>
                <w:sz w:val="18"/>
              </w:rPr>
              <w:t>Approve, reject, or return requests for correction with structured reasons and decision notes.</w:t>
            </w:r>
          </w:p>
        </w:tc>
      </w:tr>
      <w:tr>
        <w:tc>
          <w:tcPr>
            <w:tcW w:type="dxa" w:w="2664"/>
            <w:vAlign w:val="center"/>
          </w:tcPr>
          <w:p>
            <w:pPr>
              <w:spacing w:after="0" w:line="264" w:lineRule="auto"/>
            </w:pPr>
            <w:r/>
            <w:r>
              <w:rPr>
                <w:rFonts w:ascii="Calibri" w:hAnsi="Calibri"/>
                <w:b w:val="0"/>
                <w:color w:val="102033"/>
                <w:sz w:val="18"/>
              </w:rPr>
              <w:t>Auditability</w:t>
            </w:r>
          </w:p>
        </w:tc>
        <w:tc>
          <w:tcPr>
            <w:tcW w:type="dxa" w:w="6408"/>
            <w:vAlign w:val="center"/>
          </w:tcPr>
          <w:p>
            <w:pPr>
              <w:spacing w:after="0" w:line="264" w:lineRule="auto"/>
            </w:pPr>
            <w:r/>
            <w:r>
              <w:rPr>
                <w:rFonts w:ascii="Calibri" w:hAnsi="Calibri"/>
                <w:b w:val="0"/>
                <w:color w:val="102033"/>
                <w:sz w:val="18"/>
              </w:rPr>
              <w:t>Decision audit logs capture reviewer, date, previous status, new status, reason type, and note.</w:t>
            </w:r>
          </w:p>
        </w:tc>
      </w:tr>
      <w:tr>
        <w:tc>
          <w:tcPr>
            <w:tcW w:type="dxa" w:w="2664"/>
            <w:vAlign w:val="center"/>
            <w:shd w:fill="FBFCFE"/>
          </w:tcPr>
          <w:p>
            <w:pPr>
              <w:spacing w:after="0" w:line="264" w:lineRule="auto"/>
            </w:pPr>
            <w:r/>
            <w:r>
              <w:rPr>
                <w:rFonts w:ascii="Calibri" w:hAnsi="Calibri"/>
                <w:b w:val="0"/>
                <w:color w:val="102033"/>
                <w:sz w:val="18"/>
              </w:rPr>
              <w:t>Official outputs</w:t>
            </w:r>
          </w:p>
        </w:tc>
        <w:tc>
          <w:tcPr>
            <w:tcW w:type="dxa" w:w="6408"/>
            <w:vAlign w:val="center"/>
            <w:shd w:fill="FBFCFE"/>
          </w:tcPr>
          <w:p>
            <w:pPr>
              <w:spacing w:after="0" w:line="264" w:lineRule="auto"/>
            </w:pPr>
            <w:r/>
            <w:r>
              <w:rPr>
                <w:rFonts w:ascii="Calibri" w:hAnsi="Calibri"/>
                <w:b w:val="0"/>
                <w:color w:val="102033"/>
                <w:sz w:val="18"/>
              </w:rPr>
              <w:t>Printable enrollment slips for approved enrollments and academic records foundation.</w:t>
            </w:r>
          </w:p>
        </w:tc>
      </w:tr>
      <w:tr>
        <w:tc>
          <w:tcPr>
            <w:tcW w:type="dxa" w:w="2664"/>
            <w:vAlign w:val="center"/>
          </w:tcPr>
          <w:p>
            <w:pPr>
              <w:spacing w:after="0" w:line="264" w:lineRule="auto"/>
            </w:pPr>
            <w:r/>
            <w:r>
              <w:rPr>
                <w:rFonts w:ascii="Calibri" w:hAnsi="Calibri"/>
                <w:b w:val="0"/>
                <w:color w:val="102033"/>
                <w:sz w:val="18"/>
              </w:rPr>
              <w:t>Dashboards</w:t>
            </w:r>
          </w:p>
        </w:tc>
        <w:tc>
          <w:tcPr>
            <w:tcW w:type="dxa" w:w="6408"/>
            <w:vAlign w:val="center"/>
          </w:tcPr>
          <w:p>
            <w:pPr>
              <w:spacing w:after="0" w:line="264" w:lineRule="auto"/>
            </w:pPr>
            <w:r/>
            <w:r>
              <w:rPr>
                <w:rFonts w:ascii="Calibri" w:hAnsi="Calibri"/>
                <w:b w:val="0"/>
                <w:color w:val="102033"/>
                <w:sz w:val="18"/>
              </w:rPr>
              <w:t>Admin dashboard, registrar dashboard, and student self-service views.</w:t>
            </w:r>
          </w:p>
        </w:tc>
      </w:tr>
    </w:tbl>
    <w:p/>
    <w:p>
      <w:pPr>
        <w:pStyle w:val="Heading1"/>
      </w:pPr>
      <w:r>
        <w:rPr>
          <w:rFonts w:ascii="Calibri" w:hAnsi="Calibri"/>
          <w:b/>
          <w:color w:val="0B4F8A"/>
        </w:rPr>
        <w:t>5. Role-Based Access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3293"/>
        <w:gridCol w:w="3293"/>
        <w:gridCol w:w="3293"/>
      </w:tblGrid>
      <w:tr>
        <w:tc>
          <w:tcPr>
            <w:tcW w:type="dxa" w:w="1656"/>
            <w:shd w:fill="08365F"/>
            <w:vAlign w:val="center"/>
          </w:tcPr>
          <w:p>
            <w:pPr>
              <w:spacing w:after="0" w:line="264" w:lineRule="auto"/>
            </w:pPr>
            <w:r/>
            <w:r>
              <w:rPr>
                <w:rFonts w:ascii="Calibri" w:hAnsi="Calibri"/>
                <w:b/>
                <w:color w:val="FFFFFF"/>
                <w:sz w:val="18"/>
              </w:rPr>
              <w:t>Role</w:t>
            </w:r>
          </w:p>
        </w:tc>
        <w:tc>
          <w:tcPr>
            <w:tcW w:type="dxa" w:w="5976"/>
            <w:shd w:fill="08365F"/>
            <w:vAlign w:val="center"/>
          </w:tcPr>
          <w:p>
            <w:pPr>
              <w:spacing w:after="0" w:line="264" w:lineRule="auto"/>
            </w:pPr>
            <w:r/>
            <w:r>
              <w:rPr>
                <w:rFonts w:ascii="Calibri" w:hAnsi="Calibri"/>
                <w:b/>
                <w:color w:val="FFFFFF"/>
                <w:sz w:val="18"/>
              </w:rPr>
              <w:t>Access and institutional purpose</w:t>
            </w:r>
          </w:p>
        </w:tc>
        <w:tc>
          <w:tcPr>
            <w:tcW w:type="dxa" w:w="1440"/>
            <w:shd w:fill="08365F"/>
            <w:vAlign w:val="center"/>
          </w:tcPr>
          <w:p>
            <w:pPr>
              <w:spacing w:after="0" w:line="264" w:lineRule="auto"/>
            </w:pPr>
            <w:r/>
            <w:r>
              <w:rPr>
                <w:rFonts w:ascii="Calibri" w:hAnsi="Calibri"/>
                <w:b/>
                <w:color w:val="FFFFFF"/>
                <w:sz w:val="18"/>
              </w:rPr>
              <w:t>Status</w:t>
            </w:r>
          </w:p>
        </w:tc>
      </w:tr>
      <w:tr>
        <w:tc>
          <w:tcPr>
            <w:tcW w:type="dxa" w:w="1656"/>
            <w:vAlign w:val="center"/>
          </w:tcPr>
          <w:p>
            <w:pPr>
              <w:spacing w:after="0" w:line="264" w:lineRule="auto"/>
            </w:pPr>
            <w:r/>
            <w:r>
              <w:rPr>
                <w:rFonts w:ascii="Calibri" w:hAnsi="Calibri"/>
                <w:b w:val="0"/>
                <w:color w:val="102033"/>
                <w:sz w:val="18"/>
              </w:rPr>
              <w:t>Admin</w:t>
            </w:r>
          </w:p>
        </w:tc>
        <w:tc>
          <w:tcPr>
            <w:tcW w:type="dxa" w:w="5976"/>
            <w:vAlign w:val="center"/>
          </w:tcPr>
          <w:p>
            <w:pPr>
              <w:spacing w:after="0" w:line="264" w:lineRule="auto"/>
            </w:pPr>
            <w:r/>
            <w:r>
              <w:rPr>
                <w:rFonts w:ascii="Calibri" w:hAnsi="Calibri"/>
                <w:b w:val="0"/>
                <w:color w:val="102033"/>
                <w:sz w:val="18"/>
              </w:rPr>
              <w:t>Academic setup, student management, course management, academic sessions, dashboards, and demo readiness.</w:t>
            </w:r>
          </w:p>
        </w:tc>
        <w:tc>
          <w:tcPr>
            <w:tcW w:type="dxa" w:w="1440"/>
            <w:vAlign w:val="center"/>
          </w:tcPr>
          <w:p>
            <w:pPr>
              <w:spacing w:after="0" w:line="264" w:lineRule="auto"/>
            </w:pPr>
            <w:r/>
            <w:r>
              <w:rPr>
                <w:rFonts w:ascii="Calibri" w:hAnsi="Calibri"/>
                <w:b w:val="0"/>
                <w:color w:val="102033"/>
                <w:sz w:val="18"/>
              </w:rPr>
              <w:t>Current MVP</w:t>
            </w:r>
          </w:p>
        </w:tc>
      </w:tr>
      <w:tr>
        <w:tc>
          <w:tcPr>
            <w:tcW w:type="dxa" w:w="1656"/>
            <w:vAlign w:val="center"/>
            <w:shd w:fill="FBFCFE"/>
          </w:tcPr>
          <w:p>
            <w:pPr>
              <w:spacing w:after="0" w:line="264" w:lineRule="auto"/>
            </w:pPr>
            <w:r/>
            <w:r>
              <w:rPr>
                <w:rFonts w:ascii="Calibri" w:hAnsi="Calibri"/>
                <w:b w:val="0"/>
                <w:color w:val="102033"/>
                <w:sz w:val="18"/>
              </w:rPr>
              <w:t>Registrar</w:t>
            </w:r>
          </w:p>
        </w:tc>
        <w:tc>
          <w:tcPr>
            <w:tcW w:type="dxa" w:w="5976"/>
            <w:vAlign w:val="center"/>
            <w:shd w:fill="FBFCFE"/>
          </w:tcPr>
          <w:p>
            <w:pPr>
              <w:spacing w:after="0" w:line="264" w:lineRule="auto"/>
            </w:pPr>
            <w:r/>
            <w:r>
              <w:rPr>
                <w:rFonts w:ascii="Calibri" w:hAnsi="Calibri"/>
                <w:b w:val="0"/>
                <w:color w:val="102033"/>
                <w:sz w:val="18"/>
              </w:rPr>
              <w:t>Enrollment review, approval decisions, audit log review, and academic records operations.</w:t>
            </w:r>
          </w:p>
        </w:tc>
        <w:tc>
          <w:tcPr>
            <w:tcW w:type="dxa" w:w="1440"/>
            <w:vAlign w:val="center"/>
            <w:shd w:fill="FBFCFE"/>
          </w:tcPr>
          <w:p>
            <w:pPr>
              <w:spacing w:after="0" w:line="264" w:lineRule="auto"/>
            </w:pPr>
            <w:r/>
            <w:r>
              <w:rPr>
                <w:rFonts w:ascii="Calibri" w:hAnsi="Calibri"/>
                <w:b w:val="0"/>
                <w:color w:val="102033"/>
                <w:sz w:val="18"/>
              </w:rPr>
              <w:t>Current MVP</w:t>
            </w:r>
          </w:p>
        </w:tc>
      </w:tr>
      <w:tr>
        <w:tc>
          <w:tcPr>
            <w:tcW w:type="dxa" w:w="1656"/>
            <w:vAlign w:val="center"/>
          </w:tcPr>
          <w:p>
            <w:pPr>
              <w:spacing w:after="0" w:line="264" w:lineRule="auto"/>
            </w:pPr>
            <w:r/>
            <w:r>
              <w:rPr>
                <w:rFonts w:ascii="Calibri" w:hAnsi="Calibri"/>
                <w:b w:val="0"/>
                <w:color w:val="102033"/>
                <w:sz w:val="18"/>
              </w:rPr>
              <w:t>Student</w:t>
            </w:r>
          </w:p>
        </w:tc>
        <w:tc>
          <w:tcPr>
            <w:tcW w:type="dxa" w:w="5976"/>
            <w:vAlign w:val="center"/>
          </w:tcPr>
          <w:p>
            <w:pPr>
              <w:spacing w:after="0" w:line="264" w:lineRule="auto"/>
            </w:pPr>
            <w:r/>
            <w:r>
              <w:rPr>
                <w:rFonts w:ascii="Calibri" w:hAnsi="Calibri"/>
                <w:b w:val="0"/>
                <w:color w:val="102033"/>
                <w:sz w:val="18"/>
              </w:rPr>
              <w:t>Profile updates, course browsing, enrollment requests, enrollment slip viewing, and academic records viewing.</w:t>
            </w:r>
          </w:p>
        </w:tc>
        <w:tc>
          <w:tcPr>
            <w:tcW w:type="dxa" w:w="1440"/>
            <w:vAlign w:val="center"/>
          </w:tcPr>
          <w:p>
            <w:pPr>
              <w:spacing w:after="0" w:line="264" w:lineRule="auto"/>
            </w:pPr>
            <w:r/>
            <w:r>
              <w:rPr>
                <w:rFonts w:ascii="Calibri" w:hAnsi="Calibri"/>
                <w:b w:val="0"/>
                <w:color w:val="102033"/>
                <w:sz w:val="18"/>
              </w:rPr>
              <w:t>Current MVP</w:t>
            </w:r>
          </w:p>
        </w:tc>
      </w:tr>
      <w:tr>
        <w:tc>
          <w:tcPr>
            <w:tcW w:type="dxa" w:w="1656"/>
            <w:vAlign w:val="center"/>
            <w:shd w:fill="FBFCFE"/>
          </w:tcPr>
          <w:p>
            <w:pPr>
              <w:spacing w:after="0" w:line="264" w:lineRule="auto"/>
            </w:pPr>
            <w:r/>
            <w:r>
              <w:rPr>
                <w:rFonts w:ascii="Calibri" w:hAnsi="Calibri"/>
                <w:b w:val="0"/>
                <w:color w:val="102033"/>
                <w:sz w:val="18"/>
              </w:rPr>
              <w:t>Finance</w:t>
            </w:r>
          </w:p>
        </w:tc>
        <w:tc>
          <w:tcPr>
            <w:tcW w:type="dxa" w:w="5976"/>
            <w:vAlign w:val="center"/>
            <w:shd w:fill="FBFCFE"/>
          </w:tcPr>
          <w:p>
            <w:pPr>
              <w:spacing w:after="0" w:line="264" w:lineRule="auto"/>
            </w:pPr>
            <w:r/>
            <w:r>
              <w:rPr>
                <w:rFonts w:ascii="Calibri" w:hAnsi="Calibri"/>
                <w:b w:val="0"/>
                <w:color w:val="102033"/>
                <w:sz w:val="18"/>
              </w:rPr>
              <w:t>Payment tracking, financial clearance, and fee management foundation.</w:t>
            </w:r>
          </w:p>
        </w:tc>
        <w:tc>
          <w:tcPr>
            <w:tcW w:type="dxa" w:w="1440"/>
            <w:vAlign w:val="center"/>
            <w:shd w:fill="FBFCFE"/>
          </w:tcPr>
          <w:p>
            <w:pPr>
              <w:spacing w:after="0" w:line="264" w:lineRule="auto"/>
            </w:pPr>
            <w:r/>
            <w:r>
              <w:rPr>
                <w:rFonts w:ascii="Calibri" w:hAnsi="Calibri"/>
                <w:b w:val="0"/>
                <w:color w:val="102033"/>
                <w:sz w:val="18"/>
              </w:rPr>
              <w:t>Pilot module</w:t>
            </w:r>
          </w:p>
        </w:tc>
      </w:tr>
      <w:tr>
        <w:tc>
          <w:tcPr>
            <w:tcW w:type="dxa" w:w="1656"/>
            <w:vAlign w:val="center"/>
          </w:tcPr>
          <w:p>
            <w:pPr>
              <w:spacing w:after="0" w:line="264" w:lineRule="auto"/>
            </w:pPr>
            <w:r/>
            <w:r>
              <w:rPr>
                <w:rFonts w:ascii="Calibri" w:hAnsi="Calibri"/>
                <w:b w:val="0"/>
                <w:color w:val="102033"/>
                <w:sz w:val="18"/>
              </w:rPr>
              <w:t>Lecturer</w:t>
            </w:r>
          </w:p>
        </w:tc>
        <w:tc>
          <w:tcPr>
            <w:tcW w:type="dxa" w:w="5976"/>
            <w:vAlign w:val="center"/>
          </w:tcPr>
          <w:p>
            <w:pPr>
              <w:spacing w:after="0" w:line="264" w:lineRule="auto"/>
            </w:pPr>
            <w:r/>
            <w:r>
              <w:rPr>
                <w:rFonts w:ascii="Calibri" w:hAnsi="Calibri"/>
                <w:b w:val="0"/>
                <w:color w:val="102033"/>
                <w:sz w:val="18"/>
              </w:rPr>
              <w:t>Assigned courses, student rosters, and grade submission workflow.</w:t>
            </w:r>
          </w:p>
        </w:tc>
        <w:tc>
          <w:tcPr>
            <w:tcW w:type="dxa" w:w="1440"/>
            <w:vAlign w:val="center"/>
          </w:tcPr>
          <w:p>
            <w:pPr>
              <w:spacing w:after="0" w:line="264" w:lineRule="auto"/>
            </w:pPr>
            <w:r/>
            <w:r>
              <w:rPr>
                <w:rFonts w:ascii="Calibri" w:hAnsi="Calibri"/>
                <w:b w:val="0"/>
                <w:color w:val="102033"/>
                <w:sz w:val="18"/>
              </w:rPr>
              <w:t>Pilot module</w:t>
            </w:r>
          </w:p>
        </w:tc>
      </w:tr>
      <w:tr>
        <w:tc>
          <w:tcPr>
            <w:tcW w:type="dxa" w:w="1656"/>
            <w:vAlign w:val="center"/>
            <w:shd w:fill="FBFCFE"/>
          </w:tcPr>
          <w:p>
            <w:pPr>
              <w:spacing w:after="0" w:line="264" w:lineRule="auto"/>
            </w:pPr>
            <w:r/>
            <w:r>
              <w:rPr>
                <w:rFonts w:ascii="Calibri" w:hAnsi="Calibri"/>
                <w:b w:val="0"/>
                <w:color w:val="102033"/>
                <w:sz w:val="18"/>
              </w:rPr>
              <w:t>Dean/HOD</w:t>
            </w:r>
          </w:p>
        </w:tc>
        <w:tc>
          <w:tcPr>
            <w:tcW w:type="dxa" w:w="5976"/>
            <w:vAlign w:val="center"/>
            <w:shd w:fill="FBFCFE"/>
          </w:tcPr>
          <w:p>
            <w:pPr>
              <w:spacing w:after="0" w:line="264" w:lineRule="auto"/>
            </w:pPr>
            <w:r/>
            <w:r>
              <w:rPr>
                <w:rFonts w:ascii="Calibri" w:hAnsi="Calibri"/>
                <w:b w:val="0"/>
                <w:color w:val="102033"/>
                <w:sz w:val="18"/>
              </w:rPr>
              <w:t>Department oversight, enrollment analytics, and academic approval visibility.</w:t>
            </w:r>
          </w:p>
        </w:tc>
        <w:tc>
          <w:tcPr>
            <w:tcW w:type="dxa" w:w="1440"/>
            <w:vAlign w:val="center"/>
            <w:shd w:fill="FBFCFE"/>
          </w:tcPr>
          <w:p>
            <w:pPr>
              <w:spacing w:after="0" w:line="264" w:lineRule="auto"/>
            </w:pPr>
            <w:r/>
            <w:r>
              <w:rPr>
                <w:rFonts w:ascii="Calibri" w:hAnsi="Calibri"/>
                <w:b w:val="0"/>
                <w:color w:val="102033"/>
                <w:sz w:val="18"/>
              </w:rPr>
              <w:t>Pilot module</w:t>
            </w:r>
          </w:p>
        </w:tc>
      </w:tr>
    </w:tbl>
    <w:p/>
    <w:p>
      <w:pPr>
        <w:pStyle w:val="Heading1"/>
      </w:pPr>
      <w:r>
        <w:rPr>
          <w:rFonts w:ascii="Calibri" w:hAnsi="Calibri"/>
          <w:b/>
          <w:color w:val="0B4F8A"/>
        </w:rPr>
        <w:t>6. Institutional Benefits</w:t>
      </w:r>
    </w:p>
    <w:p>
      <w:pPr>
        <w:pStyle w:val="ListBullet"/>
        <w:spacing w:after="80" w:line="276" w:lineRule="auto"/>
      </w:pPr>
      <w:r>
        <w:rPr>
          <w:rFonts w:ascii="Calibri" w:hAnsi="Calibri"/>
          <w:color w:val="102033"/>
          <w:sz w:val="21"/>
        </w:rPr>
        <w:t>Faster registration process through a clearer digital workflow.</w:t>
      </w:r>
    </w:p>
    <w:p>
      <w:pPr>
        <w:pStyle w:val="ListBullet"/>
        <w:spacing w:after="80" w:line="276" w:lineRule="auto"/>
      </w:pPr>
      <w:r>
        <w:rPr>
          <w:rFonts w:ascii="Calibri" w:hAnsi="Calibri"/>
          <w:color w:val="102033"/>
          <w:sz w:val="21"/>
        </w:rPr>
        <w:t>Reduced manual errors caused by duplicate spreadsheets and repeated data entry.</w:t>
      </w:r>
    </w:p>
    <w:p>
      <w:pPr>
        <w:pStyle w:val="ListBullet"/>
        <w:spacing w:after="80" w:line="276" w:lineRule="auto"/>
      </w:pPr>
      <w:r>
        <w:rPr>
          <w:rFonts w:ascii="Calibri" w:hAnsi="Calibri"/>
          <w:color w:val="102033"/>
          <w:sz w:val="21"/>
        </w:rPr>
        <w:t>Better student communication because students can see registration status and action-required messages.</w:t>
      </w:r>
    </w:p>
    <w:p>
      <w:pPr>
        <w:pStyle w:val="ListBullet"/>
        <w:spacing w:after="80" w:line="276" w:lineRule="auto"/>
      </w:pPr>
      <w:r>
        <w:rPr>
          <w:rFonts w:ascii="Calibri" w:hAnsi="Calibri"/>
          <w:color w:val="102033"/>
          <w:sz w:val="21"/>
        </w:rPr>
        <w:t>Registrar accountability through controlled decisions and audit history.</w:t>
      </w:r>
    </w:p>
    <w:p>
      <w:pPr>
        <w:pStyle w:val="ListBullet"/>
        <w:spacing w:after="80" w:line="276" w:lineRule="auto"/>
      </w:pPr>
      <w:r>
        <w:rPr>
          <w:rFonts w:ascii="Calibri" w:hAnsi="Calibri"/>
          <w:color w:val="102033"/>
          <w:sz w:val="21"/>
        </w:rPr>
        <w:t>Leadership visibility into students, courses, sessions, and enrollment status.</w:t>
      </w:r>
    </w:p>
    <w:p>
      <w:pPr>
        <w:pStyle w:val="ListBullet"/>
        <w:spacing w:after="80" w:line="276" w:lineRule="auto"/>
      </w:pPr>
      <w:r>
        <w:rPr>
          <w:rFonts w:ascii="Calibri" w:hAnsi="Calibri"/>
          <w:color w:val="102033"/>
          <w:sz w:val="21"/>
        </w:rPr>
        <w:t>Foundation for digital transformation across academic, finance, and departmental operations.</w:t>
      </w:r>
    </w:p>
    <w:p>
      <w:pPr>
        <w:pStyle w:val="Heading1"/>
      </w:pPr>
      <w:r>
        <w:rPr>
          <w:rFonts w:ascii="Calibri" w:hAnsi="Calibri"/>
          <w:b/>
          <w:color w:val="0B4F8A"/>
        </w:rPr>
        <w:t>7. Why UniPortal Matters to Your Institution</w:t>
      </w:r>
    </w:p>
    <w:p>
      <w:pPr>
        <w:spacing w:after="160" w:line="300" w:lineRule="auto"/>
      </w:pPr>
      <w:r>
        <w:rPr>
          <w:rFonts w:ascii="Calibri" w:hAnsi="Calibri"/>
          <w:b w:val="0"/>
          <w:color w:val="102033"/>
        </w:rPr>
        <w:t>UniPortal matters because registration is not only an administrative process. It is one of the most visible operational experiences students, registrars, departments, and leadership encounter every semester.</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4320"/>
            <w:shd w:fill="08365F"/>
            <w:vAlign w:val="center"/>
          </w:tcPr>
          <w:p>
            <w:pPr>
              <w:spacing w:after="0" w:line="264" w:lineRule="auto"/>
            </w:pPr>
            <w:r/>
            <w:r>
              <w:rPr>
                <w:rFonts w:ascii="Calibri" w:hAnsi="Calibri"/>
                <w:b/>
                <w:color w:val="FFFFFF"/>
                <w:sz w:val="18"/>
              </w:rPr>
              <w:t>Traditional process</w:t>
            </w:r>
          </w:p>
        </w:tc>
        <w:tc>
          <w:tcPr>
            <w:tcW w:type="dxa" w:w="4752"/>
            <w:shd w:fill="08365F"/>
            <w:vAlign w:val="center"/>
          </w:tcPr>
          <w:p>
            <w:pPr>
              <w:spacing w:after="0" w:line="264" w:lineRule="auto"/>
            </w:pPr>
            <w:r/>
            <w:r>
              <w:rPr>
                <w:rFonts w:ascii="Calibri" w:hAnsi="Calibri"/>
                <w:b/>
                <w:color w:val="FFFFFF"/>
                <w:sz w:val="18"/>
              </w:rPr>
              <w:t>UniPortal impact</w:t>
            </w:r>
          </w:p>
        </w:tc>
      </w:tr>
      <w:tr>
        <w:tc>
          <w:tcPr>
            <w:tcW w:type="dxa" w:w="4320"/>
            <w:vAlign w:val="center"/>
          </w:tcPr>
          <w:p>
            <w:pPr>
              <w:spacing w:after="0" w:line="264" w:lineRule="auto"/>
            </w:pPr>
            <w:r/>
            <w:r>
              <w:rPr>
                <w:rFonts w:ascii="Calibri" w:hAnsi="Calibri"/>
                <w:b w:val="0"/>
                <w:color w:val="102033"/>
                <w:sz w:val="18"/>
              </w:rPr>
              <w:t>Students queue or repeatedly visit offices for updates.</w:t>
            </w:r>
          </w:p>
        </w:tc>
        <w:tc>
          <w:tcPr>
            <w:tcW w:type="dxa" w:w="4752"/>
            <w:vAlign w:val="center"/>
          </w:tcPr>
          <w:p>
            <w:pPr>
              <w:spacing w:after="0" w:line="264" w:lineRule="auto"/>
            </w:pPr>
            <w:r/>
            <w:r>
              <w:rPr>
                <w:rFonts w:ascii="Calibri" w:hAnsi="Calibri"/>
                <w:b w:val="0"/>
                <w:color w:val="102033"/>
                <w:sz w:val="18"/>
              </w:rPr>
              <w:t>Students gain clearer status visibility and action-required messages.</w:t>
            </w:r>
          </w:p>
        </w:tc>
      </w:tr>
      <w:tr>
        <w:tc>
          <w:tcPr>
            <w:tcW w:type="dxa" w:w="4320"/>
            <w:vAlign w:val="center"/>
            <w:shd w:fill="FBFCFE"/>
          </w:tcPr>
          <w:p>
            <w:pPr>
              <w:spacing w:after="0" w:line="264" w:lineRule="auto"/>
            </w:pPr>
            <w:r/>
            <w:r>
              <w:rPr>
                <w:rFonts w:ascii="Calibri" w:hAnsi="Calibri"/>
                <w:b w:val="0"/>
                <w:color w:val="102033"/>
                <w:sz w:val="18"/>
              </w:rPr>
              <w:t>Registrars reconcile forms, spreadsheets, and duplicate requests.</w:t>
            </w:r>
          </w:p>
        </w:tc>
        <w:tc>
          <w:tcPr>
            <w:tcW w:type="dxa" w:w="4752"/>
            <w:vAlign w:val="center"/>
            <w:shd w:fill="FBFCFE"/>
          </w:tcPr>
          <w:p>
            <w:pPr>
              <w:spacing w:after="0" w:line="264" w:lineRule="auto"/>
            </w:pPr>
            <w:r/>
            <w:r>
              <w:rPr>
                <w:rFonts w:ascii="Calibri" w:hAnsi="Calibri"/>
                <w:b w:val="0"/>
                <w:color w:val="102033"/>
                <w:sz w:val="18"/>
              </w:rPr>
              <w:t>Registrars work from a controlled approval queue with decision history.</w:t>
            </w:r>
          </w:p>
        </w:tc>
      </w:tr>
      <w:tr>
        <w:tc>
          <w:tcPr>
            <w:tcW w:type="dxa" w:w="4320"/>
            <w:vAlign w:val="center"/>
          </w:tcPr>
          <w:p>
            <w:pPr>
              <w:spacing w:after="0" w:line="264" w:lineRule="auto"/>
            </w:pPr>
            <w:r/>
            <w:r>
              <w:rPr>
                <w:rFonts w:ascii="Calibri" w:hAnsi="Calibri"/>
                <w:b w:val="0"/>
                <w:color w:val="102033"/>
                <w:sz w:val="18"/>
              </w:rPr>
              <w:t>Leadership waits for manually prepared registration summaries.</w:t>
            </w:r>
          </w:p>
        </w:tc>
        <w:tc>
          <w:tcPr>
            <w:tcW w:type="dxa" w:w="4752"/>
            <w:vAlign w:val="center"/>
          </w:tcPr>
          <w:p>
            <w:pPr>
              <w:spacing w:after="0" w:line="264" w:lineRule="auto"/>
            </w:pPr>
            <w:r/>
            <w:r>
              <w:rPr>
                <w:rFonts w:ascii="Calibri" w:hAnsi="Calibri"/>
                <w:b w:val="0"/>
                <w:color w:val="102033"/>
                <w:sz w:val="18"/>
              </w:rPr>
              <w:t>Leadership gains dashboard visibility into enrollment movement and status.</w:t>
            </w:r>
          </w:p>
        </w:tc>
      </w:tr>
      <w:tr>
        <w:tc>
          <w:tcPr>
            <w:tcW w:type="dxa" w:w="4320"/>
            <w:vAlign w:val="center"/>
            <w:shd w:fill="FBFCFE"/>
          </w:tcPr>
          <w:p>
            <w:pPr>
              <w:spacing w:after="0" w:line="264" w:lineRule="auto"/>
            </w:pPr>
            <w:r/>
            <w:r>
              <w:rPr>
                <w:rFonts w:ascii="Calibri" w:hAnsi="Calibri"/>
                <w:b w:val="0"/>
                <w:color w:val="102033"/>
                <w:sz w:val="18"/>
              </w:rPr>
              <w:t>Academic records depend on disconnected registration evidence.</w:t>
            </w:r>
          </w:p>
        </w:tc>
        <w:tc>
          <w:tcPr>
            <w:tcW w:type="dxa" w:w="4752"/>
            <w:vAlign w:val="center"/>
            <w:shd w:fill="FBFCFE"/>
          </w:tcPr>
          <w:p>
            <w:pPr>
              <w:spacing w:after="0" w:line="264" w:lineRule="auto"/>
            </w:pPr>
            <w:r/>
            <w:r>
              <w:rPr>
                <w:rFonts w:ascii="Calibri" w:hAnsi="Calibri"/>
                <w:b w:val="0"/>
                <w:color w:val="102033"/>
                <w:sz w:val="18"/>
              </w:rPr>
              <w:t>Approved enrollment creates a foundation for academic records.</w:t>
            </w:r>
          </w:p>
        </w:tc>
      </w:tr>
      <w:tr>
        <w:tc>
          <w:tcPr>
            <w:tcW w:type="dxa" w:w="4320"/>
            <w:vAlign w:val="center"/>
          </w:tcPr>
          <w:p>
            <w:pPr>
              <w:spacing w:after="0" w:line="264" w:lineRule="auto"/>
            </w:pPr>
            <w:r/>
            <w:r>
              <w:rPr>
                <w:rFonts w:ascii="Calibri" w:hAnsi="Calibri"/>
                <w:b w:val="0"/>
                <w:color w:val="102033"/>
                <w:sz w:val="18"/>
              </w:rPr>
              <w:t>Operational improvement depends on large, risky transformation.</w:t>
            </w:r>
          </w:p>
        </w:tc>
        <w:tc>
          <w:tcPr>
            <w:tcW w:type="dxa" w:w="4752"/>
            <w:vAlign w:val="center"/>
          </w:tcPr>
          <w:p>
            <w:pPr>
              <w:spacing w:after="0" w:line="264" w:lineRule="auto"/>
            </w:pPr>
            <w:r/>
            <w:r>
              <w:rPr>
                <w:rFonts w:ascii="Calibri" w:hAnsi="Calibri"/>
                <w:b w:val="0"/>
                <w:color w:val="102033"/>
                <w:sz w:val="18"/>
              </w:rPr>
              <w:t>The institution can begin with a measured pilot and expand module by module.</w:t>
            </w:r>
          </w:p>
        </w:tc>
      </w:tr>
    </w:tbl>
    <w:p/>
    <w:p>
      <w:pPr>
        <w:pStyle w:val="ListBullet"/>
        <w:spacing w:after="80" w:line="276" w:lineRule="auto"/>
      </w:pPr>
      <w:r>
        <w:rPr>
          <w:rFonts w:ascii="Calibri" w:hAnsi="Calibri"/>
          <w:color w:val="102033"/>
          <w:sz w:val="21"/>
        </w:rPr>
        <w:t>Faster registration workflow.</w:t>
      </w:r>
    </w:p>
    <w:p>
      <w:pPr>
        <w:pStyle w:val="ListBullet"/>
        <w:spacing w:after="80" w:line="276" w:lineRule="auto"/>
      </w:pPr>
      <w:r>
        <w:rPr>
          <w:rFonts w:ascii="Calibri" w:hAnsi="Calibri"/>
          <w:color w:val="102033"/>
          <w:sz w:val="21"/>
        </w:rPr>
        <w:t>Reduced manual errors.</w:t>
      </w:r>
    </w:p>
    <w:p>
      <w:pPr>
        <w:pStyle w:val="ListBullet"/>
        <w:spacing w:after="80" w:line="276" w:lineRule="auto"/>
      </w:pPr>
      <w:r>
        <w:rPr>
          <w:rFonts w:ascii="Calibri" w:hAnsi="Calibri"/>
          <w:color w:val="102033"/>
          <w:sz w:val="21"/>
        </w:rPr>
        <w:t>Better student communication.</w:t>
      </w:r>
    </w:p>
    <w:p>
      <w:pPr>
        <w:pStyle w:val="ListBullet"/>
        <w:spacing w:after="80" w:line="276" w:lineRule="auto"/>
      </w:pPr>
      <w:r>
        <w:rPr>
          <w:rFonts w:ascii="Calibri" w:hAnsi="Calibri"/>
          <w:color w:val="102033"/>
          <w:sz w:val="21"/>
        </w:rPr>
        <w:t>Registrar accountability.</w:t>
      </w:r>
    </w:p>
    <w:p>
      <w:pPr>
        <w:pStyle w:val="ListBullet"/>
        <w:spacing w:after="80" w:line="276" w:lineRule="auto"/>
      </w:pPr>
      <w:r>
        <w:rPr>
          <w:rFonts w:ascii="Calibri" w:hAnsi="Calibri"/>
          <w:color w:val="102033"/>
          <w:sz w:val="21"/>
        </w:rPr>
        <w:t>Academic visibility and reporting.</w:t>
      </w:r>
    </w:p>
    <w:p>
      <w:pPr>
        <w:pStyle w:val="ListBullet"/>
        <w:spacing w:after="80" w:line="276" w:lineRule="auto"/>
      </w:pPr>
      <w:r>
        <w:rPr>
          <w:rFonts w:ascii="Calibri" w:hAnsi="Calibri"/>
          <w:color w:val="102033"/>
          <w:sz w:val="21"/>
        </w:rPr>
        <w:t>Foundation for institutional digital transformation.</w:t>
      </w:r>
    </w:p>
    <w:p>
      <w:pPr>
        <w:pStyle w:val="Heading1"/>
      </w:pPr>
      <w:r>
        <w:rPr>
          <w:rFonts w:ascii="Calibri" w:hAnsi="Calibri"/>
          <w:b/>
          <w:color w:val="0B4F8A"/>
        </w:rPr>
        <w:t>8. Why Act Now?</w:t>
      </w:r>
    </w:p>
    <w:p>
      <w:pPr>
        <w:spacing w:after="160" w:line="300" w:lineRule="auto"/>
      </w:pPr>
      <w:r>
        <w:rPr>
          <w:rFonts w:ascii="Calibri" w:hAnsi="Calibri"/>
          <w:b w:val="0"/>
          <w:color w:val="102033"/>
        </w:rPr>
        <w:t>The pressure on academic administration is increasing. Institutions that wait for a perfect full-scale SIS may continue losing time, data quality, and student trust during every registration cycle.</w:t>
      </w:r>
    </w:p>
    <w:p>
      <w:pPr>
        <w:pStyle w:val="ListBullet"/>
        <w:spacing w:after="80" w:line="276" w:lineRule="auto"/>
      </w:pPr>
      <w:r>
        <w:rPr>
          <w:rFonts w:ascii="Calibri" w:hAnsi="Calibri"/>
          <w:color w:val="102033"/>
          <w:sz w:val="21"/>
        </w:rPr>
        <w:t>Growing student populations increase pressure on registrar, departments, and ICT teams.</w:t>
      </w:r>
    </w:p>
    <w:p>
      <w:pPr>
        <w:pStyle w:val="ListBullet"/>
        <w:spacing w:after="80" w:line="276" w:lineRule="auto"/>
      </w:pPr>
      <w:r>
        <w:rPr>
          <w:rFonts w:ascii="Calibri" w:hAnsi="Calibri"/>
          <w:color w:val="102033"/>
          <w:sz w:val="21"/>
        </w:rPr>
        <w:t>Manual systems create operational bottlenecks that become harder to manage as institutions scale.</w:t>
      </w:r>
    </w:p>
    <w:p>
      <w:pPr>
        <w:pStyle w:val="ListBullet"/>
        <w:spacing w:after="80" w:line="276" w:lineRule="auto"/>
      </w:pPr>
      <w:r>
        <w:rPr>
          <w:rFonts w:ascii="Calibri" w:hAnsi="Calibri"/>
          <w:color w:val="102033"/>
          <w:sz w:val="21"/>
        </w:rPr>
        <w:t>Students increasingly expect digital visibility into academic and administrative processes.</w:t>
      </w:r>
    </w:p>
    <w:p>
      <w:pPr>
        <w:pStyle w:val="ListBullet"/>
        <w:spacing w:after="80" w:line="276" w:lineRule="auto"/>
      </w:pPr>
      <w:r>
        <w:rPr>
          <w:rFonts w:ascii="Calibri" w:hAnsi="Calibri"/>
          <w:color w:val="102033"/>
          <w:sz w:val="21"/>
        </w:rPr>
        <w:t>Leadership needs real-time operational insight to make timely decisions.</w:t>
      </w:r>
    </w:p>
    <w:p>
      <w:pPr>
        <w:pStyle w:val="ListBullet"/>
        <w:spacing w:after="80" w:line="276" w:lineRule="auto"/>
      </w:pPr>
      <w:r>
        <w:rPr>
          <w:rFonts w:ascii="Calibri" w:hAnsi="Calibri"/>
          <w:color w:val="102033"/>
          <w:sz w:val="21"/>
        </w:rPr>
        <w:t>Early institutional adopters gain operational advantage by improving processes before systems become overstretched.</w:t>
      </w:r>
    </w:p>
    <w:p>
      <w:pPr>
        <w:pStyle w:val="Heading1"/>
      </w:pPr>
      <w:r>
        <w:rPr>
          <w:rFonts w:ascii="Calibri" w:hAnsi="Calibri"/>
          <w:b/>
          <w:color w:val="0B4F8A"/>
        </w:rPr>
        <w:t>9. Example Pilot Scenario</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LOW-RISK PILOT EXAMPLE</w:t>
            </w:r>
          </w:p>
          <w:p>
            <w:pPr>
              <w:spacing w:after="0" w:line="288" w:lineRule="auto"/>
            </w:pPr>
            <w:r>
              <w:rPr>
                <w:color w:val="102033"/>
                <w:sz w:val="21"/>
              </w:rPr>
              <w:t>A university begins with 2-3 faculties during one semester registration cycle. UniPortal manages academic setup, student registration, registrar approvals, enrollment slips, and academic record foundations for the pilot group.</w:t>
            </w:r>
          </w:p>
        </w:tc>
      </w:tr>
    </w:tbl>
    <w:p/>
    <w:p>
      <w:pPr>
        <w:spacing w:after="160" w:line="300" w:lineRule="auto"/>
      </w:pPr>
      <w:r>
        <w:rPr>
          <w:rFonts w:ascii="Calibri" w:hAnsi="Calibri"/>
          <w:b w:val="0"/>
          <w:color w:val="102033"/>
        </w:rPr>
        <w:t>This approach is intentionally phased. The institution can measure registration speed, approval bottlenecks, student visibility, data quality, and registrar accountability before expanding to more faculties or additional modules.</w:t>
      </w:r>
    </w:p>
    <w:p>
      <w:pPr>
        <w:pStyle w:val="Heading1"/>
      </w:pPr>
      <w:r>
        <w:rPr>
          <w:rFonts w:ascii="Calibri" w:hAnsi="Calibri"/>
          <w:b/>
          <w:color w:val="0B4F8A"/>
        </w:rPr>
        <w:t>10. Working System Evidence</w:t>
      </w:r>
    </w:p>
    <w:p>
      <w:pPr>
        <w:spacing w:after="160" w:line="300" w:lineRule="auto"/>
      </w:pPr>
      <w:r>
        <w:rPr>
          <w:rFonts w:ascii="Calibri" w:hAnsi="Calibri"/>
          <w:b w:val="0"/>
          <w:color w:val="102033"/>
        </w:rPr>
        <w:t>The following screenshot placeholders are included to support the proposal with visual evidence from the working UniPortal system. These can be replaced with live screenshots before submission to a specific institution.</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80" w:type="dxa"/>
          <w:start w:w="220" w:type="dxa"/>
          <w:bottom w:w="180" w:type="dxa"/>
          <w:end w:w="220" w:type="dxa"/>
        </w:tblCellMar>
      </w:tblPr>
      <w:tblGrid>
        <w:gridCol w:w="9878"/>
      </w:tblGrid>
      <w:tr>
        <w:tc>
          <w:tcPr>
            <w:tcW w:type="dxa" w:w="9878"/>
            <w:shd w:fill="F8FBFE"/>
          </w:tcPr>
          <w:p>
            <w:pPr>
              <w:spacing w:after="40"/>
              <w:jc w:val="center"/>
            </w:pPr>
            <w:r/>
            <w:r>
              <w:rPr>
                <w:b/>
                <w:color w:val="0B4F8A"/>
                <w:sz w:val="17"/>
              </w:rPr>
              <w:t>SCREENSHOT PLACEHOLDER</w:t>
            </w:r>
          </w:p>
          <w:p>
            <w:pPr>
              <w:spacing w:before="160" w:after="160"/>
              <w:jc w:val="center"/>
            </w:pPr>
            <w:r>
              <w:rPr>
                <w:b/>
                <w:color w:val="102033"/>
                <w:sz w:val="26"/>
              </w:rPr>
              <w:t>Admin Dashboard</w:t>
            </w:r>
          </w:p>
        </w:tc>
      </w:tr>
      <w:tr>
        <w:tc>
          <w:tcPr>
            <w:tcW w:type="dxa" w:w="9878"/>
            <w:shd w:fill="E9F2FB"/>
            <w:vAlign w:val="center"/>
          </w:tcPr>
          <w:p>
            <w:pPr>
              <w:spacing w:after="0" w:line="264" w:lineRule="auto"/>
            </w:pPr>
            <w:r/>
            <w:r>
              <w:rPr>
                <w:rFonts w:ascii="Calibri" w:hAnsi="Calibri"/>
                <w:b w:val="0"/>
                <w:color w:val="5D6B7A"/>
                <w:sz w:val="18"/>
              </w:rPr>
              <w:t>Caption: Institutional dashboard showing students, courses, active session status, and enrollment movement.</w:t>
            </w:r>
          </w:p>
        </w:tc>
      </w:tr>
    </w:tbl>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80" w:type="dxa"/>
          <w:start w:w="220" w:type="dxa"/>
          <w:bottom w:w="180" w:type="dxa"/>
          <w:end w:w="220" w:type="dxa"/>
        </w:tblCellMar>
      </w:tblPr>
      <w:tblGrid>
        <w:gridCol w:w="9878"/>
      </w:tblGrid>
      <w:tr>
        <w:tc>
          <w:tcPr>
            <w:tcW w:type="dxa" w:w="9878"/>
            <w:shd w:fill="F8FBFE"/>
          </w:tcPr>
          <w:p>
            <w:pPr>
              <w:spacing w:after="40"/>
              <w:jc w:val="center"/>
            </w:pPr>
            <w:r/>
            <w:r>
              <w:rPr>
                <w:b/>
                <w:color w:val="0B4F8A"/>
                <w:sz w:val="17"/>
              </w:rPr>
              <w:t>SCREENSHOT PLACEHOLDER</w:t>
            </w:r>
          </w:p>
          <w:p>
            <w:pPr>
              <w:spacing w:before="160" w:after="160"/>
              <w:jc w:val="center"/>
            </w:pPr>
            <w:r>
              <w:rPr>
                <w:b/>
                <w:color w:val="102033"/>
                <w:sz w:val="26"/>
              </w:rPr>
              <w:t>Registrar Dashboard</w:t>
            </w:r>
          </w:p>
        </w:tc>
      </w:tr>
      <w:tr>
        <w:tc>
          <w:tcPr>
            <w:tcW w:type="dxa" w:w="9878"/>
            <w:shd w:fill="E9F2FB"/>
            <w:vAlign w:val="center"/>
          </w:tcPr>
          <w:p>
            <w:pPr>
              <w:spacing w:after="0" w:line="264" w:lineRule="auto"/>
            </w:pPr>
            <w:r/>
            <w:r>
              <w:rPr>
                <w:rFonts w:ascii="Calibri" w:hAnsi="Calibri"/>
                <w:b w:val="0"/>
                <w:color w:val="5D6B7A"/>
                <w:sz w:val="18"/>
              </w:rPr>
              <w:t>Caption: Registrar command view for pending enrollment requests, decisions, and active registration status.</w:t>
            </w:r>
          </w:p>
        </w:tc>
      </w:tr>
    </w:tbl>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80" w:type="dxa"/>
          <w:start w:w="220" w:type="dxa"/>
          <w:bottom w:w="180" w:type="dxa"/>
          <w:end w:w="220" w:type="dxa"/>
        </w:tblCellMar>
      </w:tblPr>
      <w:tblGrid>
        <w:gridCol w:w="9878"/>
      </w:tblGrid>
      <w:tr>
        <w:tc>
          <w:tcPr>
            <w:tcW w:type="dxa" w:w="9878"/>
            <w:shd w:fill="F8FBFE"/>
          </w:tcPr>
          <w:p>
            <w:pPr>
              <w:spacing w:after="40"/>
              <w:jc w:val="center"/>
            </w:pPr>
            <w:r/>
            <w:r>
              <w:rPr>
                <w:b/>
                <w:color w:val="0B4F8A"/>
                <w:sz w:val="17"/>
              </w:rPr>
              <w:t>SCREENSHOT PLACEHOLDER</w:t>
            </w:r>
          </w:p>
          <w:p>
            <w:pPr>
              <w:spacing w:before="160" w:after="160"/>
              <w:jc w:val="center"/>
            </w:pPr>
            <w:r>
              <w:rPr>
                <w:b/>
                <w:color w:val="102033"/>
                <w:sz w:val="26"/>
              </w:rPr>
              <w:t>Enrollment Review</w:t>
            </w:r>
          </w:p>
        </w:tc>
      </w:tr>
      <w:tr>
        <w:tc>
          <w:tcPr>
            <w:tcW w:type="dxa" w:w="9878"/>
            <w:shd w:fill="E9F2FB"/>
            <w:vAlign w:val="center"/>
          </w:tcPr>
          <w:p>
            <w:pPr>
              <w:spacing w:after="0" w:line="264" w:lineRule="auto"/>
            </w:pPr>
            <w:r/>
            <w:r>
              <w:rPr>
                <w:rFonts w:ascii="Calibri" w:hAnsi="Calibri"/>
                <w:b w:val="0"/>
                <w:color w:val="5D6B7A"/>
                <w:sz w:val="18"/>
              </w:rPr>
              <w:t>Caption: Enrollment detail view for reviewing student identity, course selections, credit totals, and decision history.</w:t>
            </w:r>
          </w:p>
        </w:tc>
      </w:tr>
    </w:tbl>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80" w:type="dxa"/>
          <w:start w:w="220" w:type="dxa"/>
          <w:bottom w:w="180" w:type="dxa"/>
          <w:end w:w="220" w:type="dxa"/>
        </w:tblCellMar>
      </w:tblPr>
      <w:tblGrid>
        <w:gridCol w:w="9878"/>
      </w:tblGrid>
      <w:tr>
        <w:tc>
          <w:tcPr>
            <w:tcW w:type="dxa" w:w="9878"/>
            <w:shd w:fill="F8FBFE"/>
          </w:tcPr>
          <w:p>
            <w:pPr>
              <w:spacing w:after="40"/>
              <w:jc w:val="center"/>
            </w:pPr>
            <w:r/>
            <w:r>
              <w:rPr>
                <w:b/>
                <w:color w:val="0B4F8A"/>
                <w:sz w:val="17"/>
              </w:rPr>
              <w:t>SCREENSHOT PLACEHOLDER</w:t>
            </w:r>
          </w:p>
          <w:p>
            <w:pPr>
              <w:spacing w:before="160" w:after="160"/>
              <w:jc w:val="center"/>
            </w:pPr>
            <w:r>
              <w:rPr>
                <w:b/>
                <w:color w:val="102033"/>
                <w:sz w:val="26"/>
              </w:rPr>
              <w:t>Student Enrollment Slip</w:t>
            </w:r>
          </w:p>
        </w:tc>
      </w:tr>
      <w:tr>
        <w:tc>
          <w:tcPr>
            <w:tcW w:type="dxa" w:w="9878"/>
            <w:shd w:fill="E9F2FB"/>
            <w:vAlign w:val="center"/>
          </w:tcPr>
          <w:p>
            <w:pPr>
              <w:spacing w:after="0" w:line="264" w:lineRule="auto"/>
            </w:pPr>
            <w:r/>
            <w:r>
              <w:rPr>
                <w:rFonts w:ascii="Calibri" w:hAnsi="Calibri"/>
                <w:b w:val="0"/>
                <w:color w:val="5D6B7A"/>
                <w:sz w:val="18"/>
              </w:rPr>
              <w:t>Caption: Branded printable slip confirming approved courses, credits, reviewer, and decision date.</w:t>
            </w:r>
          </w:p>
        </w:tc>
      </w:tr>
    </w:tbl>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80" w:type="dxa"/>
          <w:start w:w="220" w:type="dxa"/>
          <w:bottom w:w="180" w:type="dxa"/>
          <w:end w:w="220" w:type="dxa"/>
        </w:tblCellMar>
      </w:tblPr>
      <w:tblGrid>
        <w:gridCol w:w="9878"/>
      </w:tblGrid>
      <w:tr>
        <w:tc>
          <w:tcPr>
            <w:tcW w:type="dxa" w:w="9878"/>
            <w:shd w:fill="F8FBFE"/>
          </w:tcPr>
          <w:p>
            <w:pPr>
              <w:spacing w:after="40"/>
              <w:jc w:val="center"/>
            </w:pPr>
            <w:r/>
            <w:r>
              <w:rPr>
                <w:b/>
                <w:color w:val="0B4F8A"/>
                <w:sz w:val="17"/>
              </w:rPr>
              <w:t>SCREENSHOT PLACEHOLDER</w:t>
            </w:r>
          </w:p>
          <w:p>
            <w:pPr>
              <w:spacing w:before="160" w:after="160"/>
              <w:jc w:val="center"/>
            </w:pPr>
            <w:r>
              <w:rPr>
                <w:b/>
                <w:color w:val="102033"/>
                <w:sz w:val="26"/>
              </w:rPr>
              <w:t>Academic Records</w:t>
            </w:r>
          </w:p>
        </w:tc>
      </w:tr>
      <w:tr>
        <w:tc>
          <w:tcPr>
            <w:tcW w:type="dxa" w:w="9878"/>
            <w:shd w:fill="E9F2FB"/>
            <w:vAlign w:val="center"/>
          </w:tcPr>
          <w:p>
            <w:pPr>
              <w:spacing w:after="0" w:line="264" w:lineRule="auto"/>
            </w:pPr>
            <w:r/>
            <w:r>
              <w:rPr>
                <w:rFonts w:ascii="Calibri" w:hAnsi="Calibri"/>
                <w:b w:val="0"/>
                <w:color w:val="5D6B7A"/>
                <w:sz w:val="18"/>
              </w:rPr>
              <w:t>Caption: Academic record foundation generated from approved enrollments, prepared for future transcript and grading workflows.</w:t>
            </w:r>
          </w:p>
        </w:tc>
      </w:tr>
    </w:tbl>
    <w:p/>
    <w:p>
      <w:pPr>
        <w:pStyle w:val="Heading1"/>
      </w:pPr>
      <w:r>
        <w:rPr>
          <w:rFonts w:ascii="Calibri" w:hAnsi="Calibri"/>
          <w:b/>
          <w:color w:val="0B4F8A"/>
        </w:rPr>
        <w:t>11. Security &amp; Technical Readiness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2592"/>
            <w:shd w:fill="0B4F8A"/>
            <w:vAlign w:val="center"/>
          </w:tcPr>
          <w:p>
            <w:pPr>
              <w:spacing w:after="0" w:line="264" w:lineRule="auto"/>
            </w:pPr>
            <w:r/>
            <w:r>
              <w:rPr>
                <w:rFonts w:ascii="Calibri" w:hAnsi="Calibri"/>
                <w:b/>
                <w:color w:val="FFFFFF"/>
                <w:sz w:val="18"/>
              </w:rPr>
              <w:t>Readiness area</w:t>
            </w:r>
          </w:p>
        </w:tc>
        <w:tc>
          <w:tcPr>
            <w:tcW w:type="dxa" w:w="6480"/>
            <w:shd w:fill="0B4F8A"/>
            <w:vAlign w:val="center"/>
          </w:tcPr>
          <w:p>
            <w:pPr>
              <w:spacing w:after="0" w:line="264" w:lineRule="auto"/>
            </w:pPr>
            <w:r/>
            <w:r>
              <w:rPr>
                <w:rFonts w:ascii="Calibri" w:hAnsi="Calibri"/>
                <w:b/>
                <w:color w:val="FFFFFF"/>
                <w:sz w:val="18"/>
              </w:rPr>
              <w:t>Current foundation</w:t>
            </w:r>
          </w:p>
        </w:tc>
      </w:tr>
      <w:tr>
        <w:tc>
          <w:tcPr>
            <w:tcW w:type="dxa" w:w="2592"/>
            <w:vAlign w:val="center"/>
          </w:tcPr>
          <w:p>
            <w:pPr>
              <w:spacing w:after="0" w:line="264" w:lineRule="auto"/>
            </w:pPr>
            <w:r/>
            <w:r>
              <w:rPr>
                <w:rFonts w:ascii="Calibri" w:hAnsi="Calibri"/>
                <w:b w:val="0"/>
                <w:color w:val="102033"/>
                <w:sz w:val="18"/>
              </w:rPr>
              <w:t>Authentication</w:t>
            </w:r>
          </w:p>
        </w:tc>
        <w:tc>
          <w:tcPr>
            <w:tcW w:type="dxa" w:w="6480"/>
            <w:vAlign w:val="center"/>
          </w:tcPr>
          <w:p>
            <w:pPr>
              <w:spacing w:after="0" w:line="264" w:lineRule="auto"/>
            </w:pPr>
            <w:r/>
            <w:r>
              <w:rPr>
                <w:rFonts w:ascii="Calibri" w:hAnsi="Calibri"/>
                <w:b w:val="0"/>
                <w:color w:val="102033"/>
                <w:sz w:val="18"/>
              </w:rPr>
              <w:t>JWT-based login and protected API routes.</w:t>
            </w:r>
          </w:p>
        </w:tc>
      </w:tr>
      <w:tr>
        <w:tc>
          <w:tcPr>
            <w:tcW w:type="dxa" w:w="2592"/>
            <w:vAlign w:val="center"/>
            <w:shd w:fill="FBFCFE"/>
          </w:tcPr>
          <w:p>
            <w:pPr>
              <w:spacing w:after="0" w:line="264" w:lineRule="auto"/>
            </w:pPr>
            <w:r/>
            <w:r>
              <w:rPr>
                <w:rFonts w:ascii="Calibri" w:hAnsi="Calibri"/>
                <w:b w:val="0"/>
                <w:color w:val="102033"/>
                <w:sz w:val="18"/>
              </w:rPr>
              <w:t>Role protection</w:t>
            </w:r>
          </w:p>
        </w:tc>
        <w:tc>
          <w:tcPr>
            <w:tcW w:type="dxa" w:w="6480"/>
            <w:vAlign w:val="center"/>
            <w:shd w:fill="FBFCFE"/>
          </w:tcPr>
          <w:p>
            <w:pPr>
              <w:spacing w:after="0" w:line="264" w:lineRule="auto"/>
            </w:pPr>
            <w:r/>
            <w:r>
              <w:rPr>
                <w:rFonts w:ascii="Calibri" w:hAnsi="Calibri"/>
                <w:b w:val="0"/>
                <w:color w:val="102033"/>
                <w:sz w:val="18"/>
              </w:rPr>
              <w:t>Role-based access control for admin, registrar, student, and pilot institutional roles.</w:t>
            </w:r>
          </w:p>
        </w:tc>
      </w:tr>
      <w:tr>
        <w:tc>
          <w:tcPr>
            <w:tcW w:type="dxa" w:w="2592"/>
            <w:vAlign w:val="center"/>
          </w:tcPr>
          <w:p>
            <w:pPr>
              <w:spacing w:after="0" w:line="264" w:lineRule="auto"/>
            </w:pPr>
            <w:r/>
            <w:r>
              <w:rPr>
                <w:rFonts w:ascii="Calibri" w:hAnsi="Calibri"/>
                <w:b w:val="0"/>
                <w:color w:val="102033"/>
                <w:sz w:val="18"/>
              </w:rPr>
              <w:t>Application hardening</w:t>
            </w:r>
          </w:p>
        </w:tc>
        <w:tc>
          <w:tcPr>
            <w:tcW w:type="dxa" w:w="6480"/>
            <w:vAlign w:val="center"/>
          </w:tcPr>
          <w:p>
            <w:pPr>
              <w:spacing w:after="0" w:line="264" w:lineRule="auto"/>
            </w:pPr>
            <w:r/>
            <w:r>
              <w:rPr>
                <w:rFonts w:ascii="Calibri" w:hAnsi="Calibri"/>
                <w:b w:val="0"/>
                <w:color w:val="102033"/>
                <w:sz w:val="18"/>
              </w:rPr>
              <w:t>Helmet security headers, authentication rate limiting, JSON body size limits, and structured error handling.</w:t>
            </w:r>
          </w:p>
        </w:tc>
      </w:tr>
      <w:tr>
        <w:tc>
          <w:tcPr>
            <w:tcW w:type="dxa" w:w="2592"/>
            <w:vAlign w:val="center"/>
            <w:shd w:fill="FBFCFE"/>
          </w:tcPr>
          <w:p>
            <w:pPr>
              <w:spacing w:after="0" w:line="264" w:lineRule="auto"/>
            </w:pPr>
            <w:r/>
            <w:r>
              <w:rPr>
                <w:rFonts w:ascii="Calibri" w:hAnsi="Calibri"/>
                <w:b w:val="0"/>
                <w:color w:val="102033"/>
                <w:sz w:val="18"/>
              </w:rPr>
              <w:t>CORS</w:t>
            </w:r>
          </w:p>
        </w:tc>
        <w:tc>
          <w:tcPr>
            <w:tcW w:type="dxa" w:w="6480"/>
            <w:vAlign w:val="center"/>
            <w:shd w:fill="FBFCFE"/>
          </w:tcPr>
          <w:p>
            <w:pPr>
              <w:spacing w:after="0" w:line="264" w:lineRule="auto"/>
            </w:pPr>
            <w:r/>
            <w:r>
              <w:rPr>
                <w:rFonts w:ascii="Calibri" w:hAnsi="Calibri"/>
                <w:b w:val="0"/>
                <w:color w:val="102033"/>
                <w:sz w:val="18"/>
              </w:rPr>
              <w:t>Frontend origin control using CLIENT_URL and optional CORS_ORIGINS.</w:t>
            </w:r>
          </w:p>
        </w:tc>
      </w:tr>
      <w:tr>
        <w:tc>
          <w:tcPr>
            <w:tcW w:type="dxa" w:w="2592"/>
            <w:vAlign w:val="center"/>
          </w:tcPr>
          <w:p>
            <w:pPr>
              <w:spacing w:after="0" w:line="264" w:lineRule="auto"/>
            </w:pPr>
            <w:r/>
            <w:r>
              <w:rPr>
                <w:rFonts w:ascii="Calibri" w:hAnsi="Calibri"/>
                <w:b w:val="0"/>
                <w:color w:val="102033"/>
                <w:sz w:val="18"/>
              </w:rPr>
              <w:t>Health monitoring</w:t>
            </w:r>
          </w:p>
        </w:tc>
        <w:tc>
          <w:tcPr>
            <w:tcW w:type="dxa" w:w="6480"/>
            <w:vAlign w:val="center"/>
          </w:tcPr>
          <w:p>
            <w:pPr>
              <w:spacing w:after="0" w:line="264" w:lineRule="auto"/>
            </w:pPr>
            <w:r/>
            <w:r>
              <w:rPr>
                <w:rFonts w:ascii="Calibri" w:hAnsi="Calibri"/>
                <w:b w:val="0"/>
                <w:color w:val="102033"/>
                <w:sz w:val="18"/>
              </w:rPr>
              <w:t>Backend health endpoint for deployment checks.</w:t>
            </w:r>
          </w:p>
        </w:tc>
      </w:tr>
      <w:tr>
        <w:tc>
          <w:tcPr>
            <w:tcW w:type="dxa" w:w="2592"/>
            <w:vAlign w:val="center"/>
            <w:shd w:fill="FBFCFE"/>
          </w:tcPr>
          <w:p>
            <w:pPr>
              <w:spacing w:after="0" w:line="264" w:lineRule="auto"/>
            </w:pPr>
            <w:r/>
            <w:r>
              <w:rPr>
                <w:rFonts w:ascii="Calibri" w:hAnsi="Calibri"/>
                <w:b w:val="0"/>
                <w:color w:val="102033"/>
                <w:sz w:val="18"/>
              </w:rPr>
              <w:t>Deployment model</w:t>
            </w:r>
          </w:p>
        </w:tc>
        <w:tc>
          <w:tcPr>
            <w:tcW w:type="dxa" w:w="6480"/>
            <w:vAlign w:val="center"/>
            <w:shd w:fill="FBFCFE"/>
          </w:tcPr>
          <w:p>
            <w:pPr>
              <w:spacing w:after="0" w:line="264" w:lineRule="auto"/>
            </w:pPr>
            <w:r/>
            <w:r>
              <w:rPr>
                <w:rFonts w:ascii="Calibri" w:hAnsi="Calibri"/>
                <w:b w:val="0"/>
                <w:color w:val="102033"/>
                <w:sz w:val="18"/>
              </w:rPr>
              <w:t>Render backend support, Vercel frontend support, and MongoDB Atlas database support.</w:t>
            </w:r>
          </w:p>
        </w:tc>
      </w:tr>
    </w:tbl>
    <w:p/>
    <w:p>
      <w:pPr>
        <w:pStyle w:val="Heading1"/>
      </w:pPr>
      <w:r>
        <w:rPr>
          <w:rFonts w:ascii="Calibri" w:hAnsi="Calibri"/>
          <w:b/>
          <w:color w:val="0B4F8A"/>
        </w:rPr>
        <w:t>12. Honest Positioning</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WHAT UNIPORTAL IS TODAY</w:t>
            </w:r>
          </w:p>
          <w:p>
            <w:pPr>
              <w:spacing w:after="0" w:line="288" w:lineRule="auto"/>
            </w:pPr>
            <w:r>
              <w:rPr>
                <w:color w:val="102033"/>
                <w:sz w:val="21"/>
              </w:rPr>
              <w:t>UniPortal is a foundational institutional MVP ready for guided pilot deployment. It is not being presented as a complete full-scale Student Information System. The current product proves the registration lifecycle and establishes the foundation for future institutional modules.</w:t>
            </w:r>
          </w:p>
        </w:tc>
      </w:tr>
    </w:tbl>
    <w:p/>
    <w:p>
      <w:pPr>
        <w:spacing w:after="160" w:line="300" w:lineRule="auto"/>
      </w:pPr>
      <w:r>
        <w:rPr>
          <w:rFonts w:ascii="Calibri" w:hAnsi="Calibri"/>
          <w:b w:val="0"/>
          <w:color w:val="102033"/>
        </w:rPr>
        <w:t>This positioning is deliberate. It protects the institution from overcommitment while giving leadership a credible, measurable path to validate real workflows, data requirements, user roles, reporting priorities, and future module investment.</w:t>
      </w:r>
    </w:p>
    <w:p>
      <w:pPr>
        <w:pStyle w:val="Heading1"/>
      </w:pPr>
      <w:r>
        <w:rPr>
          <w:rFonts w:ascii="Calibri" w:hAnsi="Calibri"/>
          <w:b/>
          <w:color w:val="0B4F8A"/>
        </w:rPr>
        <w:t>13. Roadmap</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2664"/>
            <w:shd w:fill="08365F"/>
            <w:vAlign w:val="center"/>
          </w:tcPr>
          <w:p>
            <w:pPr>
              <w:spacing w:after="0" w:line="264" w:lineRule="auto"/>
            </w:pPr>
            <w:r/>
            <w:r>
              <w:rPr>
                <w:rFonts w:ascii="Calibri" w:hAnsi="Calibri"/>
                <w:b/>
                <w:color w:val="FFFFFF"/>
                <w:sz w:val="18"/>
              </w:rPr>
              <w:t>Roadmap stream</w:t>
            </w:r>
          </w:p>
        </w:tc>
        <w:tc>
          <w:tcPr>
            <w:tcW w:type="dxa" w:w="6408"/>
            <w:shd w:fill="08365F"/>
            <w:vAlign w:val="center"/>
          </w:tcPr>
          <w:p>
            <w:pPr>
              <w:spacing w:after="0" w:line="264" w:lineRule="auto"/>
            </w:pPr>
            <w:r/>
            <w:r>
              <w:rPr>
                <w:rFonts w:ascii="Calibri" w:hAnsi="Calibri"/>
                <w:b/>
                <w:color w:val="FFFFFF"/>
                <w:sz w:val="18"/>
              </w:rPr>
              <w:t>Modules and outcomes</w:t>
            </w:r>
          </w:p>
        </w:tc>
      </w:tr>
      <w:tr>
        <w:tc>
          <w:tcPr>
            <w:tcW w:type="dxa" w:w="2664"/>
            <w:vAlign w:val="center"/>
          </w:tcPr>
          <w:p>
            <w:pPr>
              <w:spacing w:after="0" w:line="264" w:lineRule="auto"/>
            </w:pPr>
            <w:r/>
            <w:r>
              <w:rPr>
                <w:rFonts w:ascii="Calibri" w:hAnsi="Calibri"/>
                <w:b w:val="0"/>
                <w:color w:val="102033"/>
                <w:sz w:val="18"/>
              </w:rPr>
              <w:t>Pilot modules</w:t>
            </w:r>
          </w:p>
        </w:tc>
        <w:tc>
          <w:tcPr>
            <w:tcW w:type="dxa" w:w="6408"/>
            <w:vAlign w:val="center"/>
          </w:tcPr>
          <w:p>
            <w:pPr>
              <w:spacing w:after="0" w:line="264" w:lineRule="auto"/>
            </w:pPr>
            <w:r/>
            <w:r>
              <w:rPr>
                <w:rFonts w:ascii="Calibri" w:hAnsi="Calibri"/>
                <w:b w:val="0"/>
                <w:color w:val="102033"/>
                <w:sz w:val="18"/>
              </w:rPr>
              <w:t>Finance module, lecturer module, and dean/HOD oversight module.</w:t>
            </w:r>
          </w:p>
        </w:tc>
      </w:tr>
      <w:tr>
        <w:tc>
          <w:tcPr>
            <w:tcW w:type="dxa" w:w="2664"/>
            <w:vAlign w:val="center"/>
            <w:shd w:fill="FBFCFE"/>
          </w:tcPr>
          <w:p>
            <w:pPr>
              <w:spacing w:after="0" w:line="264" w:lineRule="auto"/>
            </w:pPr>
            <w:r/>
            <w:r>
              <w:rPr>
                <w:rFonts w:ascii="Calibri" w:hAnsi="Calibri"/>
                <w:b w:val="0"/>
                <w:color w:val="102033"/>
                <w:sz w:val="18"/>
              </w:rPr>
              <w:t>Academic expansion</w:t>
            </w:r>
          </w:p>
        </w:tc>
        <w:tc>
          <w:tcPr>
            <w:tcW w:type="dxa" w:w="6408"/>
            <w:vAlign w:val="center"/>
            <w:shd w:fill="FBFCFE"/>
          </w:tcPr>
          <w:p>
            <w:pPr>
              <w:spacing w:after="0" w:line="264" w:lineRule="auto"/>
            </w:pPr>
            <w:r/>
            <w:r>
              <w:rPr>
                <w:rFonts w:ascii="Calibri" w:hAnsi="Calibri"/>
                <w:b w:val="0"/>
                <w:color w:val="102033"/>
                <w:sz w:val="18"/>
              </w:rPr>
              <w:t>Transcript generation, grade workflows, timetable, and academic reporting.</w:t>
            </w:r>
          </w:p>
        </w:tc>
      </w:tr>
      <w:tr>
        <w:tc>
          <w:tcPr>
            <w:tcW w:type="dxa" w:w="2664"/>
            <w:vAlign w:val="center"/>
          </w:tcPr>
          <w:p>
            <w:pPr>
              <w:spacing w:after="0" w:line="264" w:lineRule="auto"/>
            </w:pPr>
            <w:r/>
            <w:r>
              <w:rPr>
                <w:rFonts w:ascii="Calibri" w:hAnsi="Calibri"/>
                <w:b w:val="0"/>
                <w:color w:val="102033"/>
                <w:sz w:val="18"/>
              </w:rPr>
              <w:t>Institutional communication</w:t>
            </w:r>
          </w:p>
        </w:tc>
        <w:tc>
          <w:tcPr>
            <w:tcW w:type="dxa" w:w="6408"/>
            <w:vAlign w:val="center"/>
          </w:tcPr>
          <w:p>
            <w:pPr>
              <w:spacing w:after="0" w:line="264" w:lineRule="auto"/>
            </w:pPr>
            <w:r/>
            <w:r>
              <w:rPr>
                <w:rFonts w:ascii="Calibri" w:hAnsi="Calibri"/>
                <w:b w:val="0"/>
                <w:color w:val="102033"/>
                <w:sz w:val="18"/>
              </w:rPr>
              <w:t>Notifications, announcements, and student-facing alerts.</w:t>
            </w:r>
          </w:p>
        </w:tc>
      </w:tr>
      <w:tr>
        <w:tc>
          <w:tcPr>
            <w:tcW w:type="dxa" w:w="2664"/>
            <w:vAlign w:val="center"/>
            <w:shd w:fill="FBFCFE"/>
          </w:tcPr>
          <w:p>
            <w:pPr>
              <w:spacing w:after="0" w:line="264" w:lineRule="auto"/>
            </w:pPr>
            <w:r/>
            <w:r>
              <w:rPr>
                <w:rFonts w:ascii="Calibri" w:hAnsi="Calibri"/>
                <w:b w:val="0"/>
                <w:color w:val="102033"/>
                <w:sz w:val="18"/>
              </w:rPr>
              <w:t>Administrative expansion</w:t>
            </w:r>
          </w:p>
        </w:tc>
        <w:tc>
          <w:tcPr>
            <w:tcW w:type="dxa" w:w="6408"/>
            <w:vAlign w:val="center"/>
            <w:shd w:fill="FBFCFE"/>
          </w:tcPr>
          <w:p>
            <w:pPr>
              <w:spacing w:after="0" w:line="264" w:lineRule="auto"/>
            </w:pPr>
            <w:r/>
            <w:r>
              <w:rPr>
                <w:rFonts w:ascii="Calibri" w:hAnsi="Calibri"/>
                <w:b w:val="0"/>
                <w:color w:val="102033"/>
                <w:sz w:val="18"/>
              </w:rPr>
              <w:t>Admissions/intake management, document uploads, CSV import, and reporting exports.</w:t>
            </w:r>
          </w:p>
        </w:tc>
      </w:tr>
      <w:tr>
        <w:tc>
          <w:tcPr>
            <w:tcW w:type="dxa" w:w="2664"/>
            <w:vAlign w:val="center"/>
          </w:tcPr>
          <w:p>
            <w:pPr>
              <w:spacing w:after="0" w:line="264" w:lineRule="auto"/>
            </w:pPr>
            <w:r/>
            <w:r>
              <w:rPr>
                <w:rFonts w:ascii="Calibri" w:hAnsi="Calibri"/>
                <w:b w:val="0"/>
                <w:color w:val="102033"/>
                <w:sz w:val="18"/>
              </w:rPr>
              <w:t>Financial expansion</w:t>
            </w:r>
          </w:p>
        </w:tc>
        <w:tc>
          <w:tcPr>
            <w:tcW w:type="dxa" w:w="6408"/>
            <w:vAlign w:val="center"/>
          </w:tcPr>
          <w:p>
            <w:pPr>
              <w:spacing w:after="0" w:line="264" w:lineRule="auto"/>
            </w:pPr>
            <w:r/>
            <w:r>
              <w:rPr>
                <w:rFonts w:ascii="Calibri" w:hAnsi="Calibri"/>
                <w:b w:val="0"/>
                <w:color w:val="102033"/>
                <w:sz w:val="18"/>
              </w:rPr>
              <w:t>Payments, fee statements, payment tracking, and financial clearance workflows.</w:t>
            </w:r>
          </w:p>
        </w:tc>
      </w:tr>
    </w:tbl>
    <w:p/>
    <w:p>
      <w:pPr>
        <w:pStyle w:val="Heading1"/>
      </w:pPr>
      <w:r>
        <w:rPr>
          <w:rFonts w:ascii="Calibri" w:hAnsi="Calibri"/>
          <w:b/>
          <w:color w:val="0B4F8A"/>
        </w:rPr>
        <w:t>14. Recommended Implementation Approach</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2469"/>
        <w:gridCol w:w="2469"/>
        <w:gridCol w:w="2469"/>
        <w:gridCol w:w="2469"/>
      </w:tblGrid>
      <w:tr>
        <w:tc>
          <w:tcPr>
            <w:tcW w:type="dxa" w:w="1944"/>
            <w:shd w:fill="0B4F8A"/>
            <w:vAlign w:val="center"/>
          </w:tcPr>
          <w:p>
            <w:pPr>
              <w:spacing w:after="0" w:line="264" w:lineRule="auto"/>
            </w:pPr>
            <w:r/>
            <w:r>
              <w:rPr>
                <w:rFonts w:ascii="Calibri" w:hAnsi="Calibri"/>
                <w:b/>
                <w:color w:val="FFFFFF"/>
                <w:sz w:val="18"/>
              </w:rPr>
              <w:t>Phase</w:t>
            </w:r>
          </w:p>
        </w:tc>
        <w:tc>
          <w:tcPr>
            <w:tcW w:type="dxa" w:w="1296"/>
            <w:shd w:fill="0B4F8A"/>
            <w:vAlign w:val="center"/>
          </w:tcPr>
          <w:p>
            <w:pPr>
              <w:spacing w:after="0" w:line="264" w:lineRule="auto"/>
            </w:pPr>
            <w:r/>
            <w:r>
              <w:rPr>
                <w:rFonts w:ascii="Calibri" w:hAnsi="Calibri"/>
                <w:b/>
                <w:color w:val="FFFFFF"/>
                <w:sz w:val="18"/>
              </w:rPr>
              <w:t>Duration</w:t>
            </w:r>
          </w:p>
        </w:tc>
        <w:tc>
          <w:tcPr>
            <w:tcW w:type="dxa" w:w="3960"/>
            <w:shd w:fill="0B4F8A"/>
            <w:vAlign w:val="center"/>
          </w:tcPr>
          <w:p>
            <w:pPr>
              <w:spacing w:after="0" w:line="264" w:lineRule="auto"/>
            </w:pPr>
            <w:r/>
            <w:r>
              <w:rPr>
                <w:rFonts w:ascii="Calibri" w:hAnsi="Calibri"/>
                <w:b/>
                <w:color w:val="FFFFFF"/>
                <w:sz w:val="18"/>
              </w:rPr>
              <w:t>Primary activities</w:t>
            </w:r>
          </w:p>
        </w:tc>
        <w:tc>
          <w:tcPr>
            <w:tcW w:type="dxa" w:w="1872"/>
            <w:shd w:fill="0B4F8A"/>
            <w:vAlign w:val="center"/>
          </w:tcPr>
          <w:p>
            <w:pPr>
              <w:spacing w:after="0" w:line="264" w:lineRule="auto"/>
            </w:pPr>
            <w:r/>
            <w:r>
              <w:rPr>
                <w:rFonts w:ascii="Calibri" w:hAnsi="Calibri"/>
                <w:b/>
                <w:color w:val="FFFFFF"/>
                <w:sz w:val="18"/>
              </w:rPr>
              <w:t>Outcome</w:t>
            </w:r>
          </w:p>
        </w:tc>
      </w:tr>
      <w:tr>
        <w:tc>
          <w:tcPr>
            <w:tcW w:type="dxa" w:w="1944"/>
            <w:vAlign w:val="center"/>
          </w:tcPr>
          <w:p>
            <w:pPr>
              <w:spacing w:after="0" w:line="264" w:lineRule="auto"/>
            </w:pPr>
            <w:r/>
            <w:r>
              <w:rPr>
                <w:rFonts w:ascii="Calibri" w:hAnsi="Calibri"/>
                <w:b w:val="0"/>
                <w:color w:val="102033"/>
                <w:sz w:val="18"/>
              </w:rPr>
              <w:t>Phase 1: Pilot Discovery</w:t>
            </w:r>
          </w:p>
        </w:tc>
        <w:tc>
          <w:tcPr>
            <w:tcW w:type="dxa" w:w="1296"/>
            <w:vAlign w:val="center"/>
          </w:tcPr>
          <w:p>
            <w:pPr>
              <w:spacing w:after="0" w:line="264" w:lineRule="auto"/>
            </w:pPr>
            <w:r/>
            <w:r>
              <w:rPr>
                <w:rFonts w:ascii="Calibri" w:hAnsi="Calibri"/>
                <w:b w:val="0"/>
                <w:color w:val="102033"/>
                <w:sz w:val="18"/>
              </w:rPr>
              <w:t>30-60 days</w:t>
            </w:r>
          </w:p>
        </w:tc>
        <w:tc>
          <w:tcPr>
            <w:tcW w:type="dxa" w:w="3960"/>
            <w:vAlign w:val="center"/>
          </w:tcPr>
          <w:p>
            <w:pPr>
              <w:spacing w:after="0" w:line="264" w:lineRule="auto"/>
            </w:pPr>
            <w:r/>
            <w:r>
              <w:rPr>
                <w:rFonts w:ascii="Calibri" w:hAnsi="Calibri"/>
                <w:b w:val="0"/>
                <w:color w:val="102033"/>
                <w:sz w:val="18"/>
              </w:rPr>
              <w:t>Registration workflow mapping, academic setup review, data structure validation, and user role confirmation.</w:t>
            </w:r>
          </w:p>
        </w:tc>
        <w:tc>
          <w:tcPr>
            <w:tcW w:type="dxa" w:w="1872"/>
            <w:vAlign w:val="center"/>
          </w:tcPr>
          <w:p>
            <w:pPr>
              <w:spacing w:after="0" w:line="264" w:lineRule="auto"/>
            </w:pPr>
            <w:r/>
            <w:r>
              <w:rPr>
                <w:rFonts w:ascii="Calibri" w:hAnsi="Calibri"/>
                <w:b w:val="0"/>
                <w:color w:val="102033"/>
                <w:sz w:val="18"/>
              </w:rPr>
              <w:t>Pilot scope and success criteria approved.</w:t>
            </w:r>
          </w:p>
        </w:tc>
      </w:tr>
      <w:tr>
        <w:tc>
          <w:tcPr>
            <w:tcW w:type="dxa" w:w="1944"/>
            <w:vAlign w:val="center"/>
            <w:shd w:fill="FBFCFE"/>
          </w:tcPr>
          <w:p>
            <w:pPr>
              <w:spacing w:after="0" w:line="264" w:lineRule="auto"/>
            </w:pPr>
            <w:r/>
            <w:r>
              <w:rPr>
                <w:rFonts w:ascii="Calibri" w:hAnsi="Calibri"/>
                <w:b w:val="0"/>
                <w:color w:val="102033"/>
                <w:sz w:val="18"/>
              </w:rPr>
              <w:t>Phase 2: Pilot Deployment</w:t>
            </w:r>
          </w:p>
        </w:tc>
        <w:tc>
          <w:tcPr>
            <w:tcW w:type="dxa" w:w="1296"/>
            <w:vAlign w:val="center"/>
            <w:shd w:fill="FBFCFE"/>
          </w:tcPr>
          <w:p>
            <w:pPr>
              <w:spacing w:after="0" w:line="264" w:lineRule="auto"/>
            </w:pPr>
            <w:r/>
            <w:r>
              <w:rPr>
                <w:rFonts w:ascii="Calibri" w:hAnsi="Calibri"/>
                <w:b w:val="0"/>
                <w:color w:val="102033"/>
                <w:sz w:val="18"/>
              </w:rPr>
              <w:t>60-90 days</w:t>
            </w:r>
          </w:p>
        </w:tc>
        <w:tc>
          <w:tcPr>
            <w:tcW w:type="dxa" w:w="3960"/>
            <w:vAlign w:val="center"/>
            <w:shd w:fill="FBFCFE"/>
          </w:tcPr>
          <w:p>
            <w:pPr>
              <w:spacing w:after="0" w:line="264" w:lineRule="auto"/>
            </w:pPr>
            <w:r/>
            <w:r>
              <w:rPr>
                <w:rFonts w:ascii="Calibri" w:hAnsi="Calibri"/>
                <w:b w:val="0"/>
                <w:color w:val="102033"/>
                <w:sz w:val="18"/>
              </w:rPr>
              <w:t>Configured deployment, sample data import, training, controlled pilot registration cycle, and support.</w:t>
            </w:r>
          </w:p>
        </w:tc>
        <w:tc>
          <w:tcPr>
            <w:tcW w:type="dxa" w:w="1872"/>
            <w:vAlign w:val="center"/>
            <w:shd w:fill="FBFCFE"/>
          </w:tcPr>
          <w:p>
            <w:pPr>
              <w:spacing w:after="0" w:line="264" w:lineRule="auto"/>
            </w:pPr>
            <w:r/>
            <w:r>
              <w:rPr>
                <w:rFonts w:ascii="Calibri" w:hAnsi="Calibri"/>
                <w:b w:val="0"/>
                <w:color w:val="102033"/>
                <w:sz w:val="18"/>
              </w:rPr>
              <w:t>Institution validates UniPortal in real operations.</w:t>
            </w:r>
          </w:p>
        </w:tc>
      </w:tr>
      <w:tr>
        <w:tc>
          <w:tcPr>
            <w:tcW w:type="dxa" w:w="1944"/>
            <w:vAlign w:val="center"/>
          </w:tcPr>
          <w:p>
            <w:pPr>
              <w:spacing w:after="0" w:line="264" w:lineRule="auto"/>
            </w:pPr>
            <w:r/>
            <w:r>
              <w:rPr>
                <w:rFonts w:ascii="Calibri" w:hAnsi="Calibri"/>
                <w:b w:val="0"/>
                <w:color w:val="102033"/>
                <w:sz w:val="18"/>
              </w:rPr>
              <w:t>Phase 3: Institutional Rollout</w:t>
            </w:r>
          </w:p>
        </w:tc>
        <w:tc>
          <w:tcPr>
            <w:tcW w:type="dxa" w:w="1296"/>
            <w:vAlign w:val="center"/>
          </w:tcPr>
          <w:p>
            <w:pPr>
              <w:spacing w:after="0" w:line="264" w:lineRule="auto"/>
            </w:pPr>
            <w:r/>
            <w:r>
              <w:rPr>
                <w:rFonts w:ascii="Calibri" w:hAnsi="Calibri"/>
                <w:b w:val="0"/>
                <w:color w:val="102033"/>
                <w:sz w:val="18"/>
              </w:rPr>
              <w:t>After pilot</w:t>
            </w:r>
          </w:p>
        </w:tc>
        <w:tc>
          <w:tcPr>
            <w:tcW w:type="dxa" w:w="3960"/>
            <w:vAlign w:val="center"/>
          </w:tcPr>
          <w:p>
            <w:pPr>
              <w:spacing w:after="0" w:line="264" w:lineRule="auto"/>
            </w:pPr>
            <w:r/>
            <w:r>
              <w:rPr>
                <w:rFonts w:ascii="Calibri" w:hAnsi="Calibri"/>
                <w:b w:val="0"/>
                <w:color w:val="102033"/>
                <w:sz w:val="18"/>
              </w:rPr>
              <w:t>Department-by-department rollout, expanded data migration, reporting setup, support model, and roadmap activation.</w:t>
            </w:r>
          </w:p>
        </w:tc>
        <w:tc>
          <w:tcPr>
            <w:tcW w:type="dxa" w:w="1872"/>
            <w:vAlign w:val="center"/>
          </w:tcPr>
          <w:p>
            <w:pPr>
              <w:spacing w:after="0" w:line="264" w:lineRule="auto"/>
            </w:pPr>
            <w:r/>
            <w:r>
              <w:rPr>
                <w:rFonts w:ascii="Calibri" w:hAnsi="Calibri"/>
                <w:b w:val="0"/>
                <w:color w:val="102033"/>
                <w:sz w:val="18"/>
              </w:rPr>
              <w:t>Institutional adoption plan launched.</w:t>
            </w:r>
          </w:p>
        </w:tc>
      </w:tr>
    </w:tbl>
    <w:p/>
    <w:p>
      <w:pPr>
        <w:pStyle w:val="Heading1"/>
      </w:pPr>
      <w:r>
        <w:rPr>
          <w:rFonts w:ascii="Calibri" w:hAnsi="Calibri"/>
          <w:b/>
          <w:color w:val="0B4F8A"/>
        </w:rPr>
        <w:t>15. Recommended Institutional Engagement Models</w:t>
      </w:r>
    </w:p>
    <w:p>
      <w:pPr>
        <w:spacing w:after="160" w:line="300" w:lineRule="auto"/>
      </w:pPr>
      <w:r>
        <w:rPr>
          <w:rFonts w:ascii="Calibri" w:hAnsi="Calibri"/>
          <w:b w:val="0"/>
          <w:color w:val="102033"/>
        </w:rPr>
        <w:t>The engagement models below provide a practical pathway from pilot validation to institutional rollout. Final pricing depends on institutional size, number of departments, student volume, hosting needs, data migration complexity, support requirements, and customization scope.</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2469"/>
        <w:gridCol w:w="2469"/>
        <w:gridCol w:w="2469"/>
        <w:gridCol w:w="2469"/>
      </w:tblGrid>
      <w:tr>
        <w:tc>
          <w:tcPr>
            <w:tcW w:type="dxa" w:w="2088"/>
            <w:shd w:fill="08365F"/>
            <w:vAlign w:val="center"/>
          </w:tcPr>
          <w:p>
            <w:pPr>
              <w:spacing w:after="0" w:line="264" w:lineRule="auto"/>
            </w:pPr>
            <w:r/>
            <w:r>
              <w:rPr>
                <w:rFonts w:ascii="Calibri" w:hAnsi="Calibri"/>
                <w:b/>
                <w:color w:val="FFFFFF"/>
                <w:sz w:val="18"/>
              </w:rPr>
              <w:t>Engagement model</w:t>
            </w:r>
          </w:p>
        </w:tc>
        <w:tc>
          <w:tcPr>
            <w:tcW w:type="dxa" w:w="1728"/>
            <w:shd w:fill="08365F"/>
            <w:vAlign w:val="center"/>
          </w:tcPr>
          <w:p>
            <w:pPr>
              <w:spacing w:after="0" w:line="264" w:lineRule="auto"/>
            </w:pPr>
            <w:r/>
            <w:r>
              <w:rPr>
                <w:rFonts w:ascii="Calibri" w:hAnsi="Calibri"/>
                <w:b/>
                <w:color w:val="FFFFFF"/>
                <w:sz w:val="18"/>
              </w:rPr>
              <w:t>Indicative investment</w:t>
            </w:r>
          </w:p>
        </w:tc>
        <w:tc>
          <w:tcPr>
            <w:tcW w:type="dxa" w:w="2088"/>
            <w:shd w:fill="08365F"/>
            <w:vAlign w:val="center"/>
          </w:tcPr>
          <w:p>
            <w:pPr>
              <w:spacing w:after="0" w:line="264" w:lineRule="auto"/>
            </w:pPr>
            <w:r/>
            <w:r>
              <w:rPr>
                <w:rFonts w:ascii="Calibri" w:hAnsi="Calibri"/>
                <w:b/>
                <w:color w:val="FFFFFF"/>
                <w:sz w:val="18"/>
              </w:rPr>
              <w:t>Best fit</w:t>
            </w:r>
          </w:p>
        </w:tc>
        <w:tc>
          <w:tcPr>
            <w:tcW w:type="dxa" w:w="3168"/>
            <w:shd w:fill="08365F"/>
            <w:vAlign w:val="center"/>
          </w:tcPr>
          <w:p>
            <w:pPr>
              <w:spacing w:after="0" w:line="264" w:lineRule="auto"/>
            </w:pPr>
            <w:r/>
            <w:r>
              <w:rPr>
                <w:rFonts w:ascii="Calibri" w:hAnsi="Calibri"/>
                <w:b/>
                <w:color w:val="FFFFFF"/>
                <w:sz w:val="18"/>
              </w:rPr>
              <w:t>Includes</w:t>
            </w:r>
          </w:p>
        </w:tc>
      </w:tr>
      <w:tr>
        <w:tc>
          <w:tcPr>
            <w:tcW w:type="dxa" w:w="2088"/>
            <w:vAlign w:val="center"/>
          </w:tcPr>
          <w:p>
            <w:pPr>
              <w:spacing w:after="0" w:line="264" w:lineRule="auto"/>
            </w:pPr>
            <w:r/>
            <w:r>
              <w:rPr>
                <w:rFonts w:ascii="Calibri" w:hAnsi="Calibri"/>
                <w:b w:val="0"/>
                <w:color w:val="102033"/>
                <w:sz w:val="18"/>
              </w:rPr>
              <w:t>Model A: Guided Pilot</w:t>
            </w:r>
          </w:p>
        </w:tc>
        <w:tc>
          <w:tcPr>
            <w:tcW w:type="dxa" w:w="1728"/>
            <w:vAlign w:val="center"/>
          </w:tcPr>
          <w:p>
            <w:pPr>
              <w:spacing w:after="0" w:line="264" w:lineRule="auto"/>
            </w:pPr>
            <w:r/>
            <w:r>
              <w:rPr>
                <w:rFonts w:ascii="Calibri" w:hAnsi="Calibri"/>
                <w:b w:val="0"/>
                <w:color w:val="102033"/>
                <w:sz w:val="18"/>
              </w:rPr>
              <w:t>USD 3,000-5,000</w:t>
            </w:r>
          </w:p>
        </w:tc>
        <w:tc>
          <w:tcPr>
            <w:tcW w:type="dxa" w:w="2088"/>
            <w:vAlign w:val="center"/>
          </w:tcPr>
          <w:p>
            <w:pPr>
              <w:spacing w:after="0" w:line="264" w:lineRule="auto"/>
            </w:pPr>
            <w:r/>
            <w:r>
              <w:rPr>
                <w:rFonts w:ascii="Calibri" w:hAnsi="Calibri"/>
                <w:b w:val="0"/>
                <w:color w:val="102033"/>
                <w:sz w:val="18"/>
              </w:rPr>
              <w:t>A controlled institutional proof point.</w:t>
            </w:r>
          </w:p>
        </w:tc>
        <w:tc>
          <w:tcPr>
            <w:tcW w:type="dxa" w:w="3168"/>
            <w:vAlign w:val="center"/>
          </w:tcPr>
          <w:p>
            <w:pPr>
              <w:spacing w:after="0" w:line="264" w:lineRule="auto"/>
            </w:pPr>
            <w:r/>
            <w:r>
              <w:rPr>
                <w:rFonts w:ascii="Calibri" w:hAnsi="Calibri"/>
                <w:b w:val="0"/>
                <w:color w:val="102033"/>
                <w:sz w:val="18"/>
              </w:rPr>
              <w:t>Pilot deployment, configuration, academic setup, initial training, guided registration cycle, and pilot support.</w:t>
            </w:r>
          </w:p>
        </w:tc>
      </w:tr>
      <w:tr>
        <w:tc>
          <w:tcPr>
            <w:tcW w:type="dxa" w:w="2088"/>
            <w:vAlign w:val="center"/>
            <w:shd w:fill="FBFCFE"/>
          </w:tcPr>
          <w:p>
            <w:pPr>
              <w:spacing w:after="0" w:line="264" w:lineRule="auto"/>
            </w:pPr>
            <w:r/>
            <w:r>
              <w:rPr>
                <w:rFonts w:ascii="Calibri" w:hAnsi="Calibri"/>
                <w:b w:val="0"/>
                <w:color w:val="102033"/>
                <w:sz w:val="18"/>
              </w:rPr>
              <w:t>Model B: Institutional Rollout</w:t>
            </w:r>
          </w:p>
        </w:tc>
        <w:tc>
          <w:tcPr>
            <w:tcW w:type="dxa" w:w="1728"/>
            <w:vAlign w:val="center"/>
            <w:shd w:fill="FBFCFE"/>
          </w:tcPr>
          <w:p>
            <w:pPr>
              <w:spacing w:after="0" w:line="264" w:lineRule="auto"/>
            </w:pPr>
            <w:r/>
            <w:r>
              <w:rPr>
                <w:rFonts w:ascii="Calibri" w:hAnsi="Calibri"/>
                <w:b w:val="0"/>
                <w:color w:val="102033"/>
                <w:sz w:val="18"/>
              </w:rPr>
              <w:t>USD 8,000-15,000+</w:t>
            </w:r>
          </w:p>
        </w:tc>
        <w:tc>
          <w:tcPr>
            <w:tcW w:type="dxa" w:w="2088"/>
            <w:vAlign w:val="center"/>
            <w:shd w:fill="FBFCFE"/>
          </w:tcPr>
          <w:p>
            <w:pPr>
              <w:spacing w:after="0" w:line="264" w:lineRule="auto"/>
            </w:pPr>
            <w:r/>
            <w:r>
              <w:rPr>
                <w:rFonts w:ascii="Calibri" w:hAnsi="Calibri"/>
                <w:b w:val="0"/>
                <w:color w:val="102033"/>
                <w:sz w:val="18"/>
              </w:rPr>
              <w:t>A broader department or institution-level implementation.</w:t>
            </w:r>
          </w:p>
        </w:tc>
        <w:tc>
          <w:tcPr>
            <w:tcW w:type="dxa" w:w="3168"/>
            <w:vAlign w:val="center"/>
            <w:shd w:fill="FBFCFE"/>
          </w:tcPr>
          <w:p>
            <w:pPr>
              <w:spacing w:after="0" w:line="264" w:lineRule="auto"/>
            </w:pPr>
            <w:r/>
            <w:r>
              <w:rPr>
                <w:rFonts w:ascii="Calibri" w:hAnsi="Calibri"/>
                <w:b w:val="0"/>
                <w:color w:val="102033"/>
                <w:sz w:val="18"/>
              </w:rPr>
              <w:t>Full implementation, department rollout, data migration, user training, go-live support, and rollout coordination.</w:t>
            </w:r>
          </w:p>
        </w:tc>
      </w:tr>
      <w:tr>
        <w:tc>
          <w:tcPr>
            <w:tcW w:type="dxa" w:w="2088"/>
            <w:vAlign w:val="center"/>
          </w:tcPr>
          <w:p>
            <w:pPr>
              <w:spacing w:after="0" w:line="264" w:lineRule="auto"/>
            </w:pPr>
            <w:r/>
            <w:r>
              <w:rPr>
                <w:rFonts w:ascii="Calibri" w:hAnsi="Calibri"/>
                <w:b w:val="0"/>
                <w:color w:val="102033"/>
                <w:sz w:val="18"/>
              </w:rPr>
              <w:t>Model C: Annual Institutional Support</w:t>
            </w:r>
          </w:p>
        </w:tc>
        <w:tc>
          <w:tcPr>
            <w:tcW w:type="dxa" w:w="1728"/>
            <w:vAlign w:val="center"/>
          </w:tcPr>
          <w:p>
            <w:pPr>
              <w:spacing w:after="0" w:line="264" w:lineRule="auto"/>
            </w:pPr>
            <w:r/>
            <w:r>
              <w:rPr>
                <w:rFonts w:ascii="Calibri" w:hAnsi="Calibri"/>
                <w:b w:val="0"/>
                <w:color w:val="102033"/>
                <w:sz w:val="18"/>
              </w:rPr>
              <w:t>USD 3,000-5,000/year</w:t>
            </w:r>
          </w:p>
        </w:tc>
        <w:tc>
          <w:tcPr>
            <w:tcW w:type="dxa" w:w="2088"/>
            <w:vAlign w:val="center"/>
          </w:tcPr>
          <w:p>
            <w:pPr>
              <w:spacing w:after="0" w:line="264" w:lineRule="auto"/>
            </w:pPr>
            <w:r/>
            <w:r>
              <w:rPr>
                <w:rFonts w:ascii="Calibri" w:hAnsi="Calibri"/>
                <w:b w:val="0"/>
                <w:color w:val="102033"/>
                <w:sz w:val="18"/>
              </w:rPr>
              <w:t>Sustained institutional operation after deployment.</w:t>
            </w:r>
          </w:p>
        </w:tc>
        <w:tc>
          <w:tcPr>
            <w:tcW w:type="dxa" w:w="3168"/>
            <w:vAlign w:val="center"/>
          </w:tcPr>
          <w:p>
            <w:pPr>
              <w:spacing w:after="0" w:line="264" w:lineRule="auto"/>
            </w:pPr>
            <w:r/>
            <w:r>
              <w:rPr>
                <w:rFonts w:ascii="Calibri" w:hAnsi="Calibri"/>
                <w:b w:val="0"/>
                <w:color w:val="102033"/>
                <w:sz w:val="18"/>
              </w:rPr>
              <w:t>Hosting, maintenance, security updates, technical support, monitoring, and agreed enhancements.</w:t>
            </w:r>
          </w:p>
        </w:tc>
      </w:tr>
    </w:tbl>
    <w:p/>
    <w:tbl>
      <w:tblPr>
        <w:tblW w:type="auto" w:w="0"/>
        <w:jc w:val="center"/>
        <w:tblLook w:firstColumn="1" w:firstRow="1" w:lastColumn="0" w:lastRow="0" w:noHBand="0" w:noVBand="1" w:val="04A0"/>
        <w:tblBorders>
          <w:top w:val="single" w:sz="8" w:space="0" w:color="C9972B"/>
          <w:left w:val="single" w:sz="8" w:space="0" w:color="C9972B"/>
          <w:bottom w:val="single" w:sz="8" w:space="0" w:color="C9972B"/>
          <w:right w:val="single" w:sz="8" w:space="0" w:color="C9972B"/>
          <w:insideH w:val="single" w:sz="8" w:space="0" w:color="C9972B"/>
          <w:insideV w:val="single" w:sz="8" w:space="0" w:color="C9972B"/>
        </w:tblBorders>
        <w:tblCellMar>
          <w:top w:w="170" w:type="dxa"/>
          <w:start w:w="220" w:type="dxa"/>
          <w:bottom w:w="170" w:type="dxa"/>
          <w:end w:w="220" w:type="dxa"/>
        </w:tblCellMar>
      </w:tblPr>
      <w:tblGrid>
        <w:gridCol w:w="9878"/>
      </w:tblGrid>
      <w:tr>
        <w:tc>
          <w:tcPr>
            <w:tcW w:type="dxa" w:w="9878"/>
            <w:shd w:fill="FFF4D8"/>
          </w:tcPr>
          <w:p>
            <w:pPr>
              <w:spacing w:after="80"/>
            </w:pPr>
            <w:r>
              <w:rPr>
                <w:b/>
                <w:color w:val="C9972B"/>
                <w:sz w:val="17"/>
              </w:rPr>
              <w:t>OPTIONAL STUDENT-BASED PRICING</w:t>
            </w:r>
          </w:p>
          <w:p>
            <w:pPr>
              <w:spacing w:after="0" w:line="288" w:lineRule="auto"/>
            </w:pPr>
            <w:r>
              <w:rPr>
                <w:color w:val="102033"/>
                <w:sz w:val="21"/>
              </w:rPr>
              <w:t>For larger institutions, Sky High Tech may propose a student-based pricing model. This can align cost with enrollment size, support requirements, hosting load, and phased institutional adoption.</w:t>
            </w:r>
          </w:p>
        </w:tc>
      </w:tr>
    </w:tbl>
    <w:p/>
    <w:p>
      <w:pPr>
        <w:pStyle w:val="Heading1"/>
      </w:pPr>
      <w:r>
        <w:rPr>
          <w:rFonts w:ascii="Calibri" w:hAnsi="Calibri"/>
          <w:b/>
          <w:color w:val="0B4F8A"/>
        </w:rPr>
        <w:t>16. Why Sky High Tech</w:t>
      </w:r>
    </w:p>
    <w:p>
      <w:pPr>
        <w:spacing w:after="160" w:line="300" w:lineRule="auto"/>
      </w:pPr>
      <w:r>
        <w:rPr>
          <w:rFonts w:ascii="Calibri" w:hAnsi="Calibri"/>
          <w:b w:val="0"/>
          <w:color w:val="102033"/>
        </w:rPr>
        <w:t>Sky High Tech is a South Sudan technology company focused on building practical digital solutions for local and regional institutions. Our positioning is simple: Technology Made Simple. We believe universities and colleges in South Sudan and East Africa should have access to modern, locally relevant systems that reflect their real operating environment.</w:t>
      </w:r>
    </w:p>
    <w:p>
      <w:pPr>
        <w:spacing w:after="160" w:line="300" w:lineRule="auto"/>
      </w:pPr>
      <w:r>
        <w:rPr>
          <w:rFonts w:ascii="Calibri" w:hAnsi="Calibri"/>
          <w:b w:val="0"/>
          <w:color w:val="102033"/>
        </w:rPr>
        <w:t>UniPortal is part of a broader mission: Building Africa's Digital Future from South Sudan. The platform is designed with institutional seriousness, practical deployment needs, and regional affordability in mind.</w:t>
      </w:r>
    </w:p>
    <w:p>
      <w:pPr>
        <w:pStyle w:val="Heading1"/>
      </w:pPr>
      <w:r>
        <w:rPr>
          <w:rFonts w:ascii="Calibri" w:hAnsi="Calibri"/>
          <w:b/>
          <w:color w:val="0B4F8A"/>
        </w:rPr>
        <w:t>17. Conclusion &amp; Recommendation</w:t>
      </w:r>
    </w:p>
    <w:p>
      <w:pPr>
        <w:spacing w:after="160" w:line="300" w:lineRule="auto"/>
      </w:pPr>
      <w:r>
        <w:rPr>
          <w:rFonts w:ascii="Calibri" w:hAnsi="Calibri"/>
          <w:b w:val="0"/>
          <w:color w:val="102033"/>
        </w:rPr>
        <w:t>UniPortal is ready for a guided institutional pilot discussion. The system demonstrates a credible registration lifecycle from academic setup to student enrollment, registrar decision-making, enrollment slip generation, and academic record foundations.</w:t>
      </w:r>
    </w:p>
    <w:p>
      <w:pPr>
        <w:spacing w:after="160" w:line="300" w:lineRule="auto"/>
      </w:pPr>
      <w:r>
        <w:rPr>
          <w:rFonts w:ascii="Calibri" w:hAnsi="Calibri"/>
          <w:b w:val="0"/>
          <w:color w:val="102033"/>
        </w:rPr>
        <w:t>Sky High Tech recommends a structured discussion with the Vice Chancellor, Registrar, ICT Director, Finance leadership, Deans/HODs, and selected administrative users. The goal should be to confirm pilot scope, identify success indicators, review data readiness, and agree on a practical deployment path.</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RECOMMENDED NEXT STEP</w:t>
            </w:r>
          </w:p>
          <w:p>
            <w:pPr>
              <w:spacing w:after="0" w:line="288" w:lineRule="auto"/>
            </w:pPr>
            <w:r>
              <w:rPr>
                <w:color w:val="102033"/>
                <w:sz w:val="21"/>
              </w:rPr>
              <w:t>Schedule a Guided Institutional Pilot Discussion with university leadership and operational stakeholders.</w:t>
            </w:r>
          </w:p>
        </w:tc>
      </w:tr>
    </w:tbl>
    <w:p/>
    <w:p>
      <w:r>
        <w:br w:type="page"/>
      </w:r>
    </w:p>
    <w:p>
      <w:pPr>
        <w:pStyle w:val="Heading1"/>
      </w:pPr>
      <w:r>
        <w:rPr>
          <w:rFonts w:ascii="Calibri" w:hAnsi="Calibri"/>
          <w:b/>
          <w:color w:val="0B4F8A"/>
        </w:rPr>
        <w:t>18. Signature Page</w:t>
      </w:r>
    </w:p>
    <w:p>
      <w:pPr>
        <w:spacing w:after="160" w:line="300" w:lineRule="auto"/>
      </w:pPr>
      <w:r>
        <w:rPr>
          <w:rFonts w:ascii="Calibri" w:hAnsi="Calibri"/>
          <w:b/>
          <w:color w:val="08365F"/>
        </w:rPr>
        <w:t>Prepared by:</w:t>
      </w:r>
    </w:p>
    <w:p>
      <w:pPr>
        <w:spacing w:after="160" w:line="300" w:lineRule="auto"/>
      </w:pPr>
      <w:r>
        <w:rPr>
          <w:rFonts w:ascii="Calibri" w:hAnsi="Calibri"/>
          <w:b/>
          <w:color w:val="102033"/>
          <w:sz w:val="28"/>
        </w:rPr>
        <w:t>Sky High Tech</w:t>
      </w:r>
    </w:p>
    <w:p>
      <w:pPr>
        <w:spacing w:after="160" w:line="300" w:lineRule="auto"/>
      </w:pPr>
      <w:r>
        <w:rPr>
          <w:rFonts w:ascii="Calibri" w:hAnsi="Calibri"/>
          <w:b/>
          <w:color w:val="C9972B"/>
        </w:rPr>
        <w:t>Technology Made Simple</w:t>
      </w:r>
    </w:p>
    <w:p>
      <w:pPr>
        <w:spacing w:after="160" w:line="300" w:lineRule="auto"/>
      </w:pPr>
      <w:r>
        <w:rPr>
          <w:rFonts w:ascii="Calibri" w:hAnsi="Calibri"/>
          <w:b/>
          <w:color w:val="0B4F8A"/>
        </w:rPr>
        <w:t>Building Africa's Digital Future from South Sudan</w:t>
      </w:r>
    </w:p>
    <w:p>
      <w:pPr>
        <w:spacing w:after="160" w:line="300" w:lineRule="auto"/>
      </w:pPr>
      <w:r>
        <w:rPr>
          <w:rFonts w:ascii="Calibri" w:hAnsi="Calibri"/>
          <w:b w:val="0"/>
          <w:color w:val="102033"/>
        </w:rPr>
        <w:t>Email: skyhighttech@gmail.com</w:t>
      </w:r>
    </w:p>
    <w:p/>
    <w:tbl>
      <w:tblPr>
        <w:tblW w:type="auto" w:w="0"/>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70" w:type="dxa"/>
          <w:start w:w="160" w:type="dxa"/>
          <w:bottom w:w="170" w:type="dxa"/>
          <w:end w:w="160" w:type="dxa"/>
        </w:tblCellMar>
      </w:tblPr>
      <w:tblGrid>
        <w:gridCol w:w="4939"/>
        <w:gridCol w:w="4939"/>
      </w:tblGrid>
      <w:tr>
        <w:tc>
          <w:tcPr>
            <w:tcW w:type="dxa" w:w="4939"/>
            <w:vAlign w:val="center"/>
          </w:tcPr>
          <w:p>
            <w:pPr>
              <w:spacing w:after="0" w:line="264" w:lineRule="auto"/>
            </w:pPr>
            <w:r/>
            <w:r>
              <w:rPr>
                <w:rFonts w:ascii="Calibri" w:hAnsi="Calibri"/>
                <w:b/>
                <w:color w:val="08365F"/>
                <w:sz w:val="19"/>
              </w:rPr>
              <w:t>Authorized representative</w:t>
            </w:r>
          </w:p>
        </w:tc>
        <w:tc>
          <w:tcPr>
            <w:tcW w:type="dxa" w:w="4939"/>
            <w:vAlign w:val="center"/>
          </w:tcPr>
          <w:p>
            <w:pPr>
              <w:spacing w:after="0" w:line="264" w:lineRule="auto"/>
            </w:pPr>
            <w:r/>
            <w:r>
              <w:rPr>
                <w:rFonts w:ascii="Calibri" w:hAnsi="Calibri"/>
                <w:b/>
                <w:color w:val="08365F"/>
                <w:sz w:val="19"/>
              </w:rPr>
              <w:t>Institution representative</w:t>
            </w:r>
          </w:p>
        </w:tc>
      </w:tr>
      <w:tr>
        <w:tc>
          <w:tcPr>
            <w:tcW w:type="dxa" w:w="4939"/>
            <w:vAlign w:val="center"/>
          </w:tcPr>
          <w:p>
            <w:pPr>
              <w:spacing w:after="0" w:line="264" w:lineRule="auto"/>
            </w:pPr>
            <w:r/>
            <w:r>
              <w:rPr>
                <w:rFonts w:ascii="Calibri" w:hAnsi="Calibri"/>
                <w:b w:val="0"/>
                <w:color w:val="5D6B7A"/>
                <w:sz w:val="19"/>
              </w:rPr>
              <w:t>Name / Signature / Date</w:t>
            </w:r>
          </w:p>
        </w:tc>
        <w:tc>
          <w:tcPr>
            <w:tcW w:type="dxa" w:w="4939"/>
            <w:vAlign w:val="center"/>
          </w:tcPr>
          <w:p>
            <w:pPr>
              <w:spacing w:after="0" w:line="264" w:lineRule="auto"/>
            </w:pPr>
            <w:r/>
            <w:r>
              <w:rPr>
                <w:rFonts w:ascii="Calibri" w:hAnsi="Calibri"/>
                <w:b w:val="0"/>
                <w:color w:val="5D6B7A"/>
                <w:sz w:val="19"/>
              </w:rPr>
              <w:t>Name / Signature / Date</w:t>
            </w:r>
          </w:p>
        </w:tc>
      </w:tr>
    </w:tbl>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D6B7A"/>
        <w:sz w:val="17"/>
      </w:rPr>
      <w:t>Technology Made Simple  |  Building Africa's Digital Future from South Sudan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D6B7A"/>
        <w:sz w:val="17"/>
      </w:rPr>
      <w:t>Sky High Tech / UniPortal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0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4F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4F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836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