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A665C" w14:textId="77777777" w:rsidR="00C8562A" w:rsidRPr="00C8562A" w:rsidRDefault="00C8562A" w:rsidP="00C8562A">
      <w:pPr>
        <w:tabs>
          <w:tab w:val="left" w:pos="1620"/>
          <w:tab w:val="left" w:pos="8640"/>
          <w:tab w:val="left" w:pos="8820"/>
          <w:tab w:val="left" w:pos="9180"/>
        </w:tabs>
        <w:rPr>
          <w:b/>
          <w:bCs/>
          <w:color w:val="000000"/>
          <w:sz w:val="20"/>
          <w:szCs w:val="20"/>
          <w:lang w:val="en-GB" w:eastAsia="fr-FR"/>
        </w:rPr>
      </w:pPr>
      <w:r w:rsidRPr="00C8562A">
        <w:rPr>
          <w:b/>
          <w:bCs/>
          <w:color w:val="000000"/>
          <w:sz w:val="20"/>
          <w:szCs w:val="20"/>
          <w:lang w:val="en-GB" w:eastAsia="fr-FR"/>
        </w:rPr>
        <w:t>Second regular session 2017</w:t>
      </w:r>
    </w:p>
    <w:p w14:paraId="58A5B322" w14:textId="77777777" w:rsidR="00C8562A" w:rsidRPr="00C8562A" w:rsidRDefault="00C8562A" w:rsidP="00C8562A">
      <w:pPr>
        <w:tabs>
          <w:tab w:val="left" w:pos="1620"/>
        </w:tabs>
        <w:rPr>
          <w:bCs/>
          <w:color w:val="000000"/>
          <w:sz w:val="20"/>
          <w:szCs w:val="20"/>
          <w:lang w:val="en-GB" w:eastAsia="fr-FR"/>
        </w:rPr>
      </w:pPr>
      <w:r w:rsidRPr="00C8562A">
        <w:rPr>
          <w:bCs/>
          <w:color w:val="000000"/>
          <w:sz w:val="20"/>
          <w:szCs w:val="20"/>
          <w:lang w:val="en-GB" w:eastAsia="fr-FR"/>
        </w:rPr>
        <w:t>5 - 11 September 2017, New York</w:t>
      </w:r>
    </w:p>
    <w:p w14:paraId="67D605C7" w14:textId="46DDF5A6" w:rsidR="00C8562A" w:rsidRPr="00C8562A" w:rsidRDefault="00C8562A" w:rsidP="00C8562A">
      <w:pPr>
        <w:tabs>
          <w:tab w:val="left" w:pos="1620"/>
        </w:tabs>
        <w:rPr>
          <w:bCs/>
          <w:color w:val="000000"/>
          <w:sz w:val="20"/>
          <w:szCs w:val="20"/>
          <w:lang w:val="en-GB" w:eastAsia="fr-FR"/>
        </w:rPr>
      </w:pPr>
      <w:r w:rsidRPr="00C8562A">
        <w:rPr>
          <w:bCs/>
          <w:color w:val="000000"/>
          <w:sz w:val="20"/>
          <w:szCs w:val="20"/>
          <w:lang w:val="en-GB" w:eastAsia="fr-FR"/>
        </w:rPr>
        <w:t xml:space="preserve">Item </w:t>
      </w:r>
      <w:r w:rsidR="00C007FE">
        <w:rPr>
          <w:bCs/>
          <w:color w:val="000000"/>
          <w:sz w:val="20"/>
          <w:szCs w:val="20"/>
          <w:lang w:val="en-GB" w:eastAsia="fr-FR"/>
        </w:rPr>
        <w:t xml:space="preserve">6 </w:t>
      </w:r>
      <w:r w:rsidRPr="00C8562A">
        <w:rPr>
          <w:bCs/>
          <w:color w:val="000000"/>
          <w:sz w:val="20"/>
          <w:szCs w:val="20"/>
          <w:lang w:val="en-GB" w:eastAsia="fr-FR"/>
        </w:rPr>
        <w:t>of the provisional agenda</w:t>
      </w:r>
    </w:p>
    <w:p w14:paraId="18A888C0" w14:textId="77777777" w:rsidR="00C8562A" w:rsidRPr="00C8562A" w:rsidRDefault="00C8562A" w:rsidP="00C8562A">
      <w:pPr>
        <w:tabs>
          <w:tab w:val="left" w:pos="1620"/>
        </w:tabs>
        <w:rPr>
          <w:b/>
          <w:bCs/>
          <w:color w:val="000000"/>
          <w:sz w:val="20"/>
          <w:szCs w:val="20"/>
          <w:lang w:val="en-GB" w:eastAsia="fr-FR"/>
        </w:rPr>
      </w:pPr>
      <w:r w:rsidRPr="00C8562A">
        <w:rPr>
          <w:b/>
          <w:bCs/>
          <w:color w:val="000000"/>
          <w:sz w:val="20"/>
          <w:szCs w:val="20"/>
          <w:lang w:val="en-GB" w:eastAsia="fr-FR"/>
        </w:rPr>
        <w:t>Country programmes and related matters</w:t>
      </w:r>
    </w:p>
    <w:p w14:paraId="1492DEFB" w14:textId="77777777" w:rsidR="00C8562A" w:rsidRPr="00C8562A" w:rsidRDefault="00C8562A" w:rsidP="00C8562A">
      <w:pPr>
        <w:tabs>
          <w:tab w:val="left" w:pos="1620"/>
        </w:tabs>
        <w:rPr>
          <w:b/>
          <w:color w:val="000000"/>
          <w:sz w:val="28"/>
          <w:szCs w:val="28"/>
          <w:lang w:val="en-GB" w:eastAsia="fr-FR"/>
        </w:rPr>
      </w:pPr>
    </w:p>
    <w:p w14:paraId="6181039F" w14:textId="77777777" w:rsidR="00C8562A" w:rsidRPr="00E83C8A" w:rsidRDefault="00C8562A" w:rsidP="00C8562A">
      <w:pPr>
        <w:tabs>
          <w:tab w:val="left" w:pos="1620"/>
        </w:tabs>
        <w:ind w:right="-360"/>
        <w:rPr>
          <w:bCs/>
          <w:color w:val="000000"/>
          <w:sz w:val="20"/>
          <w:szCs w:val="20"/>
          <w:lang w:val="en-GB" w:eastAsia="fr-FR"/>
        </w:rPr>
      </w:pPr>
    </w:p>
    <w:p w14:paraId="2D74CCB2" w14:textId="77777777" w:rsidR="00E83C8A" w:rsidRPr="00C8562A" w:rsidRDefault="00E83C8A" w:rsidP="00C8562A">
      <w:pPr>
        <w:tabs>
          <w:tab w:val="left" w:pos="1620"/>
        </w:tabs>
        <w:ind w:right="-360"/>
        <w:rPr>
          <w:bCs/>
          <w:color w:val="000000"/>
          <w:sz w:val="20"/>
          <w:szCs w:val="20"/>
          <w:lang w:val="en-GB" w:eastAsia="fr-FR"/>
        </w:rPr>
      </w:pPr>
    </w:p>
    <w:p w14:paraId="74DD8BA6" w14:textId="77777777" w:rsidR="00C8562A" w:rsidRDefault="00C8562A" w:rsidP="00C8562A">
      <w:pPr>
        <w:tabs>
          <w:tab w:val="left" w:pos="1620"/>
        </w:tabs>
        <w:ind w:right="-360"/>
        <w:rPr>
          <w:b/>
          <w:bCs/>
          <w:color w:val="000000"/>
          <w:sz w:val="32"/>
          <w:szCs w:val="32"/>
          <w:lang w:val="en-GB" w:eastAsia="fr-FR"/>
        </w:rPr>
      </w:pPr>
      <w:bookmarkStart w:id="0" w:name="_GoBack"/>
      <w:r w:rsidRPr="00C8562A">
        <w:rPr>
          <w:b/>
          <w:bCs/>
          <w:color w:val="000000"/>
          <w:sz w:val="32"/>
          <w:szCs w:val="32"/>
          <w:lang w:val="en-GB" w:eastAsia="fr-FR"/>
        </w:rPr>
        <w:t xml:space="preserve">Draft country programme document for </w:t>
      </w:r>
      <w:r>
        <w:rPr>
          <w:b/>
          <w:bCs/>
          <w:color w:val="000000"/>
          <w:sz w:val="32"/>
          <w:szCs w:val="32"/>
          <w:lang w:val="en-GB" w:eastAsia="fr-FR"/>
        </w:rPr>
        <w:t>the Central African Republic</w:t>
      </w:r>
      <w:r w:rsidRPr="00C8562A">
        <w:rPr>
          <w:b/>
          <w:bCs/>
          <w:color w:val="000000"/>
          <w:sz w:val="32"/>
          <w:szCs w:val="32"/>
          <w:lang w:val="en-GB" w:eastAsia="fr-FR"/>
        </w:rPr>
        <w:t xml:space="preserve"> (2018-202</w:t>
      </w:r>
      <w:r>
        <w:rPr>
          <w:b/>
          <w:bCs/>
          <w:color w:val="000000"/>
          <w:sz w:val="32"/>
          <w:szCs w:val="32"/>
          <w:lang w:val="en-GB" w:eastAsia="fr-FR"/>
        </w:rPr>
        <w:t>1</w:t>
      </w:r>
      <w:r w:rsidRPr="00C8562A">
        <w:rPr>
          <w:b/>
          <w:bCs/>
          <w:color w:val="000000"/>
          <w:sz w:val="32"/>
          <w:szCs w:val="32"/>
          <w:lang w:val="en-GB" w:eastAsia="fr-FR"/>
        </w:rPr>
        <w:t>)</w:t>
      </w:r>
    </w:p>
    <w:bookmarkEnd w:id="0"/>
    <w:p w14:paraId="724347FA" w14:textId="77777777" w:rsidR="00C8562A" w:rsidRPr="00C8562A" w:rsidRDefault="00C8562A" w:rsidP="00C8562A">
      <w:pPr>
        <w:tabs>
          <w:tab w:val="left" w:pos="1620"/>
        </w:tabs>
        <w:ind w:right="-360"/>
        <w:rPr>
          <w:b/>
          <w:color w:val="000000"/>
          <w:sz w:val="32"/>
          <w:szCs w:val="32"/>
          <w:lang w:val="en-GB" w:eastAsia="fr-FR"/>
        </w:rPr>
      </w:pPr>
    </w:p>
    <w:p w14:paraId="1A2D3896" w14:textId="77777777" w:rsidR="00C8562A" w:rsidRPr="00C8562A" w:rsidRDefault="00C8562A" w:rsidP="00C8562A">
      <w:pPr>
        <w:tabs>
          <w:tab w:val="left" w:pos="1620"/>
        </w:tabs>
        <w:ind w:left="-720" w:right="328"/>
        <w:rPr>
          <w:color w:val="000000"/>
          <w:sz w:val="20"/>
          <w:szCs w:val="20"/>
          <w:lang w:val="en-GB" w:eastAsia="fr-FR"/>
        </w:rPr>
      </w:pPr>
    </w:p>
    <w:p w14:paraId="53E08238" w14:textId="77777777" w:rsidR="00C8562A" w:rsidRPr="00C8562A" w:rsidRDefault="00C8562A" w:rsidP="00C8562A">
      <w:pPr>
        <w:keepNext/>
        <w:keepLines/>
        <w:tabs>
          <w:tab w:val="right" w:pos="1022"/>
          <w:tab w:val="left" w:pos="1267"/>
          <w:tab w:val="left" w:pos="1620"/>
          <w:tab w:val="left" w:pos="2218"/>
          <w:tab w:val="left" w:pos="2693"/>
          <w:tab w:val="left" w:pos="3182"/>
          <w:tab w:val="left" w:pos="3658"/>
          <w:tab w:val="left" w:pos="4133"/>
          <w:tab w:val="left" w:pos="4622"/>
          <w:tab w:val="left" w:pos="5098"/>
          <w:tab w:val="left" w:pos="5573"/>
          <w:tab w:val="left" w:pos="6048"/>
        </w:tabs>
        <w:suppressAutoHyphens/>
        <w:spacing w:after="120" w:line="300" w:lineRule="exact"/>
        <w:ind w:right="328"/>
        <w:outlineLvl w:val="0"/>
        <w:rPr>
          <w:color w:val="000000"/>
          <w:spacing w:val="-2"/>
          <w:w w:val="103"/>
          <w:kern w:val="14"/>
          <w:sz w:val="28"/>
          <w:szCs w:val="20"/>
          <w:lang w:val="en-GB" w:eastAsia="fr-FR"/>
        </w:rPr>
      </w:pPr>
      <w:r w:rsidRPr="00C8562A">
        <w:rPr>
          <w:color w:val="000000"/>
          <w:kern w:val="14"/>
          <w:sz w:val="28"/>
          <w:szCs w:val="20"/>
          <w:lang w:val="en-GB" w:eastAsia="fr-FR"/>
        </w:rPr>
        <w:t>Contents</w:t>
      </w:r>
    </w:p>
    <w:p w14:paraId="66F0933B" w14:textId="77777777" w:rsidR="00C8562A" w:rsidRPr="00C8562A" w:rsidRDefault="00C8562A" w:rsidP="00C8562A">
      <w:pPr>
        <w:tabs>
          <w:tab w:val="left" w:pos="1620"/>
        </w:tabs>
        <w:rPr>
          <w:color w:val="000000"/>
          <w:sz w:val="20"/>
          <w:szCs w:val="20"/>
          <w:lang w:val="en-GB" w:eastAsia="fr-FR"/>
        </w:rPr>
      </w:pPr>
    </w:p>
    <w:tbl>
      <w:tblPr>
        <w:tblpPr w:leftFromText="180" w:rightFromText="180" w:vertAnchor="text" w:horzAnchor="margin" w:tblpXSpec="center" w:tblpY="68"/>
        <w:tblOverlap w:val="never"/>
        <w:tblW w:w="9902" w:type="dxa"/>
        <w:tblLayout w:type="fixed"/>
        <w:tblCellMar>
          <w:left w:w="0" w:type="dxa"/>
          <w:right w:w="0" w:type="dxa"/>
        </w:tblCellMar>
        <w:tblLook w:val="0000" w:firstRow="0" w:lastRow="0" w:firstColumn="0" w:lastColumn="0" w:noHBand="0" w:noVBand="0"/>
      </w:tblPr>
      <w:tblGrid>
        <w:gridCol w:w="1060"/>
        <w:gridCol w:w="8309"/>
        <w:gridCol w:w="171"/>
        <w:gridCol w:w="362"/>
      </w:tblGrid>
      <w:tr w:rsidR="00C8562A" w:rsidRPr="00C8562A" w14:paraId="49310A47" w14:textId="77777777" w:rsidTr="002D4581">
        <w:tc>
          <w:tcPr>
            <w:tcW w:w="1060" w:type="dxa"/>
            <w:shd w:val="clear" w:color="auto" w:fill="auto"/>
          </w:tcPr>
          <w:p w14:paraId="364D260F" w14:textId="77777777" w:rsidR="00C8562A" w:rsidRPr="00C8562A" w:rsidRDefault="00C8562A" w:rsidP="00C8562A">
            <w:pPr>
              <w:tabs>
                <w:tab w:val="left" w:pos="1620"/>
              </w:tabs>
              <w:suppressAutoHyphens/>
              <w:spacing w:after="120"/>
              <w:jc w:val="right"/>
              <w:rPr>
                <w:i/>
                <w:color w:val="000000"/>
                <w:spacing w:val="4"/>
                <w:w w:val="103"/>
                <w:kern w:val="14"/>
                <w:sz w:val="14"/>
                <w:szCs w:val="20"/>
                <w:lang w:val="en-GB" w:eastAsia="fr-FR"/>
              </w:rPr>
            </w:pPr>
          </w:p>
        </w:tc>
        <w:tc>
          <w:tcPr>
            <w:tcW w:w="8480" w:type="dxa"/>
            <w:gridSpan w:val="2"/>
            <w:shd w:val="clear" w:color="auto" w:fill="auto"/>
          </w:tcPr>
          <w:p w14:paraId="48B9EF4E" w14:textId="77777777" w:rsidR="00C8562A" w:rsidRPr="00C8562A" w:rsidRDefault="00C8562A" w:rsidP="00C8562A">
            <w:pPr>
              <w:tabs>
                <w:tab w:val="left" w:pos="1620"/>
              </w:tabs>
              <w:suppressAutoHyphens/>
              <w:spacing w:after="120"/>
              <w:rPr>
                <w:i/>
                <w:color w:val="000000"/>
                <w:spacing w:val="4"/>
                <w:w w:val="103"/>
                <w:kern w:val="14"/>
                <w:sz w:val="14"/>
                <w:szCs w:val="20"/>
                <w:lang w:val="en-GB" w:eastAsia="fr-FR"/>
              </w:rPr>
            </w:pPr>
          </w:p>
        </w:tc>
        <w:tc>
          <w:tcPr>
            <w:tcW w:w="362" w:type="dxa"/>
            <w:shd w:val="clear" w:color="auto" w:fill="auto"/>
          </w:tcPr>
          <w:p w14:paraId="201E65B8" w14:textId="77777777" w:rsidR="00C8562A" w:rsidRPr="00C8562A" w:rsidRDefault="00C8562A" w:rsidP="00C8562A">
            <w:pPr>
              <w:tabs>
                <w:tab w:val="left" w:pos="1620"/>
              </w:tabs>
              <w:suppressAutoHyphens/>
              <w:spacing w:after="120"/>
              <w:jc w:val="right"/>
              <w:rPr>
                <w:i/>
                <w:color w:val="000000"/>
                <w:spacing w:val="4"/>
                <w:w w:val="103"/>
                <w:kern w:val="14"/>
                <w:sz w:val="14"/>
                <w:szCs w:val="20"/>
                <w:lang w:val="en-GB" w:eastAsia="fr-FR"/>
              </w:rPr>
            </w:pPr>
            <w:r w:rsidRPr="00C8562A">
              <w:rPr>
                <w:i/>
                <w:iCs/>
                <w:color w:val="000000"/>
                <w:kern w:val="14"/>
                <w:sz w:val="14"/>
                <w:szCs w:val="20"/>
                <w:lang w:val="en-GB" w:eastAsia="fr-FR"/>
              </w:rPr>
              <w:t>Page</w:t>
            </w:r>
          </w:p>
        </w:tc>
      </w:tr>
      <w:tr w:rsidR="00C8562A" w:rsidRPr="00C8562A" w14:paraId="650ACEBD" w14:textId="77777777" w:rsidTr="002D4581">
        <w:tc>
          <w:tcPr>
            <w:tcW w:w="9540" w:type="dxa"/>
            <w:gridSpan w:val="3"/>
            <w:shd w:val="clear" w:color="auto" w:fill="auto"/>
          </w:tcPr>
          <w:p w14:paraId="796415BD" w14:textId="77777777" w:rsidR="00C8562A" w:rsidRPr="00C8562A" w:rsidRDefault="00C8562A" w:rsidP="00C8562A">
            <w:pPr>
              <w:numPr>
                <w:ilvl w:val="0"/>
                <w:numId w:val="34"/>
              </w:numPr>
              <w:tabs>
                <w:tab w:val="right" w:pos="1080"/>
                <w:tab w:val="left" w:pos="1296"/>
                <w:tab w:val="left" w:pos="1620"/>
                <w:tab w:val="left" w:pos="2160"/>
                <w:tab w:val="left" w:pos="2592"/>
                <w:tab w:val="right" w:leader="dot" w:pos="9090"/>
              </w:tabs>
              <w:suppressAutoHyphens/>
              <w:spacing w:after="120" w:line="240" w:lineRule="exact"/>
              <w:jc w:val="both"/>
              <w:rPr>
                <w:color w:val="000000"/>
                <w:spacing w:val="4"/>
                <w:w w:val="103"/>
                <w:kern w:val="14"/>
                <w:sz w:val="20"/>
                <w:szCs w:val="20"/>
                <w:lang w:val="en-GB" w:eastAsia="fr-FR"/>
              </w:rPr>
            </w:pPr>
            <w:r w:rsidRPr="00C8562A">
              <w:rPr>
                <w:color w:val="000000"/>
                <w:kern w:val="14"/>
                <w:sz w:val="20"/>
                <w:szCs w:val="20"/>
                <w:lang w:val="en-GB" w:eastAsia="fr-FR"/>
              </w:rPr>
              <w:tab/>
              <w:t>Programme rationale</w:t>
            </w:r>
            <w:r w:rsidRPr="00C8562A">
              <w:rPr>
                <w:color w:val="000000"/>
                <w:lang w:val="en-GB" w:eastAsia="fr-FR"/>
              </w:rPr>
              <w:tab/>
            </w:r>
          </w:p>
        </w:tc>
        <w:tc>
          <w:tcPr>
            <w:tcW w:w="362" w:type="dxa"/>
            <w:vMerge w:val="restart"/>
            <w:shd w:val="clear" w:color="auto" w:fill="auto"/>
            <w:vAlign w:val="bottom"/>
          </w:tcPr>
          <w:p w14:paraId="0FA2EC99" w14:textId="77777777" w:rsidR="00C8562A" w:rsidRPr="00C8562A" w:rsidRDefault="00C8562A" w:rsidP="00C8562A">
            <w:pPr>
              <w:tabs>
                <w:tab w:val="left" w:pos="1620"/>
              </w:tabs>
              <w:suppressAutoHyphens/>
              <w:spacing w:after="120" w:line="240" w:lineRule="exact"/>
              <w:jc w:val="right"/>
              <w:rPr>
                <w:color w:val="000000"/>
                <w:spacing w:val="4"/>
                <w:w w:val="103"/>
                <w:kern w:val="14"/>
                <w:sz w:val="20"/>
                <w:szCs w:val="20"/>
                <w:lang w:val="en-GB" w:eastAsia="fr-FR"/>
              </w:rPr>
            </w:pPr>
            <w:r w:rsidRPr="00C8562A">
              <w:rPr>
                <w:color w:val="000000"/>
                <w:kern w:val="14"/>
                <w:sz w:val="20"/>
                <w:szCs w:val="20"/>
                <w:lang w:val="en-GB" w:eastAsia="fr-FR"/>
              </w:rPr>
              <w:t>2</w:t>
            </w:r>
          </w:p>
          <w:p w14:paraId="785B63A6" w14:textId="4CDD3BB5" w:rsidR="00C8562A" w:rsidRPr="00C8562A" w:rsidRDefault="007B2296" w:rsidP="00C8562A">
            <w:pPr>
              <w:tabs>
                <w:tab w:val="left" w:pos="1620"/>
              </w:tabs>
              <w:suppressAutoHyphens/>
              <w:spacing w:after="120" w:line="240" w:lineRule="exact"/>
              <w:jc w:val="right"/>
              <w:rPr>
                <w:color w:val="000000"/>
                <w:spacing w:val="4"/>
                <w:w w:val="103"/>
                <w:kern w:val="14"/>
                <w:sz w:val="20"/>
                <w:szCs w:val="20"/>
                <w:lang w:val="en-GB" w:eastAsia="fr-FR"/>
              </w:rPr>
            </w:pPr>
            <w:r>
              <w:rPr>
                <w:color w:val="000000"/>
                <w:kern w:val="14"/>
                <w:sz w:val="20"/>
                <w:szCs w:val="20"/>
                <w:lang w:val="en-GB" w:eastAsia="fr-FR"/>
              </w:rPr>
              <w:t>5</w:t>
            </w:r>
          </w:p>
        </w:tc>
      </w:tr>
      <w:tr w:rsidR="00C8562A" w:rsidRPr="00C8562A" w14:paraId="5A932D32" w14:textId="77777777" w:rsidTr="002D4581">
        <w:tc>
          <w:tcPr>
            <w:tcW w:w="9540" w:type="dxa"/>
            <w:gridSpan w:val="3"/>
            <w:shd w:val="clear" w:color="auto" w:fill="auto"/>
          </w:tcPr>
          <w:p w14:paraId="6AAA172D" w14:textId="77777777" w:rsidR="00C8562A" w:rsidRPr="00C8562A" w:rsidRDefault="00C8562A" w:rsidP="00C8562A">
            <w:pPr>
              <w:numPr>
                <w:ilvl w:val="0"/>
                <w:numId w:val="34"/>
              </w:numPr>
              <w:tabs>
                <w:tab w:val="right" w:pos="1080"/>
                <w:tab w:val="left" w:pos="1296"/>
                <w:tab w:val="left" w:pos="1620"/>
                <w:tab w:val="left" w:pos="2160"/>
                <w:tab w:val="left" w:pos="2592"/>
                <w:tab w:val="left" w:pos="3024"/>
                <w:tab w:val="left" w:pos="3456"/>
                <w:tab w:val="left" w:pos="3888"/>
                <w:tab w:val="left" w:pos="4320"/>
                <w:tab w:val="left" w:pos="8220"/>
                <w:tab w:val="right" w:leader="dot" w:pos="9090"/>
              </w:tabs>
              <w:suppressAutoHyphens/>
              <w:spacing w:after="120" w:line="240" w:lineRule="exact"/>
              <w:jc w:val="both"/>
              <w:rPr>
                <w:color w:val="000000"/>
                <w:spacing w:val="4"/>
                <w:w w:val="103"/>
                <w:kern w:val="14"/>
                <w:sz w:val="20"/>
                <w:szCs w:val="20"/>
                <w:lang w:val="en-GB" w:eastAsia="fr-FR"/>
              </w:rPr>
            </w:pPr>
            <w:r w:rsidRPr="00C8562A">
              <w:rPr>
                <w:color w:val="000000"/>
                <w:kern w:val="14"/>
                <w:sz w:val="20"/>
                <w:szCs w:val="20"/>
                <w:lang w:val="en-GB" w:eastAsia="fr-FR"/>
              </w:rPr>
              <w:tab/>
              <w:t>Programme priorities and partnerships………………………………………………….</w:t>
            </w:r>
            <w:r w:rsidRPr="00C8562A">
              <w:rPr>
                <w:color w:val="000000"/>
                <w:kern w:val="14"/>
                <w:sz w:val="17"/>
                <w:szCs w:val="20"/>
                <w:lang w:val="en-GB" w:eastAsia="fr-FR"/>
              </w:rPr>
              <w:tab/>
            </w:r>
            <w:r w:rsidRPr="00C8562A">
              <w:rPr>
                <w:color w:val="000000"/>
                <w:kern w:val="14"/>
                <w:sz w:val="20"/>
                <w:szCs w:val="20"/>
                <w:lang w:val="en-GB" w:eastAsia="fr-FR"/>
              </w:rPr>
              <w:t>……….…</w:t>
            </w:r>
          </w:p>
        </w:tc>
        <w:tc>
          <w:tcPr>
            <w:tcW w:w="362" w:type="dxa"/>
            <w:vMerge/>
            <w:shd w:val="clear" w:color="auto" w:fill="auto"/>
            <w:vAlign w:val="bottom"/>
          </w:tcPr>
          <w:p w14:paraId="1A48167B" w14:textId="77777777" w:rsidR="00C8562A" w:rsidRPr="00C8562A" w:rsidRDefault="00C8562A" w:rsidP="00C8562A">
            <w:pPr>
              <w:tabs>
                <w:tab w:val="left" w:pos="1620"/>
              </w:tabs>
              <w:suppressAutoHyphens/>
              <w:spacing w:after="120" w:line="240" w:lineRule="exact"/>
              <w:jc w:val="right"/>
              <w:rPr>
                <w:color w:val="000000"/>
                <w:spacing w:val="4"/>
                <w:w w:val="103"/>
                <w:kern w:val="14"/>
                <w:sz w:val="20"/>
                <w:szCs w:val="20"/>
                <w:lang w:val="en-GB" w:eastAsia="fr-FR"/>
              </w:rPr>
            </w:pPr>
          </w:p>
        </w:tc>
      </w:tr>
      <w:tr w:rsidR="00C8562A" w:rsidRPr="00C8562A" w14:paraId="37547160" w14:textId="77777777" w:rsidTr="002D4581">
        <w:tc>
          <w:tcPr>
            <w:tcW w:w="9540" w:type="dxa"/>
            <w:gridSpan w:val="3"/>
            <w:shd w:val="clear" w:color="auto" w:fill="auto"/>
          </w:tcPr>
          <w:p w14:paraId="5B39C010" w14:textId="77777777" w:rsidR="00C8562A" w:rsidRPr="00C8562A" w:rsidRDefault="00C8562A" w:rsidP="00C8562A">
            <w:pPr>
              <w:numPr>
                <w:ilvl w:val="0"/>
                <w:numId w:val="34"/>
              </w:numPr>
              <w:tabs>
                <w:tab w:val="right" w:pos="1080"/>
                <w:tab w:val="left" w:pos="1296"/>
                <w:tab w:val="left" w:pos="1620"/>
                <w:tab w:val="left" w:pos="2160"/>
                <w:tab w:val="left" w:pos="2592"/>
                <w:tab w:val="left" w:pos="3024"/>
                <w:tab w:val="right" w:leader="dot" w:pos="9090"/>
              </w:tabs>
              <w:suppressAutoHyphens/>
              <w:spacing w:after="120" w:line="240" w:lineRule="exact"/>
              <w:jc w:val="both"/>
              <w:rPr>
                <w:color w:val="000000"/>
                <w:spacing w:val="4"/>
                <w:w w:val="103"/>
                <w:kern w:val="14"/>
                <w:sz w:val="20"/>
                <w:szCs w:val="20"/>
                <w:lang w:val="en-GB" w:eastAsia="fr-FR"/>
              </w:rPr>
            </w:pPr>
            <w:r w:rsidRPr="00C8562A">
              <w:rPr>
                <w:color w:val="000000"/>
                <w:kern w:val="14"/>
                <w:sz w:val="20"/>
                <w:szCs w:val="20"/>
                <w:lang w:val="en-GB" w:eastAsia="fr-FR"/>
              </w:rPr>
              <w:tab/>
              <w:t>Programme and risk management</w:t>
            </w:r>
            <w:r w:rsidRPr="00C8562A">
              <w:rPr>
                <w:color w:val="000000"/>
                <w:lang w:val="en-GB" w:eastAsia="fr-FR"/>
              </w:rPr>
              <w:tab/>
            </w:r>
          </w:p>
        </w:tc>
        <w:tc>
          <w:tcPr>
            <w:tcW w:w="362" w:type="dxa"/>
            <w:vMerge w:val="restart"/>
            <w:shd w:val="clear" w:color="auto" w:fill="auto"/>
            <w:vAlign w:val="bottom"/>
          </w:tcPr>
          <w:p w14:paraId="518A0B0A" w14:textId="5E486C7D" w:rsidR="00C8562A" w:rsidRPr="00C8562A" w:rsidRDefault="007B2296" w:rsidP="00C8562A">
            <w:pPr>
              <w:tabs>
                <w:tab w:val="left" w:pos="1620"/>
              </w:tabs>
              <w:suppressAutoHyphens/>
              <w:spacing w:after="120" w:line="240" w:lineRule="exact"/>
              <w:jc w:val="right"/>
              <w:rPr>
                <w:color w:val="000000"/>
                <w:spacing w:val="4"/>
                <w:w w:val="103"/>
                <w:kern w:val="14"/>
                <w:sz w:val="20"/>
                <w:szCs w:val="20"/>
                <w:lang w:val="en-GB" w:eastAsia="fr-FR"/>
              </w:rPr>
            </w:pPr>
            <w:r>
              <w:rPr>
                <w:color w:val="000000"/>
                <w:kern w:val="14"/>
                <w:sz w:val="20"/>
                <w:szCs w:val="20"/>
                <w:lang w:val="en-GB" w:eastAsia="fr-FR"/>
              </w:rPr>
              <w:t>8</w:t>
            </w:r>
          </w:p>
          <w:p w14:paraId="37D667AF" w14:textId="1B76DA2B" w:rsidR="00C8562A" w:rsidRPr="00C8562A" w:rsidRDefault="007B2296" w:rsidP="00C8562A">
            <w:pPr>
              <w:tabs>
                <w:tab w:val="left" w:pos="1620"/>
              </w:tabs>
              <w:suppressAutoHyphens/>
              <w:spacing w:after="120" w:line="240" w:lineRule="exact"/>
              <w:jc w:val="right"/>
              <w:rPr>
                <w:color w:val="000000"/>
                <w:spacing w:val="4"/>
                <w:w w:val="103"/>
                <w:kern w:val="14"/>
                <w:sz w:val="20"/>
                <w:szCs w:val="20"/>
                <w:lang w:val="en-GB" w:eastAsia="fr-FR"/>
              </w:rPr>
            </w:pPr>
            <w:r>
              <w:rPr>
                <w:color w:val="000000"/>
                <w:kern w:val="14"/>
                <w:sz w:val="20"/>
                <w:szCs w:val="20"/>
                <w:lang w:val="en-GB" w:eastAsia="fr-FR"/>
              </w:rPr>
              <w:t>9</w:t>
            </w:r>
          </w:p>
        </w:tc>
      </w:tr>
      <w:tr w:rsidR="00C8562A" w:rsidRPr="00C8562A" w14:paraId="59160063" w14:textId="77777777" w:rsidTr="002D4581">
        <w:tc>
          <w:tcPr>
            <w:tcW w:w="9540" w:type="dxa"/>
            <w:gridSpan w:val="3"/>
            <w:shd w:val="clear" w:color="auto" w:fill="auto"/>
          </w:tcPr>
          <w:p w14:paraId="3D8E50AF" w14:textId="77777777" w:rsidR="00C8562A" w:rsidRPr="00C8562A" w:rsidRDefault="00C8562A" w:rsidP="00C8562A">
            <w:pPr>
              <w:numPr>
                <w:ilvl w:val="0"/>
                <w:numId w:val="34"/>
              </w:numPr>
              <w:tabs>
                <w:tab w:val="right" w:pos="1080"/>
                <w:tab w:val="left" w:pos="1296"/>
                <w:tab w:val="left" w:pos="1620"/>
                <w:tab w:val="left" w:pos="2160"/>
                <w:tab w:val="left" w:pos="2592"/>
                <w:tab w:val="left" w:pos="3024"/>
                <w:tab w:val="left" w:pos="3420"/>
                <w:tab w:val="left" w:pos="3456"/>
                <w:tab w:val="left" w:pos="9090"/>
              </w:tabs>
              <w:suppressAutoHyphens/>
              <w:spacing w:after="120" w:line="240" w:lineRule="exact"/>
              <w:jc w:val="both"/>
              <w:rPr>
                <w:color w:val="000000"/>
                <w:spacing w:val="4"/>
                <w:w w:val="103"/>
                <w:kern w:val="14"/>
                <w:sz w:val="20"/>
                <w:szCs w:val="20"/>
                <w:lang w:val="en-GB" w:eastAsia="fr-FR"/>
              </w:rPr>
            </w:pPr>
            <w:r w:rsidRPr="00C8562A">
              <w:rPr>
                <w:color w:val="000000"/>
                <w:kern w:val="14"/>
                <w:sz w:val="20"/>
                <w:szCs w:val="20"/>
                <w:lang w:val="en-GB" w:eastAsia="fr-FR"/>
              </w:rPr>
              <w:tab/>
              <w:t>Monitoring and evaluation</w:t>
            </w:r>
            <w:r w:rsidRPr="00C8562A">
              <w:rPr>
                <w:color w:val="000000"/>
                <w:lang w:val="en-GB" w:eastAsia="fr-FR"/>
              </w:rPr>
              <w:tab/>
            </w:r>
            <w:r w:rsidRPr="00C8562A">
              <w:rPr>
                <w:color w:val="000000"/>
                <w:sz w:val="20"/>
                <w:szCs w:val="20"/>
                <w:lang w:val="en-GB" w:eastAsia="fr-FR"/>
              </w:rPr>
              <w:t>…………………………………………………….……………………</w:t>
            </w:r>
          </w:p>
        </w:tc>
        <w:tc>
          <w:tcPr>
            <w:tcW w:w="362" w:type="dxa"/>
            <w:vMerge/>
            <w:shd w:val="clear" w:color="auto" w:fill="auto"/>
            <w:vAlign w:val="bottom"/>
          </w:tcPr>
          <w:p w14:paraId="17BA1721" w14:textId="77777777" w:rsidR="00C8562A" w:rsidRPr="00C8562A" w:rsidRDefault="00C8562A" w:rsidP="00C8562A">
            <w:pPr>
              <w:tabs>
                <w:tab w:val="left" w:pos="1620"/>
              </w:tabs>
              <w:suppressAutoHyphens/>
              <w:spacing w:after="120" w:line="240" w:lineRule="exact"/>
              <w:jc w:val="right"/>
              <w:rPr>
                <w:color w:val="000000"/>
                <w:spacing w:val="4"/>
                <w:w w:val="103"/>
                <w:kern w:val="14"/>
                <w:sz w:val="20"/>
                <w:szCs w:val="20"/>
                <w:lang w:val="en-GB" w:eastAsia="fr-FR"/>
              </w:rPr>
            </w:pPr>
          </w:p>
        </w:tc>
      </w:tr>
      <w:tr w:rsidR="00C8562A" w:rsidRPr="00C8562A" w14:paraId="36C0E5B9" w14:textId="77777777" w:rsidTr="002D4581">
        <w:tc>
          <w:tcPr>
            <w:tcW w:w="9369" w:type="dxa"/>
            <w:gridSpan w:val="2"/>
            <w:shd w:val="clear" w:color="auto" w:fill="auto"/>
          </w:tcPr>
          <w:p w14:paraId="3C19C708" w14:textId="77777777" w:rsidR="00C8562A" w:rsidRPr="00C8562A" w:rsidRDefault="00C8562A" w:rsidP="00C8562A">
            <w:pPr>
              <w:tabs>
                <w:tab w:val="right" w:pos="1080"/>
                <w:tab w:val="left" w:pos="1296"/>
                <w:tab w:val="left" w:pos="1620"/>
                <w:tab w:val="right" w:pos="1714"/>
                <w:tab w:val="left" w:pos="2160"/>
                <w:tab w:val="left" w:pos="2592"/>
                <w:tab w:val="left" w:pos="3024"/>
                <w:tab w:val="left" w:pos="3456"/>
              </w:tabs>
              <w:suppressAutoHyphens/>
              <w:spacing w:after="120" w:line="240" w:lineRule="exact"/>
              <w:ind w:left="475"/>
              <w:rPr>
                <w:color w:val="000000"/>
                <w:spacing w:val="4"/>
                <w:w w:val="103"/>
                <w:kern w:val="14"/>
                <w:sz w:val="20"/>
                <w:szCs w:val="20"/>
                <w:lang w:val="en-GB" w:eastAsia="fr-FR"/>
              </w:rPr>
            </w:pPr>
            <w:r w:rsidRPr="00C8562A">
              <w:rPr>
                <w:color w:val="000000"/>
                <w:kern w:val="14"/>
                <w:sz w:val="20"/>
                <w:szCs w:val="20"/>
                <w:lang w:val="en-GB" w:eastAsia="fr-FR"/>
              </w:rPr>
              <w:t xml:space="preserve">     Annex</w:t>
            </w:r>
          </w:p>
        </w:tc>
        <w:tc>
          <w:tcPr>
            <w:tcW w:w="533" w:type="dxa"/>
            <w:gridSpan w:val="2"/>
            <w:shd w:val="clear" w:color="auto" w:fill="auto"/>
            <w:vAlign w:val="bottom"/>
          </w:tcPr>
          <w:p w14:paraId="43F55B6B" w14:textId="77777777" w:rsidR="00C8562A" w:rsidRPr="00C8562A" w:rsidRDefault="00C8562A" w:rsidP="00C8562A">
            <w:pPr>
              <w:tabs>
                <w:tab w:val="left" w:pos="1620"/>
              </w:tabs>
              <w:suppressAutoHyphens/>
              <w:spacing w:after="120" w:line="240" w:lineRule="exact"/>
              <w:jc w:val="right"/>
              <w:rPr>
                <w:color w:val="000000"/>
                <w:spacing w:val="4"/>
                <w:w w:val="103"/>
                <w:kern w:val="14"/>
                <w:sz w:val="20"/>
                <w:szCs w:val="20"/>
                <w:lang w:val="en-GB" w:eastAsia="fr-FR"/>
              </w:rPr>
            </w:pPr>
          </w:p>
        </w:tc>
      </w:tr>
      <w:tr w:rsidR="00C8562A" w:rsidRPr="00C8562A" w14:paraId="561803B6" w14:textId="77777777" w:rsidTr="002D4581">
        <w:tc>
          <w:tcPr>
            <w:tcW w:w="9369" w:type="dxa"/>
            <w:gridSpan w:val="2"/>
            <w:shd w:val="clear" w:color="auto" w:fill="auto"/>
          </w:tcPr>
          <w:p w14:paraId="2139B97C" w14:textId="77777777" w:rsidR="00C8562A" w:rsidRPr="00C8562A" w:rsidRDefault="00C8562A" w:rsidP="00E83C8A">
            <w:pPr>
              <w:tabs>
                <w:tab w:val="right" w:pos="1080"/>
                <w:tab w:val="left" w:pos="1296"/>
                <w:tab w:val="left" w:pos="1620"/>
                <w:tab w:val="left" w:pos="2160"/>
                <w:tab w:val="left" w:pos="2592"/>
                <w:tab w:val="left" w:pos="3024"/>
                <w:tab w:val="left" w:pos="3456"/>
                <w:tab w:val="left" w:pos="3888"/>
                <w:tab w:val="left" w:pos="4320"/>
                <w:tab w:val="left" w:pos="4752"/>
                <w:tab w:val="left" w:pos="5184"/>
                <w:tab w:val="left" w:pos="5616"/>
                <w:tab w:val="left" w:pos="6048"/>
                <w:tab w:val="left" w:pos="6480"/>
                <w:tab w:val="right" w:leader="dot" w:pos="9360"/>
              </w:tabs>
              <w:suppressAutoHyphens/>
              <w:spacing w:after="120" w:line="240" w:lineRule="exact"/>
              <w:ind w:left="1296"/>
              <w:rPr>
                <w:color w:val="000000"/>
                <w:spacing w:val="60"/>
                <w:w w:val="103"/>
                <w:kern w:val="14"/>
                <w:sz w:val="17"/>
                <w:szCs w:val="20"/>
                <w:lang w:val="en-GB" w:eastAsia="fr-FR"/>
              </w:rPr>
            </w:pPr>
            <w:r w:rsidRPr="00C8562A">
              <w:rPr>
                <w:color w:val="000000"/>
                <w:kern w:val="14"/>
                <w:sz w:val="20"/>
                <w:szCs w:val="20"/>
                <w:lang w:val="en-GB" w:eastAsia="fr-FR"/>
              </w:rPr>
              <w:t xml:space="preserve">Results and resources framework for </w:t>
            </w:r>
            <w:r w:rsidR="00E83C8A">
              <w:rPr>
                <w:color w:val="000000"/>
                <w:kern w:val="14"/>
                <w:sz w:val="20"/>
                <w:szCs w:val="20"/>
                <w:lang w:val="en-GB" w:eastAsia="fr-FR"/>
              </w:rPr>
              <w:t xml:space="preserve">the Central African Republic </w:t>
            </w:r>
            <w:r w:rsidRPr="00C8562A">
              <w:rPr>
                <w:color w:val="000000"/>
                <w:kern w:val="14"/>
                <w:sz w:val="20"/>
                <w:szCs w:val="20"/>
                <w:lang w:val="en-GB" w:eastAsia="fr-FR"/>
              </w:rPr>
              <w:t>(2018-202</w:t>
            </w:r>
            <w:r w:rsidR="00E83C8A">
              <w:rPr>
                <w:color w:val="000000"/>
                <w:kern w:val="14"/>
                <w:sz w:val="20"/>
                <w:szCs w:val="20"/>
                <w:lang w:val="en-GB" w:eastAsia="fr-FR"/>
              </w:rPr>
              <w:t>1</w:t>
            </w:r>
            <w:r w:rsidRPr="00C8562A">
              <w:rPr>
                <w:color w:val="000000"/>
                <w:kern w:val="14"/>
                <w:sz w:val="20"/>
                <w:szCs w:val="20"/>
                <w:lang w:val="en-GB" w:eastAsia="fr-FR"/>
              </w:rPr>
              <w:t>)</w:t>
            </w:r>
            <w:r w:rsidR="00E83C8A">
              <w:rPr>
                <w:color w:val="000000"/>
                <w:kern w:val="14"/>
                <w:sz w:val="20"/>
                <w:szCs w:val="20"/>
                <w:lang w:val="en-GB" w:eastAsia="fr-FR"/>
              </w:rPr>
              <w:t xml:space="preserve"> </w:t>
            </w:r>
            <w:r w:rsidR="00E83C8A">
              <w:rPr>
                <w:color w:val="000000"/>
                <w:sz w:val="20"/>
                <w:szCs w:val="20"/>
                <w:lang w:val="en-GB" w:eastAsia="fr-FR"/>
              </w:rPr>
              <w:t>…………………</w:t>
            </w:r>
          </w:p>
        </w:tc>
        <w:tc>
          <w:tcPr>
            <w:tcW w:w="533" w:type="dxa"/>
            <w:gridSpan w:val="2"/>
            <w:shd w:val="clear" w:color="auto" w:fill="auto"/>
            <w:vAlign w:val="bottom"/>
          </w:tcPr>
          <w:p w14:paraId="3E8D8444" w14:textId="399C6688" w:rsidR="00C8562A" w:rsidRPr="00C8562A" w:rsidRDefault="007B2296" w:rsidP="00C8562A">
            <w:pPr>
              <w:tabs>
                <w:tab w:val="left" w:pos="1620"/>
              </w:tabs>
              <w:suppressAutoHyphens/>
              <w:spacing w:after="120" w:line="240" w:lineRule="exact"/>
              <w:jc w:val="right"/>
              <w:rPr>
                <w:color w:val="000000"/>
                <w:spacing w:val="4"/>
                <w:w w:val="103"/>
                <w:kern w:val="14"/>
                <w:sz w:val="20"/>
                <w:szCs w:val="20"/>
                <w:lang w:val="en-GB" w:eastAsia="fr-FR"/>
              </w:rPr>
            </w:pPr>
            <w:r>
              <w:rPr>
                <w:color w:val="000000"/>
                <w:kern w:val="14"/>
                <w:sz w:val="20"/>
                <w:szCs w:val="20"/>
                <w:lang w:val="en-GB" w:eastAsia="fr-FR"/>
              </w:rPr>
              <w:t>10</w:t>
            </w:r>
          </w:p>
        </w:tc>
      </w:tr>
    </w:tbl>
    <w:p w14:paraId="7253433E" w14:textId="77777777" w:rsidR="00785474" w:rsidRPr="006C6258" w:rsidRDefault="00785474" w:rsidP="00D63B91">
      <w:pPr>
        <w:rPr>
          <w:sz w:val="20"/>
          <w:szCs w:val="20"/>
        </w:rPr>
      </w:pPr>
    </w:p>
    <w:p w14:paraId="7F479176" w14:textId="77777777" w:rsidR="00F122E2" w:rsidRPr="00CE68BD" w:rsidRDefault="00785474" w:rsidP="00CE68BD">
      <w:pPr>
        <w:pStyle w:val="Heading2"/>
        <w:numPr>
          <w:ilvl w:val="0"/>
          <w:numId w:val="35"/>
        </w:numPr>
        <w:spacing w:after="120"/>
        <w:ind w:left="1440" w:right="1210" w:hanging="450"/>
        <w:jc w:val="both"/>
        <w:rPr>
          <w:rFonts w:ascii="Times New Roman" w:hAnsi="Times New Roman"/>
          <w:bCs/>
          <w:color w:val="000000"/>
          <w:sz w:val="24"/>
        </w:rPr>
      </w:pPr>
      <w:r w:rsidRPr="006C6258">
        <w:rPr>
          <w:sz w:val="20"/>
          <w:szCs w:val="20"/>
        </w:rPr>
        <w:br w:type="page"/>
      </w:r>
      <w:r w:rsidR="00CE68BD">
        <w:rPr>
          <w:rFonts w:ascii="Times New Roman" w:hAnsi="Times New Roman"/>
          <w:bCs/>
          <w:color w:val="000000"/>
          <w:sz w:val="24"/>
        </w:rPr>
        <w:lastRenderedPageBreak/>
        <w:t>Programme r</w:t>
      </w:r>
      <w:r w:rsidR="0059112A" w:rsidRPr="00CE68BD">
        <w:rPr>
          <w:rFonts w:ascii="Times New Roman" w:hAnsi="Times New Roman"/>
          <w:bCs/>
          <w:color w:val="000000"/>
          <w:sz w:val="24"/>
        </w:rPr>
        <w:t>ationale</w:t>
      </w:r>
      <w:r w:rsidR="00A113D7" w:rsidRPr="00CE68BD">
        <w:rPr>
          <w:rFonts w:ascii="Times New Roman" w:hAnsi="Times New Roman"/>
          <w:bCs/>
          <w:color w:val="000000"/>
          <w:sz w:val="24"/>
        </w:rPr>
        <w:t xml:space="preserve"> </w:t>
      </w:r>
    </w:p>
    <w:p w14:paraId="77A46A74" w14:textId="60609E80" w:rsidR="0046288F" w:rsidRDefault="002C6B53" w:rsidP="009C21AB">
      <w:pPr>
        <w:pStyle w:val="ListParagraph"/>
        <w:numPr>
          <w:ilvl w:val="0"/>
          <w:numId w:val="13"/>
        </w:numPr>
        <w:tabs>
          <w:tab w:val="clear" w:pos="624"/>
          <w:tab w:val="num" w:pos="1418"/>
          <w:tab w:val="left" w:pos="1710"/>
        </w:tabs>
        <w:spacing w:after="120"/>
        <w:ind w:left="1418" w:right="1210" w:firstLine="0"/>
        <w:jc w:val="both"/>
        <w:rPr>
          <w:sz w:val="20"/>
          <w:szCs w:val="20"/>
        </w:rPr>
      </w:pPr>
      <w:r>
        <w:rPr>
          <w:sz w:val="20"/>
          <w:szCs w:val="20"/>
        </w:rPr>
        <w:t>The Central African Republic is</w:t>
      </w:r>
      <w:r w:rsidR="00531982">
        <w:rPr>
          <w:sz w:val="20"/>
          <w:szCs w:val="20"/>
        </w:rPr>
        <w:t xml:space="preserve"> ranked the poorest country</w:t>
      </w:r>
      <w:r>
        <w:rPr>
          <w:sz w:val="20"/>
          <w:szCs w:val="20"/>
        </w:rPr>
        <w:t xml:space="preserve"> in the world</w:t>
      </w:r>
      <w:r w:rsidR="00023057">
        <w:rPr>
          <w:sz w:val="20"/>
          <w:szCs w:val="20"/>
        </w:rPr>
        <w:t>.</w:t>
      </w:r>
      <w:r w:rsidR="00360C28">
        <w:rPr>
          <w:rStyle w:val="FootnoteReference"/>
          <w:sz w:val="20"/>
          <w:szCs w:val="20"/>
        </w:rPr>
        <w:footnoteReference w:id="1"/>
      </w:r>
      <w:r w:rsidR="00531982">
        <w:rPr>
          <w:sz w:val="20"/>
          <w:szCs w:val="20"/>
        </w:rPr>
        <w:t xml:space="preserve"> </w:t>
      </w:r>
      <w:r w:rsidR="006C786D">
        <w:rPr>
          <w:sz w:val="20"/>
          <w:szCs w:val="20"/>
        </w:rPr>
        <w:t>The country</w:t>
      </w:r>
      <w:r w:rsidR="006C786D" w:rsidRPr="0086080F">
        <w:rPr>
          <w:sz w:val="20"/>
          <w:szCs w:val="20"/>
        </w:rPr>
        <w:t xml:space="preserve"> is emerging from an unprecedented security and humanitarian cris</w:t>
      </w:r>
      <w:r w:rsidR="004C711E">
        <w:rPr>
          <w:sz w:val="20"/>
          <w:szCs w:val="20"/>
        </w:rPr>
        <w:t>i</w:t>
      </w:r>
      <w:r w:rsidR="006C786D" w:rsidRPr="0086080F">
        <w:rPr>
          <w:sz w:val="20"/>
          <w:szCs w:val="20"/>
        </w:rPr>
        <w:t xml:space="preserve">s </w:t>
      </w:r>
      <w:r w:rsidR="006C786D">
        <w:rPr>
          <w:sz w:val="20"/>
          <w:szCs w:val="20"/>
        </w:rPr>
        <w:t>due to</w:t>
      </w:r>
      <w:r w:rsidR="006C786D" w:rsidRPr="0086080F">
        <w:rPr>
          <w:sz w:val="20"/>
          <w:szCs w:val="20"/>
        </w:rPr>
        <w:t xml:space="preserve"> the hostile </w:t>
      </w:r>
      <w:r w:rsidR="006C786D">
        <w:rPr>
          <w:sz w:val="20"/>
          <w:szCs w:val="20"/>
        </w:rPr>
        <w:t>takeover</w:t>
      </w:r>
      <w:r w:rsidR="006C786D" w:rsidRPr="0086080F">
        <w:rPr>
          <w:sz w:val="20"/>
          <w:szCs w:val="20"/>
        </w:rPr>
        <w:t xml:space="preserve"> of the </w:t>
      </w:r>
      <w:r w:rsidR="006C786D">
        <w:rPr>
          <w:sz w:val="20"/>
          <w:szCs w:val="20"/>
        </w:rPr>
        <w:t>g</w:t>
      </w:r>
      <w:r w:rsidR="006C786D" w:rsidRPr="0086080F">
        <w:rPr>
          <w:sz w:val="20"/>
          <w:szCs w:val="20"/>
        </w:rPr>
        <w:t>overnment</w:t>
      </w:r>
      <w:r w:rsidR="004C711E">
        <w:rPr>
          <w:sz w:val="20"/>
          <w:szCs w:val="20"/>
        </w:rPr>
        <w:t xml:space="preserve"> by </w:t>
      </w:r>
      <w:r w:rsidR="00343FEC" w:rsidRPr="0086080F">
        <w:rPr>
          <w:sz w:val="20"/>
          <w:szCs w:val="20"/>
        </w:rPr>
        <w:t xml:space="preserve">Séléka </w:t>
      </w:r>
      <w:r w:rsidR="00E4151E">
        <w:rPr>
          <w:sz w:val="20"/>
          <w:szCs w:val="20"/>
        </w:rPr>
        <w:t>rebels</w:t>
      </w:r>
      <w:r w:rsidR="00E4151E" w:rsidRPr="0086080F">
        <w:rPr>
          <w:sz w:val="20"/>
          <w:szCs w:val="20"/>
        </w:rPr>
        <w:t xml:space="preserve"> </w:t>
      </w:r>
      <w:r w:rsidR="006C786D" w:rsidRPr="0086080F">
        <w:rPr>
          <w:sz w:val="20"/>
          <w:szCs w:val="20"/>
        </w:rPr>
        <w:t xml:space="preserve">in March 2013. </w:t>
      </w:r>
      <w:r w:rsidR="006040B8" w:rsidRPr="0086080F">
        <w:rPr>
          <w:sz w:val="20"/>
          <w:szCs w:val="20"/>
        </w:rPr>
        <w:t>T</w:t>
      </w:r>
      <w:r w:rsidR="00E759D5" w:rsidRPr="0086080F">
        <w:rPr>
          <w:sz w:val="20"/>
          <w:szCs w:val="20"/>
        </w:rPr>
        <w:t>he crisis</w:t>
      </w:r>
      <w:r w:rsidR="00052CB3" w:rsidRPr="0086080F">
        <w:rPr>
          <w:sz w:val="20"/>
          <w:szCs w:val="20"/>
        </w:rPr>
        <w:t xml:space="preserve"> has </w:t>
      </w:r>
      <w:r w:rsidR="00E759D5" w:rsidRPr="0086080F">
        <w:rPr>
          <w:sz w:val="20"/>
          <w:szCs w:val="20"/>
        </w:rPr>
        <w:t xml:space="preserve">had a profound effect </w:t>
      </w:r>
      <w:r w:rsidR="00023057">
        <w:rPr>
          <w:sz w:val="20"/>
          <w:szCs w:val="20"/>
        </w:rPr>
        <w:t xml:space="preserve">on the </w:t>
      </w:r>
      <w:r w:rsidR="005B61EE" w:rsidRPr="0086080F">
        <w:rPr>
          <w:sz w:val="20"/>
          <w:szCs w:val="20"/>
        </w:rPr>
        <w:t>social fabric</w:t>
      </w:r>
      <w:r w:rsidR="00AF7516">
        <w:rPr>
          <w:sz w:val="20"/>
          <w:szCs w:val="20"/>
        </w:rPr>
        <w:t xml:space="preserve"> </w:t>
      </w:r>
      <w:r w:rsidR="00023057">
        <w:rPr>
          <w:sz w:val="20"/>
          <w:szCs w:val="20"/>
        </w:rPr>
        <w:t xml:space="preserve">of the country </w:t>
      </w:r>
      <w:r w:rsidR="00AF7516">
        <w:rPr>
          <w:sz w:val="20"/>
          <w:szCs w:val="20"/>
        </w:rPr>
        <w:t>and economy</w:t>
      </w:r>
      <w:r w:rsidR="009F4485" w:rsidRPr="0086080F">
        <w:rPr>
          <w:sz w:val="20"/>
          <w:szCs w:val="20"/>
        </w:rPr>
        <w:t>,</w:t>
      </w:r>
      <w:r w:rsidR="005B61EE" w:rsidRPr="0086080F">
        <w:rPr>
          <w:sz w:val="20"/>
          <w:szCs w:val="20"/>
        </w:rPr>
        <w:t xml:space="preserve"> </w:t>
      </w:r>
      <w:r w:rsidR="00023057">
        <w:rPr>
          <w:sz w:val="20"/>
          <w:szCs w:val="20"/>
        </w:rPr>
        <w:t>as well as</w:t>
      </w:r>
      <w:r w:rsidR="001615C6" w:rsidRPr="0086080F">
        <w:rPr>
          <w:sz w:val="20"/>
          <w:szCs w:val="20"/>
        </w:rPr>
        <w:t xml:space="preserve"> on </w:t>
      </w:r>
      <w:r w:rsidR="00EE29A7" w:rsidRPr="0086080F">
        <w:rPr>
          <w:sz w:val="20"/>
          <w:szCs w:val="20"/>
        </w:rPr>
        <w:t xml:space="preserve">already fragile </w:t>
      </w:r>
      <w:r w:rsidR="00023057">
        <w:rPr>
          <w:sz w:val="20"/>
          <w:szCs w:val="20"/>
        </w:rPr>
        <w:t>s</w:t>
      </w:r>
      <w:r w:rsidR="00BD3DBA" w:rsidRPr="0086080F">
        <w:rPr>
          <w:sz w:val="20"/>
          <w:szCs w:val="20"/>
        </w:rPr>
        <w:t xml:space="preserve">tate institutions </w:t>
      </w:r>
      <w:r w:rsidR="00E4151E">
        <w:rPr>
          <w:sz w:val="20"/>
          <w:szCs w:val="20"/>
        </w:rPr>
        <w:t>preventing them from</w:t>
      </w:r>
      <w:r w:rsidR="00E4151E" w:rsidRPr="0086080F">
        <w:rPr>
          <w:sz w:val="20"/>
          <w:szCs w:val="20"/>
        </w:rPr>
        <w:t xml:space="preserve"> </w:t>
      </w:r>
      <w:r w:rsidR="00BD3DBA" w:rsidRPr="0086080F">
        <w:rPr>
          <w:sz w:val="20"/>
          <w:szCs w:val="20"/>
        </w:rPr>
        <w:t>govern</w:t>
      </w:r>
      <w:r w:rsidR="00E4151E">
        <w:rPr>
          <w:sz w:val="20"/>
          <w:szCs w:val="20"/>
        </w:rPr>
        <w:t>ing</w:t>
      </w:r>
      <w:r w:rsidR="00BD3DBA" w:rsidRPr="0086080F">
        <w:rPr>
          <w:sz w:val="20"/>
          <w:szCs w:val="20"/>
        </w:rPr>
        <w:t xml:space="preserve"> and </w:t>
      </w:r>
      <w:r w:rsidR="00023057">
        <w:rPr>
          <w:sz w:val="20"/>
          <w:szCs w:val="20"/>
        </w:rPr>
        <w:t>provid</w:t>
      </w:r>
      <w:r w:rsidR="00E4151E">
        <w:rPr>
          <w:sz w:val="20"/>
          <w:szCs w:val="20"/>
        </w:rPr>
        <w:t>ing</w:t>
      </w:r>
      <w:r w:rsidR="00023057">
        <w:rPr>
          <w:sz w:val="20"/>
          <w:szCs w:val="20"/>
        </w:rPr>
        <w:t xml:space="preserve"> </w:t>
      </w:r>
      <w:r w:rsidR="00C9373B">
        <w:rPr>
          <w:sz w:val="20"/>
          <w:szCs w:val="20"/>
        </w:rPr>
        <w:t>social protection</w:t>
      </w:r>
      <w:r w:rsidR="00AF7516">
        <w:rPr>
          <w:sz w:val="20"/>
          <w:szCs w:val="20"/>
        </w:rPr>
        <w:t xml:space="preserve"> for all</w:t>
      </w:r>
      <w:r w:rsidR="00864847">
        <w:rPr>
          <w:sz w:val="20"/>
          <w:szCs w:val="20"/>
        </w:rPr>
        <w:t>. Prior to the crisis, the country</w:t>
      </w:r>
      <w:r w:rsidR="00F122E2" w:rsidRPr="0086080F">
        <w:rPr>
          <w:sz w:val="20"/>
          <w:szCs w:val="20"/>
        </w:rPr>
        <w:t xml:space="preserve"> saw a modest increase in GDP</w:t>
      </w:r>
      <w:r w:rsidR="009F4485" w:rsidRPr="0086080F">
        <w:rPr>
          <w:sz w:val="20"/>
          <w:szCs w:val="20"/>
        </w:rPr>
        <w:t xml:space="preserve"> growth from 3.3</w:t>
      </w:r>
      <w:r w:rsidR="00023057">
        <w:rPr>
          <w:sz w:val="20"/>
          <w:szCs w:val="20"/>
        </w:rPr>
        <w:t xml:space="preserve"> per cent</w:t>
      </w:r>
      <w:r w:rsidR="009F4485" w:rsidRPr="0086080F">
        <w:rPr>
          <w:sz w:val="20"/>
          <w:szCs w:val="20"/>
        </w:rPr>
        <w:t xml:space="preserve"> in 2011 to 4.1</w:t>
      </w:r>
      <w:r w:rsidR="00023057">
        <w:rPr>
          <w:sz w:val="20"/>
          <w:szCs w:val="20"/>
        </w:rPr>
        <w:t xml:space="preserve"> per cent</w:t>
      </w:r>
      <w:r w:rsidR="00F122E2" w:rsidRPr="0086080F">
        <w:rPr>
          <w:sz w:val="20"/>
          <w:szCs w:val="20"/>
        </w:rPr>
        <w:t xml:space="preserve"> in 2012</w:t>
      </w:r>
      <w:r w:rsidR="00023057">
        <w:rPr>
          <w:sz w:val="20"/>
          <w:szCs w:val="20"/>
        </w:rPr>
        <w:t>,</w:t>
      </w:r>
      <w:r w:rsidR="00F122E2" w:rsidRPr="00C14E9E">
        <w:rPr>
          <w:sz w:val="18"/>
          <w:vertAlign w:val="superscript"/>
        </w:rPr>
        <w:footnoteReference w:id="2"/>
      </w:r>
      <w:r w:rsidR="00017A87" w:rsidRPr="0086080F">
        <w:rPr>
          <w:sz w:val="20"/>
          <w:szCs w:val="20"/>
        </w:rPr>
        <w:t xml:space="preserve"> </w:t>
      </w:r>
      <w:r w:rsidR="0024363C" w:rsidRPr="0086080F">
        <w:rPr>
          <w:sz w:val="20"/>
          <w:szCs w:val="20"/>
        </w:rPr>
        <w:t>which contracted b</w:t>
      </w:r>
      <w:r w:rsidR="00EA20D6">
        <w:rPr>
          <w:sz w:val="20"/>
          <w:szCs w:val="20"/>
        </w:rPr>
        <w:t>y</w:t>
      </w:r>
      <w:r w:rsidR="000F7741" w:rsidRPr="0086080F">
        <w:rPr>
          <w:sz w:val="20"/>
          <w:szCs w:val="20"/>
        </w:rPr>
        <w:t xml:space="preserve"> </w:t>
      </w:r>
      <w:r w:rsidR="009F4485" w:rsidRPr="0086080F">
        <w:rPr>
          <w:sz w:val="20"/>
          <w:szCs w:val="20"/>
        </w:rPr>
        <w:t>36</w:t>
      </w:r>
      <w:r w:rsidR="00023057">
        <w:rPr>
          <w:sz w:val="20"/>
          <w:szCs w:val="20"/>
        </w:rPr>
        <w:t xml:space="preserve"> per cent</w:t>
      </w:r>
      <w:r w:rsidR="00F122E2" w:rsidRPr="0086080F">
        <w:rPr>
          <w:sz w:val="20"/>
          <w:szCs w:val="20"/>
        </w:rPr>
        <w:t xml:space="preserve"> in 2013 in the imm</w:t>
      </w:r>
      <w:r w:rsidR="00310809" w:rsidRPr="0086080F">
        <w:rPr>
          <w:sz w:val="20"/>
          <w:szCs w:val="20"/>
        </w:rPr>
        <w:t>ediate aftermath of the conflict</w:t>
      </w:r>
      <w:r w:rsidR="00F122E2" w:rsidRPr="0086080F">
        <w:rPr>
          <w:sz w:val="20"/>
          <w:szCs w:val="20"/>
        </w:rPr>
        <w:t>. In 201</w:t>
      </w:r>
      <w:r w:rsidR="00083B8E">
        <w:rPr>
          <w:sz w:val="20"/>
          <w:szCs w:val="20"/>
        </w:rPr>
        <w:t>5</w:t>
      </w:r>
      <w:r w:rsidR="00F122E2" w:rsidRPr="0086080F">
        <w:rPr>
          <w:sz w:val="20"/>
          <w:szCs w:val="20"/>
        </w:rPr>
        <w:t>,</w:t>
      </w:r>
      <w:r w:rsidR="009F4485" w:rsidRPr="0086080F">
        <w:rPr>
          <w:sz w:val="20"/>
          <w:szCs w:val="20"/>
        </w:rPr>
        <w:t xml:space="preserve"> GDP growth increased to 4.8</w:t>
      </w:r>
      <w:r w:rsidR="00023057">
        <w:rPr>
          <w:sz w:val="20"/>
          <w:szCs w:val="20"/>
        </w:rPr>
        <w:t xml:space="preserve"> per cent,</w:t>
      </w:r>
      <w:r w:rsidR="009F4485" w:rsidRPr="0086080F">
        <w:rPr>
          <w:sz w:val="20"/>
          <w:szCs w:val="20"/>
        </w:rPr>
        <w:t xml:space="preserve"> indicating signs of economic recovery</w:t>
      </w:r>
      <w:r>
        <w:rPr>
          <w:sz w:val="20"/>
          <w:szCs w:val="20"/>
        </w:rPr>
        <w:t>.</w:t>
      </w:r>
    </w:p>
    <w:p w14:paraId="7994D774" w14:textId="6AF269F9" w:rsidR="001C79E6" w:rsidRPr="006E2B85" w:rsidRDefault="001C79E6" w:rsidP="009C21AB">
      <w:pPr>
        <w:pStyle w:val="ListParagraph"/>
        <w:numPr>
          <w:ilvl w:val="0"/>
          <w:numId w:val="13"/>
        </w:numPr>
        <w:tabs>
          <w:tab w:val="clear" w:pos="624"/>
          <w:tab w:val="num" w:pos="1418"/>
          <w:tab w:val="left" w:pos="1710"/>
        </w:tabs>
        <w:spacing w:after="120"/>
        <w:ind w:left="1418" w:right="1210" w:firstLine="0"/>
        <w:jc w:val="both"/>
        <w:rPr>
          <w:color w:val="FF0000"/>
          <w:sz w:val="20"/>
          <w:szCs w:val="20"/>
        </w:rPr>
      </w:pPr>
      <w:r w:rsidRPr="00435BE7">
        <w:rPr>
          <w:sz w:val="20"/>
          <w:szCs w:val="20"/>
        </w:rPr>
        <w:t>The primary sector accounts for over 50</w:t>
      </w:r>
      <w:r w:rsidR="00023057">
        <w:rPr>
          <w:sz w:val="20"/>
          <w:szCs w:val="20"/>
        </w:rPr>
        <w:t xml:space="preserve"> per cent</w:t>
      </w:r>
      <w:r w:rsidRPr="00435BE7">
        <w:rPr>
          <w:sz w:val="20"/>
          <w:szCs w:val="20"/>
        </w:rPr>
        <w:t xml:space="preserve"> o</w:t>
      </w:r>
      <w:r>
        <w:rPr>
          <w:sz w:val="20"/>
          <w:szCs w:val="20"/>
        </w:rPr>
        <w:t xml:space="preserve">f the </w:t>
      </w:r>
      <w:r w:rsidR="00864847">
        <w:rPr>
          <w:sz w:val="20"/>
          <w:szCs w:val="20"/>
        </w:rPr>
        <w:t>country’s</w:t>
      </w:r>
      <w:r w:rsidR="00D60E59">
        <w:rPr>
          <w:sz w:val="20"/>
          <w:szCs w:val="20"/>
        </w:rPr>
        <w:t xml:space="preserve"> </w:t>
      </w:r>
      <w:r w:rsidRPr="00435BE7">
        <w:rPr>
          <w:sz w:val="20"/>
          <w:szCs w:val="20"/>
        </w:rPr>
        <w:t xml:space="preserve">economy </w:t>
      </w:r>
      <w:r>
        <w:rPr>
          <w:sz w:val="20"/>
          <w:szCs w:val="20"/>
        </w:rPr>
        <w:t>and agriculture is the</w:t>
      </w:r>
      <w:r w:rsidRPr="00435BE7">
        <w:rPr>
          <w:sz w:val="20"/>
          <w:szCs w:val="20"/>
        </w:rPr>
        <w:t xml:space="preserve"> </w:t>
      </w:r>
      <w:r w:rsidR="00BA79D5">
        <w:rPr>
          <w:sz w:val="20"/>
          <w:szCs w:val="20"/>
        </w:rPr>
        <w:t>main</w:t>
      </w:r>
      <w:r w:rsidR="00BA79D5" w:rsidRPr="00435BE7">
        <w:rPr>
          <w:sz w:val="20"/>
          <w:szCs w:val="20"/>
        </w:rPr>
        <w:t xml:space="preserve"> </w:t>
      </w:r>
      <w:r w:rsidRPr="00435BE7">
        <w:rPr>
          <w:sz w:val="20"/>
          <w:szCs w:val="20"/>
        </w:rPr>
        <w:t>economic activity</w:t>
      </w:r>
      <w:r w:rsidR="00023057">
        <w:rPr>
          <w:sz w:val="20"/>
          <w:szCs w:val="20"/>
        </w:rPr>
        <w:t>:</w:t>
      </w:r>
      <w:r w:rsidRPr="00435BE7">
        <w:rPr>
          <w:sz w:val="20"/>
          <w:szCs w:val="20"/>
        </w:rPr>
        <w:t xml:space="preserve"> over 70</w:t>
      </w:r>
      <w:r w:rsidR="00023057">
        <w:rPr>
          <w:sz w:val="20"/>
          <w:szCs w:val="20"/>
        </w:rPr>
        <w:t xml:space="preserve"> per cent</w:t>
      </w:r>
      <w:r w:rsidRPr="00435BE7">
        <w:rPr>
          <w:sz w:val="20"/>
          <w:szCs w:val="20"/>
        </w:rPr>
        <w:t xml:space="preserve"> of the population </w:t>
      </w:r>
      <w:r w:rsidR="00023057">
        <w:rPr>
          <w:sz w:val="20"/>
          <w:szCs w:val="20"/>
        </w:rPr>
        <w:t xml:space="preserve">is </w:t>
      </w:r>
      <w:r w:rsidRPr="00435BE7">
        <w:rPr>
          <w:sz w:val="20"/>
          <w:szCs w:val="20"/>
        </w:rPr>
        <w:t xml:space="preserve">engaged in subsistence farming. The </w:t>
      </w:r>
      <w:r w:rsidR="007169BD">
        <w:rPr>
          <w:sz w:val="20"/>
          <w:szCs w:val="20"/>
        </w:rPr>
        <w:t>country</w:t>
      </w:r>
      <w:r>
        <w:rPr>
          <w:sz w:val="20"/>
          <w:szCs w:val="20"/>
        </w:rPr>
        <w:t xml:space="preserve"> </w:t>
      </w:r>
      <w:r w:rsidRPr="00435BE7">
        <w:rPr>
          <w:sz w:val="20"/>
          <w:szCs w:val="20"/>
        </w:rPr>
        <w:t>is</w:t>
      </w:r>
      <w:r>
        <w:rPr>
          <w:sz w:val="20"/>
          <w:szCs w:val="20"/>
        </w:rPr>
        <w:t xml:space="preserve"> </w:t>
      </w:r>
      <w:r w:rsidRPr="00435BE7">
        <w:rPr>
          <w:sz w:val="20"/>
          <w:szCs w:val="20"/>
        </w:rPr>
        <w:t xml:space="preserve">rich in natural resources </w:t>
      </w:r>
      <w:r w:rsidR="00023057">
        <w:rPr>
          <w:sz w:val="20"/>
          <w:szCs w:val="20"/>
        </w:rPr>
        <w:t xml:space="preserve">such as </w:t>
      </w:r>
      <w:r w:rsidRPr="00435BE7">
        <w:rPr>
          <w:sz w:val="20"/>
          <w:szCs w:val="20"/>
        </w:rPr>
        <w:t>timber, diamonds, gold, uranium, iron</w:t>
      </w:r>
      <w:r>
        <w:rPr>
          <w:sz w:val="20"/>
          <w:szCs w:val="20"/>
        </w:rPr>
        <w:t xml:space="preserve"> and</w:t>
      </w:r>
      <w:r w:rsidRPr="00435BE7">
        <w:rPr>
          <w:sz w:val="20"/>
          <w:szCs w:val="20"/>
        </w:rPr>
        <w:t xml:space="preserve"> petroleum</w:t>
      </w:r>
      <w:r>
        <w:rPr>
          <w:sz w:val="20"/>
          <w:szCs w:val="20"/>
        </w:rPr>
        <w:t xml:space="preserve">. </w:t>
      </w:r>
      <w:r w:rsidR="00023057">
        <w:rPr>
          <w:sz w:val="20"/>
          <w:szCs w:val="20"/>
        </w:rPr>
        <w:t>With</w:t>
      </w:r>
      <w:r>
        <w:rPr>
          <w:sz w:val="20"/>
          <w:szCs w:val="20"/>
        </w:rPr>
        <w:t xml:space="preserve"> significant forest cover of approximately 22 million hectares </w:t>
      </w:r>
      <w:r w:rsidR="00023057">
        <w:rPr>
          <w:sz w:val="20"/>
          <w:szCs w:val="20"/>
        </w:rPr>
        <w:t>(</w:t>
      </w:r>
      <w:r>
        <w:rPr>
          <w:sz w:val="20"/>
          <w:szCs w:val="20"/>
        </w:rPr>
        <w:t>36.5</w:t>
      </w:r>
      <w:r w:rsidR="00023057">
        <w:rPr>
          <w:sz w:val="20"/>
          <w:szCs w:val="20"/>
        </w:rPr>
        <w:t xml:space="preserve"> per cent</w:t>
      </w:r>
      <w:r>
        <w:rPr>
          <w:sz w:val="20"/>
          <w:szCs w:val="20"/>
        </w:rPr>
        <w:t xml:space="preserve"> of </w:t>
      </w:r>
      <w:r w:rsidR="00E4151E">
        <w:rPr>
          <w:sz w:val="20"/>
          <w:szCs w:val="20"/>
        </w:rPr>
        <w:t>the country</w:t>
      </w:r>
      <w:r w:rsidR="00023057">
        <w:rPr>
          <w:sz w:val="20"/>
          <w:szCs w:val="20"/>
        </w:rPr>
        <w:t>)</w:t>
      </w:r>
      <w:r>
        <w:rPr>
          <w:sz w:val="20"/>
          <w:szCs w:val="20"/>
        </w:rPr>
        <w:t xml:space="preserve"> </w:t>
      </w:r>
      <w:r w:rsidR="00023057">
        <w:rPr>
          <w:sz w:val="20"/>
          <w:szCs w:val="20"/>
        </w:rPr>
        <w:t xml:space="preserve">forestry </w:t>
      </w:r>
      <w:r>
        <w:rPr>
          <w:sz w:val="20"/>
          <w:szCs w:val="20"/>
        </w:rPr>
        <w:t xml:space="preserve">represented the second largest </w:t>
      </w:r>
      <w:r w:rsidR="0006407A">
        <w:rPr>
          <w:sz w:val="20"/>
          <w:szCs w:val="20"/>
        </w:rPr>
        <w:t xml:space="preserve">economic source </w:t>
      </w:r>
      <w:r>
        <w:rPr>
          <w:sz w:val="20"/>
          <w:szCs w:val="20"/>
        </w:rPr>
        <w:t>before the crisis</w:t>
      </w:r>
      <w:r w:rsidR="00023057">
        <w:rPr>
          <w:sz w:val="20"/>
          <w:szCs w:val="20"/>
        </w:rPr>
        <w:t>.</w:t>
      </w:r>
      <w:r>
        <w:rPr>
          <w:rStyle w:val="FootnoteReference"/>
          <w:sz w:val="20"/>
          <w:szCs w:val="20"/>
        </w:rPr>
        <w:footnoteReference w:id="3"/>
      </w:r>
      <w:r>
        <w:rPr>
          <w:sz w:val="20"/>
          <w:szCs w:val="20"/>
        </w:rPr>
        <w:t xml:space="preserve"> Similarly, </w:t>
      </w:r>
      <w:r w:rsidR="00A210E0">
        <w:rPr>
          <w:sz w:val="20"/>
          <w:szCs w:val="20"/>
        </w:rPr>
        <w:t xml:space="preserve">the </w:t>
      </w:r>
      <w:r w:rsidR="00FE47D1">
        <w:rPr>
          <w:sz w:val="20"/>
          <w:szCs w:val="20"/>
        </w:rPr>
        <w:t>country</w:t>
      </w:r>
      <w:r>
        <w:rPr>
          <w:sz w:val="20"/>
          <w:szCs w:val="20"/>
        </w:rPr>
        <w:t xml:space="preserve"> is endowed with significant mineral reserves and</w:t>
      </w:r>
      <w:r w:rsidR="00023057">
        <w:rPr>
          <w:sz w:val="20"/>
          <w:szCs w:val="20"/>
        </w:rPr>
        <w:t>,</w:t>
      </w:r>
      <w:r>
        <w:rPr>
          <w:sz w:val="20"/>
          <w:szCs w:val="20"/>
        </w:rPr>
        <w:t xml:space="preserve"> prior to 2013</w:t>
      </w:r>
      <w:r w:rsidR="00023057">
        <w:rPr>
          <w:sz w:val="20"/>
          <w:szCs w:val="20"/>
        </w:rPr>
        <w:t>,</w:t>
      </w:r>
      <w:r>
        <w:rPr>
          <w:sz w:val="20"/>
          <w:szCs w:val="20"/>
        </w:rPr>
        <w:t xml:space="preserve"> was ranked 12</w:t>
      </w:r>
      <w:r w:rsidRPr="000738C4">
        <w:rPr>
          <w:sz w:val="20"/>
          <w:szCs w:val="20"/>
          <w:vertAlign w:val="superscript"/>
        </w:rPr>
        <w:t>th</w:t>
      </w:r>
      <w:r>
        <w:rPr>
          <w:sz w:val="20"/>
          <w:szCs w:val="20"/>
        </w:rPr>
        <w:t xml:space="preserve"> </w:t>
      </w:r>
      <w:r w:rsidR="00023057">
        <w:rPr>
          <w:sz w:val="20"/>
          <w:szCs w:val="20"/>
        </w:rPr>
        <w:t>in the</w:t>
      </w:r>
      <w:r>
        <w:rPr>
          <w:sz w:val="20"/>
          <w:szCs w:val="20"/>
        </w:rPr>
        <w:t xml:space="preserve"> world</w:t>
      </w:r>
      <w:r w:rsidR="00023057">
        <w:rPr>
          <w:sz w:val="20"/>
          <w:szCs w:val="20"/>
        </w:rPr>
        <w:t xml:space="preserve"> as a</w:t>
      </w:r>
      <w:r>
        <w:rPr>
          <w:sz w:val="20"/>
          <w:szCs w:val="20"/>
        </w:rPr>
        <w:t xml:space="preserve"> producer of rough diamond</w:t>
      </w:r>
      <w:r w:rsidR="0006407A">
        <w:rPr>
          <w:sz w:val="20"/>
          <w:szCs w:val="20"/>
        </w:rPr>
        <w:t>s</w:t>
      </w:r>
      <w:r>
        <w:rPr>
          <w:sz w:val="20"/>
          <w:szCs w:val="20"/>
        </w:rPr>
        <w:t xml:space="preserve"> </w:t>
      </w:r>
      <w:r w:rsidR="00023057">
        <w:rPr>
          <w:sz w:val="20"/>
          <w:szCs w:val="20"/>
        </w:rPr>
        <w:t xml:space="preserve">(according to </w:t>
      </w:r>
      <w:r>
        <w:rPr>
          <w:sz w:val="20"/>
          <w:szCs w:val="20"/>
        </w:rPr>
        <w:t>volume</w:t>
      </w:r>
      <w:r w:rsidR="00023057">
        <w:rPr>
          <w:sz w:val="20"/>
          <w:szCs w:val="20"/>
        </w:rPr>
        <w:t>).</w:t>
      </w:r>
      <w:r>
        <w:rPr>
          <w:rStyle w:val="FootnoteReference"/>
          <w:sz w:val="20"/>
          <w:szCs w:val="20"/>
        </w:rPr>
        <w:footnoteReference w:id="4"/>
      </w:r>
      <w:r>
        <w:rPr>
          <w:sz w:val="20"/>
          <w:szCs w:val="20"/>
        </w:rPr>
        <w:t xml:space="preserve"> </w:t>
      </w:r>
      <w:r w:rsidRPr="00584C35">
        <w:rPr>
          <w:sz w:val="20"/>
          <w:szCs w:val="20"/>
        </w:rPr>
        <w:t>World Bank estimates have shown the highest value stones leave the country illegally</w:t>
      </w:r>
      <w:r w:rsidR="0006407A">
        <w:rPr>
          <w:sz w:val="20"/>
          <w:szCs w:val="20"/>
        </w:rPr>
        <w:t xml:space="preserve"> and equal </w:t>
      </w:r>
      <w:r w:rsidRPr="00584C35">
        <w:rPr>
          <w:sz w:val="20"/>
          <w:szCs w:val="20"/>
        </w:rPr>
        <w:t>30</w:t>
      </w:r>
      <w:r w:rsidR="00023057">
        <w:rPr>
          <w:sz w:val="20"/>
          <w:szCs w:val="20"/>
        </w:rPr>
        <w:t xml:space="preserve"> per cent</w:t>
      </w:r>
      <w:r w:rsidRPr="00584C35">
        <w:rPr>
          <w:sz w:val="20"/>
          <w:szCs w:val="20"/>
        </w:rPr>
        <w:t xml:space="preserve"> of the country’s diamond production</w:t>
      </w:r>
      <w:r w:rsidR="00023057">
        <w:rPr>
          <w:sz w:val="20"/>
          <w:szCs w:val="20"/>
        </w:rPr>
        <w:t>.</w:t>
      </w:r>
      <w:r>
        <w:rPr>
          <w:rStyle w:val="FootnoteReference"/>
          <w:sz w:val="20"/>
          <w:szCs w:val="20"/>
        </w:rPr>
        <w:footnoteReference w:id="5"/>
      </w:r>
    </w:p>
    <w:p w14:paraId="5E1A6BF5" w14:textId="10AF7CDB" w:rsidR="00AE12F2" w:rsidRPr="0086080F" w:rsidRDefault="0006407A" w:rsidP="009C21AB">
      <w:pPr>
        <w:pStyle w:val="ListParagraph"/>
        <w:numPr>
          <w:ilvl w:val="0"/>
          <w:numId w:val="13"/>
        </w:numPr>
        <w:tabs>
          <w:tab w:val="clear" w:pos="624"/>
          <w:tab w:val="num" w:pos="1418"/>
          <w:tab w:val="left" w:pos="1710"/>
        </w:tabs>
        <w:spacing w:after="120"/>
        <w:ind w:left="1418" w:right="1210" w:firstLine="0"/>
        <w:jc w:val="both"/>
        <w:rPr>
          <w:sz w:val="20"/>
          <w:szCs w:val="20"/>
        </w:rPr>
      </w:pPr>
      <w:r>
        <w:rPr>
          <w:sz w:val="20"/>
          <w:szCs w:val="20"/>
        </w:rPr>
        <w:t xml:space="preserve">Violence in </w:t>
      </w:r>
      <w:r w:rsidR="009529B6">
        <w:rPr>
          <w:sz w:val="20"/>
          <w:szCs w:val="20"/>
        </w:rPr>
        <w:t xml:space="preserve">2013 </w:t>
      </w:r>
      <w:r w:rsidR="00040BD5" w:rsidRPr="0086080F">
        <w:rPr>
          <w:sz w:val="20"/>
          <w:szCs w:val="20"/>
        </w:rPr>
        <w:t>led to the deployment of</w:t>
      </w:r>
      <w:r w:rsidR="009529B6">
        <w:rPr>
          <w:sz w:val="20"/>
          <w:szCs w:val="20"/>
        </w:rPr>
        <w:t xml:space="preserve"> the </w:t>
      </w:r>
      <w:r w:rsidR="009529B6" w:rsidRPr="00E4151E">
        <w:rPr>
          <w:sz w:val="20"/>
          <w:szCs w:val="16"/>
        </w:rPr>
        <w:t>Multidimensional Integrated Stabilization Mission in the Central African Republic</w:t>
      </w:r>
      <w:r w:rsidR="009529B6">
        <w:rPr>
          <w:sz w:val="20"/>
          <w:szCs w:val="16"/>
        </w:rPr>
        <w:t xml:space="preserve"> (MINUSCA);</w:t>
      </w:r>
      <w:r w:rsidR="00040BD5" w:rsidRPr="00E4151E">
        <w:rPr>
          <w:szCs w:val="20"/>
        </w:rPr>
        <w:t xml:space="preserve"> </w:t>
      </w:r>
      <w:r w:rsidR="00040BD5" w:rsidRPr="0086080F">
        <w:rPr>
          <w:sz w:val="20"/>
          <w:szCs w:val="20"/>
        </w:rPr>
        <w:t>a 12,000-strong United Nations multidimensional peacekeeping mission</w:t>
      </w:r>
      <w:r w:rsidR="009529B6">
        <w:rPr>
          <w:sz w:val="20"/>
          <w:szCs w:val="20"/>
        </w:rPr>
        <w:t>.</w:t>
      </w:r>
      <w:r w:rsidR="00040BD5" w:rsidRPr="0086080F">
        <w:rPr>
          <w:rStyle w:val="FootnoteReference"/>
          <w:sz w:val="20"/>
          <w:szCs w:val="20"/>
        </w:rPr>
        <w:footnoteReference w:id="6"/>
      </w:r>
      <w:r w:rsidR="00040BD5" w:rsidRPr="0086080F">
        <w:rPr>
          <w:sz w:val="20"/>
          <w:szCs w:val="20"/>
        </w:rPr>
        <w:t xml:space="preserve"> </w:t>
      </w:r>
      <w:r w:rsidR="00571E57">
        <w:rPr>
          <w:sz w:val="20"/>
          <w:szCs w:val="20"/>
        </w:rPr>
        <w:t>The rapid rise in insecurity was</w:t>
      </w:r>
      <w:r w:rsidR="004C711E">
        <w:rPr>
          <w:sz w:val="20"/>
          <w:szCs w:val="20"/>
        </w:rPr>
        <w:t xml:space="preserve"> a cause and consequence of long-standing structural challenges the country has faced since independence</w:t>
      </w:r>
      <w:r w:rsidR="009529B6">
        <w:rPr>
          <w:sz w:val="20"/>
          <w:szCs w:val="20"/>
        </w:rPr>
        <w:t xml:space="preserve">, </w:t>
      </w:r>
      <w:r w:rsidR="00040BD5" w:rsidRPr="0086080F">
        <w:rPr>
          <w:sz w:val="20"/>
          <w:szCs w:val="20"/>
        </w:rPr>
        <w:t>including chronic poverty</w:t>
      </w:r>
      <w:r w:rsidR="009529B6">
        <w:rPr>
          <w:sz w:val="20"/>
          <w:szCs w:val="20"/>
        </w:rPr>
        <w:t>;</w:t>
      </w:r>
      <w:r w:rsidR="00040BD5" w:rsidRPr="0086080F">
        <w:rPr>
          <w:sz w:val="20"/>
          <w:szCs w:val="20"/>
        </w:rPr>
        <w:t xml:space="preserve"> highly centralized </w:t>
      </w:r>
      <w:r w:rsidR="009529B6">
        <w:rPr>
          <w:sz w:val="20"/>
          <w:szCs w:val="20"/>
        </w:rPr>
        <w:t>s</w:t>
      </w:r>
      <w:r w:rsidR="00040BD5" w:rsidRPr="0086080F">
        <w:rPr>
          <w:sz w:val="20"/>
          <w:szCs w:val="20"/>
        </w:rPr>
        <w:t>tate structure</w:t>
      </w:r>
      <w:r w:rsidR="009529B6">
        <w:rPr>
          <w:sz w:val="20"/>
          <w:szCs w:val="20"/>
        </w:rPr>
        <w:t>;</w:t>
      </w:r>
      <w:r w:rsidR="00040BD5" w:rsidRPr="0086080F">
        <w:rPr>
          <w:sz w:val="20"/>
          <w:szCs w:val="20"/>
        </w:rPr>
        <w:t xml:space="preserve"> </w:t>
      </w:r>
      <w:r w:rsidR="00F82897">
        <w:rPr>
          <w:sz w:val="20"/>
          <w:szCs w:val="20"/>
        </w:rPr>
        <w:t xml:space="preserve">a </w:t>
      </w:r>
      <w:r w:rsidR="00040BD5" w:rsidRPr="0086080F">
        <w:rPr>
          <w:sz w:val="20"/>
          <w:szCs w:val="20"/>
        </w:rPr>
        <w:t>weak justice system</w:t>
      </w:r>
      <w:r w:rsidR="009529B6">
        <w:rPr>
          <w:sz w:val="20"/>
          <w:szCs w:val="20"/>
        </w:rPr>
        <w:t>,</w:t>
      </w:r>
      <w:r w:rsidR="005B255D" w:rsidRPr="0086080F">
        <w:rPr>
          <w:sz w:val="20"/>
          <w:szCs w:val="20"/>
        </w:rPr>
        <w:t xml:space="preserve"> and recurring 10-year cycle</w:t>
      </w:r>
      <w:r w:rsidR="00AD793E" w:rsidRPr="0086080F">
        <w:rPr>
          <w:sz w:val="20"/>
          <w:szCs w:val="20"/>
        </w:rPr>
        <w:t xml:space="preserve"> of</w:t>
      </w:r>
      <w:r w:rsidR="00040BD5" w:rsidRPr="0086080F">
        <w:rPr>
          <w:sz w:val="20"/>
          <w:szCs w:val="20"/>
        </w:rPr>
        <w:t xml:space="preserve"> insecurity </w:t>
      </w:r>
      <w:r w:rsidR="007E7222" w:rsidRPr="0086080F">
        <w:rPr>
          <w:sz w:val="20"/>
          <w:szCs w:val="20"/>
        </w:rPr>
        <w:t>fueled</w:t>
      </w:r>
      <w:r w:rsidR="00040BD5" w:rsidRPr="0086080F">
        <w:rPr>
          <w:sz w:val="20"/>
          <w:szCs w:val="20"/>
        </w:rPr>
        <w:t xml:space="preserve"> by eroded social networks, </w:t>
      </w:r>
      <w:r w:rsidR="009529B6">
        <w:rPr>
          <w:sz w:val="20"/>
          <w:szCs w:val="20"/>
        </w:rPr>
        <w:t>availability of</w:t>
      </w:r>
      <w:r w:rsidR="00040BD5" w:rsidRPr="0086080F">
        <w:rPr>
          <w:sz w:val="20"/>
          <w:szCs w:val="20"/>
        </w:rPr>
        <w:t xml:space="preserve"> weapons and competition over natural resource</w:t>
      </w:r>
      <w:r w:rsidR="009529B6">
        <w:rPr>
          <w:sz w:val="20"/>
          <w:szCs w:val="20"/>
        </w:rPr>
        <w:t>s</w:t>
      </w:r>
      <w:r w:rsidR="00040BD5" w:rsidRPr="0086080F">
        <w:rPr>
          <w:sz w:val="20"/>
          <w:szCs w:val="20"/>
        </w:rPr>
        <w:t xml:space="preserve">. </w:t>
      </w:r>
    </w:p>
    <w:p w14:paraId="36AC88B8" w14:textId="6A44E572" w:rsidR="008162AA" w:rsidRPr="001C79E6" w:rsidRDefault="006C786D" w:rsidP="009C21AB">
      <w:pPr>
        <w:pStyle w:val="ListParagraph"/>
        <w:numPr>
          <w:ilvl w:val="0"/>
          <w:numId w:val="13"/>
        </w:numPr>
        <w:tabs>
          <w:tab w:val="clear" w:pos="624"/>
          <w:tab w:val="num" w:pos="1418"/>
          <w:tab w:val="left" w:pos="1710"/>
        </w:tabs>
        <w:spacing w:after="120"/>
        <w:ind w:left="1418" w:right="1210" w:firstLine="0"/>
        <w:jc w:val="both"/>
        <w:rPr>
          <w:color w:val="FF0000"/>
          <w:sz w:val="20"/>
          <w:szCs w:val="20"/>
        </w:rPr>
      </w:pPr>
      <w:r>
        <w:rPr>
          <w:sz w:val="20"/>
          <w:szCs w:val="20"/>
        </w:rPr>
        <w:t>Additionally</w:t>
      </w:r>
      <w:r w:rsidR="009529B6">
        <w:rPr>
          <w:sz w:val="20"/>
          <w:szCs w:val="20"/>
        </w:rPr>
        <w:t>, ongoing i</w:t>
      </w:r>
      <w:r w:rsidR="00AE12F2" w:rsidRPr="0086080F">
        <w:rPr>
          <w:sz w:val="20"/>
          <w:szCs w:val="20"/>
        </w:rPr>
        <w:t>nsecurity</w:t>
      </w:r>
      <w:r w:rsidR="0024363C" w:rsidRPr="0086080F">
        <w:rPr>
          <w:sz w:val="20"/>
          <w:szCs w:val="20"/>
        </w:rPr>
        <w:t xml:space="preserve"> in </w:t>
      </w:r>
      <w:r w:rsidR="00FE47D1">
        <w:rPr>
          <w:sz w:val="20"/>
          <w:szCs w:val="20"/>
        </w:rPr>
        <w:t>the country</w:t>
      </w:r>
      <w:r w:rsidR="00AE12F2" w:rsidRPr="0086080F">
        <w:rPr>
          <w:sz w:val="20"/>
          <w:szCs w:val="20"/>
        </w:rPr>
        <w:t xml:space="preserve"> </w:t>
      </w:r>
      <w:r w:rsidR="003B1199" w:rsidRPr="0086080F">
        <w:rPr>
          <w:sz w:val="20"/>
          <w:szCs w:val="20"/>
        </w:rPr>
        <w:t>has roots in broader regional conflict</w:t>
      </w:r>
      <w:r w:rsidR="009529B6">
        <w:rPr>
          <w:sz w:val="20"/>
          <w:szCs w:val="20"/>
        </w:rPr>
        <w:t>s involving</w:t>
      </w:r>
      <w:r w:rsidR="00AE12F2" w:rsidRPr="0086080F">
        <w:rPr>
          <w:sz w:val="20"/>
          <w:szCs w:val="20"/>
        </w:rPr>
        <w:t xml:space="preserve"> South Sudan, Chad, the Democratic Republic of the Congo</w:t>
      </w:r>
      <w:r w:rsidR="003B1199" w:rsidRPr="0086080F">
        <w:rPr>
          <w:sz w:val="20"/>
          <w:szCs w:val="20"/>
        </w:rPr>
        <w:t xml:space="preserve"> (DRC)</w:t>
      </w:r>
      <w:r w:rsidR="00AE12F2" w:rsidRPr="0086080F">
        <w:rPr>
          <w:sz w:val="20"/>
          <w:szCs w:val="20"/>
        </w:rPr>
        <w:t xml:space="preserve"> and Uganda</w:t>
      </w:r>
      <w:r w:rsidR="009529B6">
        <w:rPr>
          <w:sz w:val="20"/>
          <w:szCs w:val="20"/>
        </w:rPr>
        <w:t>.</w:t>
      </w:r>
      <w:r w:rsidR="00AE12F2" w:rsidRPr="0086080F">
        <w:rPr>
          <w:sz w:val="20"/>
          <w:szCs w:val="20"/>
        </w:rPr>
        <w:t xml:space="preserve"> </w:t>
      </w:r>
      <w:r w:rsidR="009529B6">
        <w:rPr>
          <w:sz w:val="20"/>
          <w:szCs w:val="20"/>
        </w:rPr>
        <w:t>M</w:t>
      </w:r>
      <w:r w:rsidR="00AE12F2" w:rsidRPr="0086080F">
        <w:rPr>
          <w:sz w:val="20"/>
          <w:szCs w:val="20"/>
        </w:rPr>
        <w:t xml:space="preserve">ercenaries </w:t>
      </w:r>
      <w:r w:rsidR="009529B6">
        <w:rPr>
          <w:sz w:val="20"/>
          <w:szCs w:val="20"/>
        </w:rPr>
        <w:t>take</w:t>
      </w:r>
      <w:r w:rsidR="00AE12F2" w:rsidRPr="0086080F">
        <w:rPr>
          <w:sz w:val="20"/>
          <w:szCs w:val="20"/>
        </w:rPr>
        <w:t xml:space="preserve"> advantage of poor</w:t>
      </w:r>
      <w:r w:rsidR="009529B6">
        <w:rPr>
          <w:sz w:val="20"/>
          <w:szCs w:val="20"/>
        </w:rPr>
        <w:t xml:space="preserve"> state structures and</w:t>
      </w:r>
      <w:r w:rsidR="00AE12F2" w:rsidRPr="0086080F">
        <w:rPr>
          <w:sz w:val="20"/>
          <w:szCs w:val="20"/>
        </w:rPr>
        <w:t xml:space="preserve"> governance to</w:t>
      </w:r>
      <w:r w:rsidR="009529B6">
        <w:rPr>
          <w:sz w:val="20"/>
          <w:szCs w:val="20"/>
        </w:rPr>
        <w:t xml:space="preserve"> </w:t>
      </w:r>
      <w:r w:rsidR="009529B6" w:rsidRPr="0086080F">
        <w:rPr>
          <w:sz w:val="20"/>
          <w:szCs w:val="20"/>
        </w:rPr>
        <w:t>cross borders</w:t>
      </w:r>
      <w:r w:rsidR="009529B6">
        <w:rPr>
          <w:sz w:val="20"/>
          <w:szCs w:val="20"/>
        </w:rPr>
        <w:t>,</w:t>
      </w:r>
      <w:r w:rsidR="00AE12F2" w:rsidRPr="0086080F">
        <w:rPr>
          <w:sz w:val="20"/>
          <w:szCs w:val="20"/>
        </w:rPr>
        <w:t xml:space="preserve"> illegal</w:t>
      </w:r>
      <w:r w:rsidR="009529B6">
        <w:rPr>
          <w:sz w:val="20"/>
          <w:szCs w:val="20"/>
        </w:rPr>
        <w:t>ly</w:t>
      </w:r>
      <w:r w:rsidR="00AE12F2" w:rsidRPr="0086080F">
        <w:rPr>
          <w:sz w:val="20"/>
          <w:szCs w:val="20"/>
        </w:rPr>
        <w:t xml:space="preserve"> trade natural resou</w:t>
      </w:r>
      <w:r w:rsidR="00975AD3" w:rsidRPr="0086080F">
        <w:rPr>
          <w:sz w:val="20"/>
          <w:szCs w:val="20"/>
        </w:rPr>
        <w:t>rces and traffic weapons</w:t>
      </w:r>
      <w:r w:rsidR="009529B6">
        <w:rPr>
          <w:sz w:val="20"/>
          <w:szCs w:val="20"/>
        </w:rPr>
        <w:t>.</w:t>
      </w:r>
      <w:r w:rsidR="00AE12F2" w:rsidRPr="00F12BD4">
        <w:rPr>
          <w:sz w:val="18"/>
          <w:vertAlign w:val="superscript"/>
        </w:rPr>
        <w:footnoteReference w:id="7"/>
      </w:r>
      <w:r w:rsidR="00AE12F2" w:rsidRPr="0086080F">
        <w:rPr>
          <w:sz w:val="20"/>
          <w:szCs w:val="20"/>
        </w:rPr>
        <w:t xml:space="preserve"> The most recent crisis was </w:t>
      </w:r>
      <w:r w:rsidR="007E7222" w:rsidRPr="0086080F">
        <w:rPr>
          <w:sz w:val="20"/>
          <w:szCs w:val="20"/>
        </w:rPr>
        <w:t>fueled</w:t>
      </w:r>
      <w:r w:rsidR="00AE12F2" w:rsidRPr="0086080F">
        <w:rPr>
          <w:sz w:val="20"/>
          <w:szCs w:val="20"/>
        </w:rPr>
        <w:t xml:space="preserve"> by social fragmentation, within and between communities</w:t>
      </w:r>
      <w:r w:rsidR="000C0061">
        <w:rPr>
          <w:sz w:val="20"/>
          <w:szCs w:val="20"/>
        </w:rPr>
        <w:t>,</w:t>
      </w:r>
      <w:r w:rsidR="00F12BD4">
        <w:rPr>
          <w:sz w:val="20"/>
          <w:szCs w:val="20"/>
        </w:rPr>
        <w:t xml:space="preserve"> and </w:t>
      </w:r>
      <w:r w:rsidR="00AE12F2" w:rsidRPr="0086080F">
        <w:rPr>
          <w:sz w:val="20"/>
          <w:szCs w:val="20"/>
        </w:rPr>
        <w:t xml:space="preserve">along ethnic, religious and economic lines. </w:t>
      </w:r>
      <w:r w:rsidR="00F12BD4">
        <w:rPr>
          <w:sz w:val="20"/>
          <w:szCs w:val="20"/>
        </w:rPr>
        <w:t>T</w:t>
      </w:r>
      <w:r w:rsidR="00AE12F2" w:rsidRPr="0086080F">
        <w:rPr>
          <w:sz w:val="20"/>
          <w:szCs w:val="20"/>
        </w:rPr>
        <w:t>raditional tension between nomadic Fulani herders and agro-pastoral communities</w:t>
      </w:r>
      <w:r w:rsidR="00F12BD4">
        <w:rPr>
          <w:sz w:val="20"/>
          <w:szCs w:val="20"/>
        </w:rPr>
        <w:t xml:space="preserve"> </w:t>
      </w:r>
      <w:r w:rsidR="004C711E">
        <w:rPr>
          <w:sz w:val="20"/>
          <w:szCs w:val="20"/>
        </w:rPr>
        <w:t>ha</w:t>
      </w:r>
      <w:r w:rsidR="000C0061">
        <w:rPr>
          <w:sz w:val="20"/>
          <w:szCs w:val="20"/>
        </w:rPr>
        <w:t>s</w:t>
      </w:r>
      <w:r w:rsidR="004C711E">
        <w:rPr>
          <w:sz w:val="20"/>
          <w:szCs w:val="20"/>
        </w:rPr>
        <w:t xml:space="preserve"> </w:t>
      </w:r>
      <w:r w:rsidR="00AE12F2" w:rsidRPr="0086080F">
        <w:rPr>
          <w:sz w:val="20"/>
          <w:szCs w:val="20"/>
        </w:rPr>
        <w:t xml:space="preserve">resulted in </w:t>
      </w:r>
      <w:r w:rsidR="00CD4413">
        <w:rPr>
          <w:sz w:val="20"/>
          <w:szCs w:val="20"/>
        </w:rPr>
        <w:t xml:space="preserve">the perpetuation of </w:t>
      </w:r>
      <w:r w:rsidR="00AE12F2" w:rsidRPr="0086080F">
        <w:rPr>
          <w:sz w:val="20"/>
          <w:szCs w:val="20"/>
        </w:rPr>
        <w:t>cycles of violence without justice</w:t>
      </w:r>
      <w:r w:rsidR="0056219F">
        <w:rPr>
          <w:sz w:val="20"/>
          <w:szCs w:val="20"/>
        </w:rPr>
        <w:t xml:space="preserve"> or consequence</w:t>
      </w:r>
      <w:r w:rsidR="00AE12F2" w:rsidRPr="0086080F">
        <w:rPr>
          <w:sz w:val="20"/>
          <w:szCs w:val="20"/>
        </w:rPr>
        <w:t>. Add</w:t>
      </w:r>
      <w:r w:rsidR="00343FEC">
        <w:rPr>
          <w:sz w:val="20"/>
          <w:szCs w:val="20"/>
        </w:rPr>
        <w:t>ed</w:t>
      </w:r>
      <w:r w:rsidR="00AE12F2" w:rsidRPr="0086080F">
        <w:rPr>
          <w:sz w:val="20"/>
          <w:szCs w:val="20"/>
        </w:rPr>
        <w:t xml:space="preserve"> to this</w:t>
      </w:r>
      <w:r w:rsidR="00343FEC">
        <w:rPr>
          <w:sz w:val="20"/>
          <w:szCs w:val="20"/>
        </w:rPr>
        <w:t xml:space="preserve"> are</w:t>
      </w:r>
      <w:r w:rsidR="00AE12F2" w:rsidRPr="0086080F">
        <w:rPr>
          <w:sz w:val="20"/>
          <w:szCs w:val="20"/>
        </w:rPr>
        <w:t xml:space="preserve"> resources</w:t>
      </w:r>
      <w:r w:rsidR="00343FEC">
        <w:rPr>
          <w:sz w:val="20"/>
          <w:szCs w:val="20"/>
        </w:rPr>
        <w:t xml:space="preserve"> seized</w:t>
      </w:r>
      <w:r w:rsidR="00AE12F2" w:rsidRPr="0086080F">
        <w:rPr>
          <w:sz w:val="20"/>
          <w:szCs w:val="20"/>
        </w:rPr>
        <w:t xml:space="preserve"> by the political elite</w:t>
      </w:r>
      <w:r w:rsidR="00F12BD4">
        <w:rPr>
          <w:sz w:val="20"/>
          <w:szCs w:val="20"/>
        </w:rPr>
        <w:t>,</w:t>
      </w:r>
      <w:r w:rsidR="00AE12F2" w:rsidRPr="0086080F">
        <w:rPr>
          <w:sz w:val="20"/>
          <w:szCs w:val="20"/>
        </w:rPr>
        <w:t xml:space="preserve"> and </w:t>
      </w:r>
      <w:r w:rsidR="00343FEC">
        <w:rPr>
          <w:sz w:val="20"/>
          <w:szCs w:val="20"/>
        </w:rPr>
        <w:t>an</w:t>
      </w:r>
      <w:r w:rsidR="00343FEC" w:rsidRPr="0086080F">
        <w:rPr>
          <w:sz w:val="20"/>
          <w:szCs w:val="20"/>
        </w:rPr>
        <w:t xml:space="preserve"> </w:t>
      </w:r>
      <w:r w:rsidR="00AE12F2" w:rsidRPr="0086080F">
        <w:rPr>
          <w:sz w:val="20"/>
          <w:szCs w:val="20"/>
        </w:rPr>
        <w:t>imbalance of power between the capital and rest of the country</w:t>
      </w:r>
      <w:r w:rsidR="00343FEC">
        <w:rPr>
          <w:sz w:val="20"/>
          <w:szCs w:val="20"/>
        </w:rPr>
        <w:t>.</w:t>
      </w:r>
      <w:r w:rsidR="00AE12F2" w:rsidRPr="0086080F">
        <w:rPr>
          <w:sz w:val="20"/>
          <w:szCs w:val="20"/>
        </w:rPr>
        <w:t xml:space="preserve"> </w:t>
      </w:r>
      <w:r w:rsidR="00343FEC">
        <w:rPr>
          <w:sz w:val="20"/>
          <w:szCs w:val="20"/>
        </w:rPr>
        <w:t>E</w:t>
      </w:r>
      <w:r w:rsidR="00AE12F2" w:rsidRPr="0086080F">
        <w:rPr>
          <w:sz w:val="20"/>
          <w:szCs w:val="20"/>
        </w:rPr>
        <w:t>xclusion has nurtured political grievances</w:t>
      </w:r>
      <w:r w:rsidR="0086080F" w:rsidRPr="0086080F">
        <w:rPr>
          <w:sz w:val="20"/>
          <w:szCs w:val="20"/>
        </w:rPr>
        <w:t xml:space="preserve"> and undermined the legitimacy of the </w:t>
      </w:r>
      <w:r w:rsidR="004C711E">
        <w:rPr>
          <w:sz w:val="20"/>
          <w:szCs w:val="20"/>
        </w:rPr>
        <w:t>state</w:t>
      </w:r>
      <w:r w:rsidR="00AE12F2" w:rsidRPr="0086080F">
        <w:rPr>
          <w:sz w:val="20"/>
          <w:szCs w:val="20"/>
        </w:rPr>
        <w:t>.</w:t>
      </w:r>
      <w:r w:rsidR="003B1199" w:rsidRPr="0086080F">
        <w:rPr>
          <w:sz w:val="20"/>
          <w:szCs w:val="20"/>
        </w:rPr>
        <w:t xml:space="preserve"> </w:t>
      </w:r>
      <w:r w:rsidRPr="0086080F">
        <w:rPr>
          <w:sz w:val="20"/>
          <w:szCs w:val="20"/>
        </w:rPr>
        <w:t xml:space="preserve">Northeast </w:t>
      </w:r>
      <w:r>
        <w:rPr>
          <w:sz w:val="20"/>
          <w:szCs w:val="20"/>
        </w:rPr>
        <w:t>C</w:t>
      </w:r>
      <w:r w:rsidR="00FE47D1">
        <w:rPr>
          <w:sz w:val="20"/>
          <w:szCs w:val="20"/>
        </w:rPr>
        <w:t xml:space="preserve">entral African </w:t>
      </w:r>
      <w:r>
        <w:rPr>
          <w:sz w:val="20"/>
          <w:szCs w:val="20"/>
        </w:rPr>
        <w:t>R</w:t>
      </w:r>
      <w:r w:rsidR="00FE47D1">
        <w:rPr>
          <w:sz w:val="20"/>
          <w:szCs w:val="20"/>
        </w:rPr>
        <w:t>epublic</w:t>
      </w:r>
      <w:r w:rsidRPr="0086080F">
        <w:rPr>
          <w:sz w:val="20"/>
          <w:szCs w:val="20"/>
        </w:rPr>
        <w:t xml:space="preserve">, which is inaccessible at certain times of the year due to poor or non-existent infrastructure </w:t>
      </w:r>
      <w:r>
        <w:rPr>
          <w:sz w:val="20"/>
          <w:szCs w:val="20"/>
        </w:rPr>
        <w:t>(</w:t>
      </w:r>
      <w:r w:rsidRPr="0086080F">
        <w:rPr>
          <w:sz w:val="20"/>
          <w:szCs w:val="20"/>
        </w:rPr>
        <w:t xml:space="preserve">and where the Séléka rebellion </w:t>
      </w:r>
      <w:r>
        <w:rPr>
          <w:sz w:val="20"/>
          <w:szCs w:val="20"/>
        </w:rPr>
        <w:t>started),</w:t>
      </w:r>
      <w:r w:rsidRPr="0086080F">
        <w:rPr>
          <w:sz w:val="20"/>
          <w:szCs w:val="20"/>
        </w:rPr>
        <w:t xml:space="preserve"> has not </w:t>
      </w:r>
      <w:r w:rsidR="004C711E">
        <w:rPr>
          <w:sz w:val="20"/>
          <w:szCs w:val="20"/>
        </w:rPr>
        <w:t xml:space="preserve">benefited from </w:t>
      </w:r>
      <w:r w:rsidRPr="0086080F">
        <w:rPr>
          <w:sz w:val="20"/>
          <w:szCs w:val="20"/>
        </w:rPr>
        <w:t>basic social service provision since the 1990’s</w:t>
      </w:r>
      <w:r>
        <w:rPr>
          <w:sz w:val="20"/>
          <w:szCs w:val="20"/>
        </w:rPr>
        <w:t>.</w:t>
      </w:r>
      <w:r w:rsidRPr="0086080F">
        <w:rPr>
          <w:rStyle w:val="FootnoteReference"/>
          <w:sz w:val="20"/>
          <w:szCs w:val="20"/>
        </w:rPr>
        <w:footnoteReference w:id="8"/>
      </w:r>
      <w:r w:rsidRPr="0086080F">
        <w:rPr>
          <w:sz w:val="20"/>
          <w:szCs w:val="20"/>
        </w:rPr>
        <w:t xml:space="preserve"> </w:t>
      </w:r>
    </w:p>
    <w:p w14:paraId="1405D835" w14:textId="1DB567AD" w:rsidR="00584C35" w:rsidRDefault="00C14E9E" w:rsidP="009C21AB">
      <w:pPr>
        <w:pStyle w:val="ListParagraph"/>
        <w:numPr>
          <w:ilvl w:val="0"/>
          <w:numId w:val="13"/>
        </w:numPr>
        <w:tabs>
          <w:tab w:val="left" w:pos="1710"/>
        </w:tabs>
        <w:spacing w:after="120"/>
        <w:ind w:left="1418" w:right="1210" w:firstLine="0"/>
        <w:jc w:val="both"/>
        <w:rPr>
          <w:sz w:val="20"/>
          <w:szCs w:val="20"/>
        </w:rPr>
      </w:pPr>
      <w:r>
        <w:rPr>
          <w:sz w:val="20"/>
          <w:szCs w:val="20"/>
        </w:rPr>
        <w:t>M</w:t>
      </w:r>
      <w:r w:rsidR="00BD3DBA" w:rsidRPr="00584C35">
        <w:rPr>
          <w:sz w:val="20"/>
          <w:szCs w:val="20"/>
        </w:rPr>
        <w:t xml:space="preserve">assive population displacement </w:t>
      </w:r>
      <w:r w:rsidR="00A13F70">
        <w:rPr>
          <w:sz w:val="20"/>
          <w:szCs w:val="20"/>
        </w:rPr>
        <w:t xml:space="preserve">has </w:t>
      </w:r>
      <w:r>
        <w:rPr>
          <w:sz w:val="20"/>
          <w:szCs w:val="20"/>
        </w:rPr>
        <w:t>affected</w:t>
      </w:r>
      <w:r w:rsidRPr="00584C35">
        <w:rPr>
          <w:sz w:val="20"/>
          <w:szCs w:val="20"/>
        </w:rPr>
        <w:t xml:space="preserve"> </w:t>
      </w:r>
      <w:r w:rsidR="00BD3DBA" w:rsidRPr="00584C35">
        <w:rPr>
          <w:sz w:val="20"/>
          <w:szCs w:val="20"/>
        </w:rPr>
        <w:t xml:space="preserve">nearly a quarter of </w:t>
      </w:r>
      <w:r>
        <w:rPr>
          <w:sz w:val="20"/>
          <w:szCs w:val="20"/>
        </w:rPr>
        <w:t>the country’s</w:t>
      </w:r>
      <w:r w:rsidRPr="00584C35">
        <w:rPr>
          <w:sz w:val="20"/>
          <w:szCs w:val="20"/>
        </w:rPr>
        <w:t xml:space="preserve"> </w:t>
      </w:r>
      <w:r>
        <w:rPr>
          <w:sz w:val="20"/>
          <w:szCs w:val="20"/>
        </w:rPr>
        <w:t>population</w:t>
      </w:r>
      <w:r w:rsidR="00A13F70">
        <w:rPr>
          <w:sz w:val="20"/>
          <w:szCs w:val="20"/>
        </w:rPr>
        <w:t xml:space="preserve">: </w:t>
      </w:r>
      <w:r w:rsidR="00BD3DBA" w:rsidRPr="00584C35">
        <w:rPr>
          <w:sz w:val="20"/>
          <w:szCs w:val="20"/>
        </w:rPr>
        <w:t xml:space="preserve">4.6 million </w:t>
      </w:r>
      <w:r>
        <w:rPr>
          <w:sz w:val="20"/>
          <w:szCs w:val="20"/>
        </w:rPr>
        <w:t>people</w:t>
      </w:r>
      <w:r w:rsidR="00BD3DBA" w:rsidRPr="00584C35">
        <w:rPr>
          <w:sz w:val="20"/>
          <w:szCs w:val="20"/>
        </w:rPr>
        <w:t xml:space="preserve">. </w:t>
      </w:r>
      <w:r>
        <w:rPr>
          <w:sz w:val="20"/>
          <w:szCs w:val="20"/>
        </w:rPr>
        <w:t>M</w:t>
      </w:r>
      <w:r w:rsidR="00BD3DBA" w:rsidRPr="00584C35">
        <w:rPr>
          <w:sz w:val="20"/>
          <w:szCs w:val="20"/>
        </w:rPr>
        <w:t xml:space="preserve">ore than half of the population </w:t>
      </w:r>
      <w:r>
        <w:rPr>
          <w:sz w:val="20"/>
          <w:szCs w:val="20"/>
        </w:rPr>
        <w:t>(</w:t>
      </w:r>
      <w:r w:rsidR="00BD3DBA" w:rsidRPr="00584C35">
        <w:rPr>
          <w:sz w:val="20"/>
          <w:szCs w:val="20"/>
        </w:rPr>
        <w:t>approximatel</w:t>
      </w:r>
      <w:r w:rsidR="000E1B61">
        <w:rPr>
          <w:sz w:val="20"/>
          <w:szCs w:val="20"/>
        </w:rPr>
        <w:t>y 2.3 million</w:t>
      </w:r>
      <w:r>
        <w:rPr>
          <w:sz w:val="20"/>
          <w:szCs w:val="20"/>
        </w:rPr>
        <w:t>)</w:t>
      </w:r>
      <w:r w:rsidR="000E1B61">
        <w:rPr>
          <w:sz w:val="20"/>
          <w:szCs w:val="20"/>
        </w:rPr>
        <w:t xml:space="preserve"> is in</w:t>
      </w:r>
      <w:r w:rsidR="00BD3DBA" w:rsidRPr="00584C35">
        <w:rPr>
          <w:sz w:val="20"/>
          <w:szCs w:val="20"/>
        </w:rPr>
        <w:t xml:space="preserve"> need of humanitarian assistance with </w:t>
      </w:r>
      <w:r w:rsidR="007B69EF" w:rsidRPr="007B69EF">
        <w:rPr>
          <w:sz w:val="20"/>
          <w:szCs w:val="20"/>
        </w:rPr>
        <w:t>401,1</w:t>
      </w:r>
      <w:r w:rsidR="00BD3DBA" w:rsidRPr="007B69EF">
        <w:rPr>
          <w:sz w:val="20"/>
          <w:szCs w:val="20"/>
        </w:rPr>
        <w:t>00 interna</w:t>
      </w:r>
      <w:r w:rsidR="007B69EF" w:rsidRPr="007B69EF">
        <w:rPr>
          <w:sz w:val="20"/>
          <w:szCs w:val="20"/>
        </w:rPr>
        <w:t>lly displaced</w:t>
      </w:r>
      <w:r>
        <w:rPr>
          <w:sz w:val="20"/>
          <w:szCs w:val="20"/>
        </w:rPr>
        <w:t xml:space="preserve"> </w:t>
      </w:r>
      <w:r w:rsidR="007B69EF" w:rsidRPr="007B69EF">
        <w:rPr>
          <w:sz w:val="20"/>
          <w:szCs w:val="20"/>
        </w:rPr>
        <w:t>and 462,600</w:t>
      </w:r>
      <w:r w:rsidR="00BD3DBA" w:rsidRPr="007B69EF">
        <w:rPr>
          <w:sz w:val="20"/>
          <w:szCs w:val="20"/>
        </w:rPr>
        <w:t xml:space="preserve"> </w:t>
      </w:r>
      <w:r w:rsidR="00A13F70">
        <w:rPr>
          <w:sz w:val="20"/>
          <w:szCs w:val="20"/>
        </w:rPr>
        <w:t xml:space="preserve">registered as </w:t>
      </w:r>
      <w:r w:rsidR="00BD3DBA" w:rsidRPr="007B69EF">
        <w:rPr>
          <w:sz w:val="20"/>
          <w:szCs w:val="20"/>
        </w:rPr>
        <w:t xml:space="preserve">refugees </w:t>
      </w:r>
      <w:r>
        <w:rPr>
          <w:sz w:val="20"/>
          <w:szCs w:val="20"/>
        </w:rPr>
        <w:t>i</w:t>
      </w:r>
      <w:r w:rsidR="006B0C2E">
        <w:rPr>
          <w:sz w:val="20"/>
          <w:szCs w:val="20"/>
        </w:rPr>
        <w:t>n</w:t>
      </w:r>
      <w:r w:rsidRPr="007B69EF">
        <w:rPr>
          <w:sz w:val="20"/>
          <w:szCs w:val="20"/>
        </w:rPr>
        <w:t xml:space="preserve"> </w:t>
      </w:r>
      <w:r w:rsidR="00D61CE1" w:rsidRPr="007B69EF">
        <w:rPr>
          <w:sz w:val="20"/>
          <w:szCs w:val="20"/>
        </w:rPr>
        <w:t>Cameroon, Chad,</w:t>
      </w:r>
      <w:r w:rsidR="00BD3DBA" w:rsidRPr="007B69EF">
        <w:rPr>
          <w:sz w:val="20"/>
          <w:szCs w:val="20"/>
        </w:rPr>
        <w:t xml:space="preserve"> the </w:t>
      </w:r>
      <w:r w:rsidR="00D60E59">
        <w:rPr>
          <w:sz w:val="20"/>
          <w:szCs w:val="20"/>
        </w:rPr>
        <w:t>DRC</w:t>
      </w:r>
      <w:r>
        <w:rPr>
          <w:sz w:val="20"/>
          <w:szCs w:val="20"/>
        </w:rPr>
        <w:t>,</w:t>
      </w:r>
      <w:r w:rsidR="00D61CE1" w:rsidRPr="007B69EF">
        <w:rPr>
          <w:sz w:val="20"/>
          <w:szCs w:val="20"/>
        </w:rPr>
        <w:t xml:space="preserve"> and the Republic of Congo</w:t>
      </w:r>
      <w:r>
        <w:rPr>
          <w:sz w:val="20"/>
          <w:szCs w:val="20"/>
        </w:rPr>
        <w:t>.</w:t>
      </w:r>
      <w:r w:rsidR="00BD3DBA" w:rsidRPr="00C14E9E">
        <w:rPr>
          <w:sz w:val="18"/>
          <w:vertAlign w:val="superscript"/>
        </w:rPr>
        <w:footnoteReference w:id="9"/>
      </w:r>
      <w:r w:rsidR="00584C35" w:rsidRPr="00584C35">
        <w:rPr>
          <w:sz w:val="20"/>
          <w:szCs w:val="20"/>
        </w:rPr>
        <w:t xml:space="preserve"> </w:t>
      </w:r>
      <w:r w:rsidR="00584C35" w:rsidRPr="00584C35">
        <w:rPr>
          <w:sz w:val="20"/>
          <w:szCs w:val="20"/>
        </w:rPr>
        <w:lastRenderedPageBreak/>
        <w:t>Violence, looting, and displacement led to a 58 per</w:t>
      </w:r>
      <w:r>
        <w:rPr>
          <w:sz w:val="20"/>
          <w:szCs w:val="20"/>
        </w:rPr>
        <w:t xml:space="preserve"> </w:t>
      </w:r>
      <w:r w:rsidR="00584C35" w:rsidRPr="00584C35">
        <w:rPr>
          <w:sz w:val="20"/>
          <w:szCs w:val="20"/>
        </w:rPr>
        <w:t>cent reduction in crop production in 2014 compared with the pre-crisis average,</w:t>
      </w:r>
      <w:r w:rsidR="00584C35" w:rsidRPr="00950214">
        <w:rPr>
          <w:sz w:val="18"/>
          <w:vertAlign w:val="superscript"/>
        </w:rPr>
        <w:footnoteReference w:id="10"/>
      </w:r>
      <w:r w:rsidR="00584C35" w:rsidRPr="00584C35">
        <w:rPr>
          <w:sz w:val="20"/>
          <w:szCs w:val="20"/>
        </w:rPr>
        <w:t xml:space="preserve"> leaving an already vulnerable population at risk due to sharp increases in food prices. Women, internally displaced populations and refugees are most severely affected by food insecurity and weak community support networks. </w:t>
      </w:r>
      <w:r w:rsidR="00D777E3">
        <w:rPr>
          <w:sz w:val="20"/>
          <w:szCs w:val="20"/>
        </w:rPr>
        <w:t>A</w:t>
      </w:r>
      <w:r w:rsidR="000E1B61">
        <w:rPr>
          <w:sz w:val="20"/>
          <w:szCs w:val="20"/>
        </w:rPr>
        <w:t xml:space="preserve">pproximately </w:t>
      </w:r>
      <w:r w:rsidR="000B507E">
        <w:rPr>
          <w:sz w:val="20"/>
          <w:szCs w:val="20"/>
        </w:rPr>
        <w:t>1.1</w:t>
      </w:r>
      <w:r w:rsidR="00584C35" w:rsidRPr="00584C35">
        <w:rPr>
          <w:sz w:val="20"/>
          <w:szCs w:val="20"/>
        </w:rPr>
        <w:t xml:space="preserve"> million people are still affected by food insecurity </w:t>
      </w:r>
      <w:r w:rsidR="000339E3">
        <w:rPr>
          <w:sz w:val="20"/>
          <w:szCs w:val="20"/>
        </w:rPr>
        <w:t xml:space="preserve">in the center-north and northwest </w:t>
      </w:r>
      <w:r w:rsidR="00D777E3">
        <w:rPr>
          <w:sz w:val="20"/>
          <w:szCs w:val="20"/>
        </w:rPr>
        <w:t xml:space="preserve">parts </w:t>
      </w:r>
      <w:r w:rsidR="000339E3">
        <w:rPr>
          <w:sz w:val="20"/>
          <w:szCs w:val="20"/>
        </w:rPr>
        <w:t xml:space="preserve">of </w:t>
      </w:r>
      <w:r w:rsidR="00584C35" w:rsidRPr="00584C35">
        <w:rPr>
          <w:sz w:val="20"/>
          <w:szCs w:val="20"/>
        </w:rPr>
        <w:t>the country</w:t>
      </w:r>
      <w:r w:rsidR="00D777E3">
        <w:rPr>
          <w:sz w:val="20"/>
          <w:szCs w:val="20"/>
        </w:rPr>
        <w:t>.</w:t>
      </w:r>
      <w:r w:rsidR="00584C35" w:rsidRPr="00950214">
        <w:rPr>
          <w:sz w:val="18"/>
          <w:vertAlign w:val="superscript"/>
        </w:rPr>
        <w:footnoteReference w:id="11"/>
      </w:r>
      <w:r w:rsidR="00584C35" w:rsidRPr="00584C35">
        <w:rPr>
          <w:sz w:val="20"/>
          <w:szCs w:val="20"/>
        </w:rPr>
        <w:t xml:space="preserve"> </w:t>
      </w:r>
    </w:p>
    <w:p w14:paraId="3F44292B" w14:textId="6D2A9226" w:rsidR="00936861" w:rsidRPr="003D53AF" w:rsidRDefault="005608F3" w:rsidP="009C21AB">
      <w:pPr>
        <w:pStyle w:val="ListParagraph"/>
        <w:numPr>
          <w:ilvl w:val="0"/>
          <w:numId w:val="13"/>
        </w:numPr>
        <w:tabs>
          <w:tab w:val="left" w:pos="1710"/>
        </w:tabs>
        <w:spacing w:after="120"/>
        <w:ind w:left="1418" w:right="1210" w:firstLine="0"/>
        <w:jc w:val="both"/>
        <w:rPr>
          <w:sz w:val="20"/>
          <w:szCs w:val="20"/>
        </w:rPr>
      </w:pPr>
      <w:r w:rsidRPr="00584C35">
        <w:rPr>
          <w:sz w:val="20"/>
          <w:szCs w:val="20"/>
        </w:rPr>
        <w:t>Wo</w:t>
      </w:r>
      <w:r w:rsidR="00346579">
        <w:rPr>
          <w:sz w:val="20"/>
          <w:szCs w:val="20"/>
        </w:rPr>
        <w:t>men have</w:t>
      </w:r>
      <w:r w:rsidRPr="00584C35">
        <w:rPr>
          <w:sz w:val="20"/>
          <w:szCs w:val="20"/>
        </w:rPr>
        <w:t xml:space="preserve"> been more severely affected by the c</w:t>
      </w:r>
      <w:r w:rsidR="005F3EA0" w:rsidRPr="00584C35">
        <w:rPr>
          <w:sz w:val="20"/>
          <w:szCs w:val="20"/>
        </w:rPr>
        <w:t xml:space="preserve">risis </w:t>
      </w:r>
      <w:r w:rsidR="006B0C2E">
        <w:rPr>
          <w:sz w:val="20"/>
          <w:szCs w:val="20"/>
        </w:rPr>
        <w:t xml:space="preserve">as </w:t>
      </w:r>
      <w:r w:rsidR="00A13F70">
        <w:rPr>
          <w:sz w:val="20"/>
          <w:szCs w:val="20"/>
        </w:rPr>
        <w:t>seen in the</w:t>
      </w:r>
      <w:r w:rsidR="005D4DF1">
        <w:rPr>
          <w:sz w:val="20"/>
          <w:szCs w:val="20"/>
        </w:rPr>
        <w:t xml:space="preserve"> increase of female-</w:t>
      </w:r>
      <w:r w:rsidR="00BB3F7F">
        <w:rPr>
          <w:sz w:val="20"/>
          <w:szCs w:val="20"/>
        </w:rPr>
        <w:t>headed households</w:t>
      </w:r>
      <w:r w:rsidR="00950214">
        <w:rPr>
          <w:sz w:val="20"/>
          <w:szCs w:val="20"/>
        </w:rPr>
        <w:t xml:space="preserve">. A </w:t>
      </w:r>
      <w:r w:rsidRPr="00584C35">
        <w:rPr>
          <w:sz w:val="20"/>
          <w:szCs w:val="20"/>
        </w:rPr>
        <w:t xml:space="preserve">chronic lack of economic opportunity </w:t>
      </w:r>
      <w:r w:rsidR="00950214">
        <w:rPr>
          <w:sz w:val="20"/>
          <w:szCs w:val="20"/>
        </w:rPr>
        <w:t>means</w:t>
      </w:r>
      <w:r w:rsidR="00950214" w:rsidRPr="00584C35">
        <w:rPr>
          <w:sz w:val="20"/>
          <w:szCs w:val="20"/>
        </w:rPr>
        <w:t xml:space="preserve"> </w:t>
      </w:r>
      <w:r w:rsidRPr="00584C35">
        <w:rPr>
          <w:sz w:val="20"/>
          <w:szCs w:val="20"/>
        </w:rPr>
        <w:t xml:space="preserve">that poverty rates for women </w:t>
      </w:r>
      <w:r w:rsidR="00950214">
        <w:rPr>
          <w:sz w:val="20"/>
          <w:szCs w:val="20"/>
        </w:rPr>
        <w:t xml:space="preserve">in rural areas </w:t>
      </w:r>
      <w:r w:rsidR="00A13F70">
        <w:rPr>
          <w:sz w:val="20"/>
          <w:szCs w:val="20"/>
        </w:rPr>
        <w:t>have hit</w:t>
      </w:r>
      <w:r w:rsidRPr="00584C35">
        <w:rPr>
          <w:sz w:val="20"/>
          <w:szCs w:val="20"/>
        </w:rPr>
        <w:t xml:space="preserve"> 81 per</w:t>
      </w:r>
      <w:r w:rsidR="00950214">
        <w:rPr>
          <w:sz w:val="20"/>
          <w:szCs w:val="20"/>
        </w:rPr>
        <w:t xml:space="preserve"> </w:t>
      </w:r>
      <w:r w:rsidRPr="00584C35">
        <w:rPr>
          <w:sz w:val="20"/>
          <w:szCs w:val="20"/>
        </w:rPr>
        <w:t>cent</w:t>
      </w:r>
      <w:r w:rsidR="00A13F70">
        <w:rPr>
          <w:sz w:val="20"/>
          <w:szCs w:val="20"/>
        </w:rPr>
        <w:t>,</w:t>
      </w:r>
      <w:r w:rsidRPr="00584C35">
        <w:rPr>
          <w:sz w:val="20"/>
          <w:szCs w:val="20"/>
        </w:rPr>
        <w:t xml:space="preserve"> compared to 69 per</w:t>
      </w:r>
      <w:r w:rsidR="00950214">
        <w:rPr>
          <w:sz w:val="20"/>
          <w:szCs w:val="20"/>
        </w:rPr>
        <w:t xml:space="preserve"> </w:t>
      </w:r>
      <w:r w:rsidRPr="00584C35">
        <w:rPr>
          <w:sz w:val="20"/>
          <w:szCs w:val="20"/>
        </w:rPr>
        <w:t>cent for men</w:t>
      </w:r>
      <w:r w:rsidR="00950214">
        <w:rPr>
          <w:sz w:val="20"/>
          <w:szCs w:val="20"/>
        </w:rPr>
        <w:t>.</w:t>
      </w:r>
      <w:r w:rsidRPr="00950214">
        <w:rPr>
          <w:sz w:val="18"/>
          <w:vertAlign w:val="superscript"/>
        </w:rPr>
        <w:footnoteReference w:id="12"/>
      </w:r>
      <w:r w:rsidR="001B4975" w:rsidRPr="00584C35">
        <w:rPr>
          <w:sz w:val="20"/>
          <w:szCs w:val="20"/>
        </w:rPr>
        <w:t xml:space="preserve"> </w:t>
      </w:r>
      <w:r w:rsidR="00A13F70">
        <w:rPr>
          <w:sz w:val="20"/>
          <w:szCs w:val="20"/>
        </w:rPr>
        <w:t>W</w:t>
      </w:r>
      <w:r w:rsidR="005D4DF1">
        <w:rPr>
          <w:sz w:val="20"/>
          <w:szCs w:val="20"/>
        </w:rPr>
        <w:t>eak gender equality indicators</w:t>
      </w:r>
      <w:r w:rsidR="00BB3F7F">
        <w:rPr>
          <w:sz w:val="20"/>
          <w:szCs w:val="20"/>
        </w:rPr>
        <w:t xml:space="preserve"> </w:t>
      </w:r>
      <w:r w:rsidR="005D4DF1">
        <w:rPr>
          <w:sz w:val="20"/>
          <w:szCs w:val="20"/>
        </w:rPr>
        <w:t xml:space="preserve">for </w:t>
      </w:r>
      <w:r w:rsidR="00383980">
        <w:rPr>
          <w:sz w:val="20"/>
          <w:szCs w:val="20"/>
        </w:rPr>
        <w:t>the country</w:t>
      </w:r>
      <w:r w:rsidR="005D4DF1">
        <w:rPr>
          <w:rStyle w:val="FootnoteReference"/>
          <w:sz w:val="20"/>
          <w:szCs w:val="20"/>
        </w:rPr>
        <w:footnoteReference w:id="13"/>
      </w:r>
      <w:r w:rsidR="005D4DF1">
        <w:rPr>
          <w:sz w:val="20"/>
          <w:szCs w:val="20"/>
        </w:rPr>
        <w:t xml:space="preserve"> </w:t>
      </w:r>
      <w:r w:rsidR="00A13F70">
        <w:rPr>
          <w:sz w:val="20"/>
          <w:szCs w:val="20"/>
        </w:rPr>
        <w:t>provide</w:t>
      </w:r>
      <w:r w:rsidR="00950214">
        <w:rPr>
          <w:sz w:val="20"/>
          <w:szCs w:val="20"/>
        </w:rPr>
        <w:t xml:space="preserve"> context for the</w:t>
      </w:r>
      <w:r w:rsidR="00616FD6" w:rsidRPr="00584C35">
        <w:rPr>
          <w:sz w:val="20"/>
          <w:szCs w:val="20"/>
        </w:rPr>
        <w:t xml:space="preserve"> increase in sexual and gender-base</w:t>
      </w:r>
      <w:r w:rsidR="0078187E" w:rsidRPr="00584C35">
        <w:rPr>
          <w:sz w:val="20"/>
          <w:szCs w:val="20"/>
        </w:rPr>
        <w:t>d violence</w:t>
      </w:r>
      <w:r w:rsidR="00D11950">
        <w:rPr>
          <w:sz w:val="20"/>
          <w:szCs w:val="20"/>
        </w:rPr>
        <w:t xml:space="preserve">, including </w:t>
      </w:r>
      <w:r w:rsidR="00D855D1">
        <w:rPr>
          <w:sz w:val="20"/>
          <w:szCs w:val="20"/>
        </w:rPr>
        <w:t xml:space="preserve">women and girls </w:t>
      </w:r>
      <w:r w:rsidR="00950214">
        <w:rPr>
          <w:sz w:val="20"/>
          <w:szCs w:val="20"/>
        </w:rPr>
        <w:t xml:space="preserve">who </w:t>
      </w:r>
      <w:r w:rsidR="00D855D1">
        <w:rPr>
          <w:sz w:val="20"/>
          <w:szCs w:val="20"/>
        </w:rPr>
        <w:t>suffer fro</w:t>
      </w:r>
      <w:r w:rsidR="00D11950">
        <w:rPr>
          <w:sz w:val="20"/>
          <w:szCs w:val="20"/>
        </w:rPr>
        <w:t>m disabilities.</w:t>
      </w:r>
      <w:r w:rsidR="00616FD6" w:rsidRPr="00584C35">
        <w:rPr>
          <w:sz w:val="20"/>
          <w:szCs w:val="20"/>
        </w:rPr>
        <w:t xml:space="preserve"> </w:t>
      </w:r>
      <w:r w:rsidR="00D11950">
        <w:rPr>
          <w:sz w:val="20"/>
          <w:szCs w:val="20"/>
        </w:rPr>
        <w:t>I</w:t>
      </w:r>
      <w:r w:rsidR="001B4975" w:rsidRPr="00584C35">
        <w:rPr>
          <w:sz w:val="20"/>
          <w:szCs w:val="20"/>
        </w:rPr>
        <w:t>n 2016</w:t>
      </w:r>
      <w:r w:rsidR="00D11950">
        <w:rPr>
          <w:sz w:val="20"/>
          <w:szCs w:val="20"/>
        </w:rPr>
        <w:t xml:space="preserve">, </w:t>
      </w:r>
      <w:r w:rsidR="001B4975" w:rsidRPr="00584C35">
        <w:rPr>
          <w:sz w:val="20"/>
          <w:szCs w:val="20"/>
        </w:rPr>
        <w:t>a total of 11,110 incidents</w:t>
      </w:r>
      <w:r w:rsidR="008162AA">
        <w:rPr>
          <w:sz w:val="20"/>
          <w:szCs w:val="20"/>
        </w:rPr>
        <w:t xml:space="preserve"> </w:t>
      </w:r>
      <w:r w:rsidR="00950214">
        <w:rPr>
          <w:sz w:val="20"/>
          <w:szCs w:val="20"/>
        </w:rPr>
        <w:t>(</w:t>
      </w:r>
      <w:r w:rsidR="00A13F70">
        <w:rPr>
          <w:sz w:val="20"/>
          <w:szCs w:val="20"/>
        </w:rPr>
        <w:t xml:space="preserve">which include </w:t>
      </w:r>
      <w:r w:rsidR="008162AA">
        <w:rPr>
          <w:sz w:val="20"/>
          <w:szCs w:val="20"/>
        </w:rPr>
        <w:t>rape</w:t>
      </w:r>
      <w:r w:rsidR="00C9373B">
        <w:rPr>
          <w:sz w:val="20"/>
          <w:szCs w:val="20"/>
        </w:rPr>
        <w:t xml:space="preserve"> and</w:t>
      </w:r>
      <w:r w:rsidR="008162AA">
        <w:rPr>
          <w:sz w:val="20"/>
          <w:szCs w:val="20"/>
        </w:rPr>
        <w:t xml:space="preserve"> physical aggression</w:t>
      </w:r>
      <w:r w:rsidR="00950214">
        <w:rPr>
          <w:sz w:val="20"/>
          <w:szCs w:val="20"/>
        </w:rPr>
        <w:t>)</w:t>
      </w:r>
      <w:r w:rsidR="008162AA">
        <w:rPr>
          <w:sz w:val="20"/>
          <w:szCs w:val="20"/>
        </w:rPr>
        <w:t xml:space="preserve"> </w:t>
      </w:r>
      <w:r w:rsidR="001B4975" w:rsidRPr="00584C35">
        <w:rPr>
          <w:sz w:val="20"/>
          <w:szCs w:val="20"/>
        </w:rPr>
        <w:t>were recorded</w:t>
      </w:r>
      <w:r w:rsidR="00950214">
        <w:rPr>
          <w:sz w:val="20"/>
          <w:szCs w:val="20"/>
        </w:rPr>
        <w:t xml:space="preserve">, </w:t>
      </w:r>
      <w:r w:rsidR="00A13F70">
        <w:rPr>
          <w:sz w:val="20"/>
          <w:szCs w:val="20"/>
        </w:rPr>
        <w:t>and this is</w:t>
      </w:r>
      <w:r w:rsidR="00950214">
        <w:rPr>
          <w:sz w:val="20"/>
          <w:szCs w:val="20"/>
        </w:rPr>
        <w:t xml:space="preserve"> estimated to be only a fraction of actual cases.</w:t>
      </w:r>
      <w:r w:rsidR="001B4975">
        <w:rPr>
          <w:rStyle w:val="FootnoteReference"/>
          <w:sz w:val="20"/>
          <w:szCs w:val="20"/>
        </w:rPr>
        <w:footnoteReference w:id="14"/>
      </w:r>
      <w:r w:rsidR="006E2B85">
        <w:rPr>
          <w:sz w:val="20"/>
          <w:szCs w:val="20"/>
        </w:rPr>
        <w:t xml:space="preserve"> </w:t>
      </w:r>
      <w:r w:rsidR="0000643B" w:rsidRPr="00584C35">
        <w:rPr>
          <w:sz w:val="20"/>
          <w:szCs w:val="20"/>
        </w:rPr>
        <w:t xml:space="preserve">Youth </w:t>
      </w:r>
      <w:r w:rsidR="00950214">
        <w:rPr>
          <w:sz w:val="20"/>
          <w:szCs w:val="20"/>
        </w:rPr>
        <w:t>are another</w:t>
      </w:r>
      <w:r w:rsidR="0000643B" w:rsidRPr="00584C35">
        <w:rPr>
          <w:sz w:val="20"/>
          <w:szCs w:val="20"/>
        </w:rPr>
        <w:t xml:space="preserve"> vulnerab</w:t>
      </w:r>
      <w:r w:rsidR="00950214">
        <w:rPr>
          <w:sz w:val="20"/>
          <w:szCs w:val="20"/>
        </w:rPr>
        <w:t>le group</w:t>
      </w:r>
      <w:r w:rsidR="0000643B" w:rsidRPr="00584C35">
        <w:rPr>
          <w:sz w:val="20"/>
          <w:szCs w:val="20"/>
        </w:rPr>
        <w:t xml:space="preserve"> due to</w:t>
      </w:r>
      <w:r w:rsidR="0078187E" w:rsidRPr="00584C35">
        <w:rPr>
          <w:sz w:val="20"/>
          <w:szCs w:val="20"/>
        </w:rPr>
        <w:t xml:space="preserve"> </w:t>
      </w:r>
      <w:r w:rsidR="0000643B" w:rsidRPr="00584C35">
        <w:rPr>
          <w:sz w:val="20"/>
          <w:szCs w:val="20"/>
        </w:rPr>
        <w:t>high levels of unemployment</w:t>
      </w:r>
      <w:r w:rsidR="001B4975">
        <w:rPr>
          <w:rStyle w:val="FootnoteReference"/>
          <w:sz w:val="20"/>
          <w:szCs w:val="20"/>
        </w:rPr>
        <w:footnoteReference w:id="15"/>
      </w:r>
      <w:r w:rsidR="0000643B" w:rsidRPr="00584C35">
        <w:rPr>
          <w:sz w:val="20"/>
          <w:szCs w:val="20"/>
        </w:rPr>
        <w:t xml:space="preserve"> and </w:t>
      </w:r>
      <w:r w:rsidR="00A13F70">
        <w:rPr>
          <w:sz w:val="20"/>
          <w:szCs w:val="20"/>
        </w:rPr>
        <w:t xml:space="preserve">the risk </w:t>
      </w:r>
      <w:r w:rsidR="00950214">
        <w:rPr>
          <w:sz w:val="20"/>
          <w:szCs w:val="20"/>
        </w:rPr>
        <w:t>of being</w:t>
      </w:r>
      <w:r w:rsidR="0000643B" w:rsidRPr="00584C35">
        <w:rPr>
          <w:sz w:val="20"/>
          <w:szCs w:val="20"/>
        </w:rPr>
        <w:t xml:space="preserve"> </w:t>
      </w:r>
      <w:r w:rsidR="00950214">
        <w:rPr>
          <w:sz w:val="20"/>
          <w:szCs w:val="20"/>
        </w:rPr>
        <w:t>recruited</w:t>
      </w:r>
      <w:r w:rsidR="0000643B" w:rsidRPr="00584C35">
        <w:rPr>
          <w:sz w:val="20"/>
          <w:szCs w:val="20"/>
        </w:rPr>
        <w:t xml:space="preserve"> into armed groups. As such, the </w:t>
      </w:r>
      <w:r w:rsidR="00950214">
        <w:rPr>
          <w:sz w:val="20"/>
          <w:szCs w:val="20"/>
        </w:rPr>
        <w:t>g</w:t>
      </w:r>
      <w:r w:rsidR="0000643B" w:rsidRPr="00584C35">
        <w:rPr>
          <w:sz w:val="20"/>
          <w:szCs w:val="20"/>
        </w:rPr>
        <w:t xml:space="preserve">overnment and its partners </w:t>
      </w:r>
      <w:r w:rsidR="00950214">
        <w:rPr>
          <w:sz w:val="20"/>
          <w:szCs w:val="20"/>
        </w:rPr>
        <w:t>have</w:t>
      </w:r>
      <w:r w:rsidR="00950214" w:rsidRPr="00584C35">
        <w:rPr>
          <w:sz w:val="20"/>
          <w:szCs w:val="20"/>
        </w:rPr>
        <w:t xml:space="preserve"> </w:t>
      </w:r>
      <w:r w:rsidR="00950214">
        <w:rPr>
          <w:sz w:val="20"/>
          <w:szCs w:val="20"/>
        </w:rPr>
        <w:t>a</w:t>
      </w:r>
      <w:r w:rsidR="0000643B" w:rsidRPr="00584C35">
        <w:rPr>
          <w:sz w:val="20"/>
          <w:szCs w:val="20"/>
        </w:rPr>
        <w:t xml:space="preserve"> responsibility </w:t>
      </w:r>
      <w:r w:rsidR="00A13F70">
        <w:rPr>
          <w:sz w:val="20"/>
          <w:szCs w:val="20"/>
        </w:rPr>
        <w:t>to provide</w:t>
      </w:r>
      <w:r w:rsidR="0000643B" w:rsidRPr="00584C35">
        <w:rPr>
          <w:sz w:val="20"/>
          <w:szCs w:val="20"/>
        </w:rPr>
        <w:t xml:space="preserve"> opportunities for education, </w:t>
      </w:r>
      <w:r w:rsidR="00360C28">
        <w:rPr>
          <w:sz w:val="20"/>
          <w:szCs w:val="20"/>
        </w:rPr>
        <w:t xml:space="preserve">training, and </w:t>
      </w:r>
      <w:r w:rsidR="0000643B" w:rsidRPr="00584C35">
        <w:rPr>
          <w:sz w:val="20"/>
          <w:szCs w:val="20"/>
        </w:rPr>
        <w:t xml:space="preserve">employment </w:t>
      </w:r>
      <w:r w:rsidR="00A13F70">
        <w:rPr>
          <w:sz w:val="20"/>
          <w:szCs w:val="20"/>
        </w:rPr>
        <w:t>that</w:t>
      </w:r>
      <w:r w:rsidR="0000643B" w:rsidRPr="00584C35">
        <w:rPr>
          <w:sz w:val="20"/>
          <w:szCs w:val="20"/>
        </w:rPr>
        <w:t xml:space="preserve"> </w:t>
      </w:r>
      <w:r w:rsidR="008D0E98">
        <w:rPr>
          <w:sz w:val="20"/>
          <w:szCs w:val="20"/>
        </w:rPr>
        <w:t>encourage</w:t>
      </w:r>
      <w:r w:rsidR="008D0E98" w:rsidRPr="00584C35">
        <w:rPr>
          <w:sz w:val="20"/>
          <w:szCs w:val="20"/>
        </w:rPr>
        <w:t xml:space="preserve"> </w:t>
      </w:r>
      <w:r w:rsidR="0078187E" w:rsidRPr="00584C35">
        <w:rPr>
          <w:sz w:val="20"/>
          <w:szCs w:val="20"/>
        </w:rPr>
        <w:t xml:space="preserve">women and </w:t>
      </w:r>
      <w:r w:rsidR="0000643B" w:rsidRPr="00584C35">
        <w:rPr>
          <w:sz w:val="20"/>
          <w:szCs w:val="20"/>
        </w:rPr>
        <w:t>youth to participate in the peacebuilding process.</w:t>
      </w:r>
    </w:p>
    <w:p w14:paraId="34EC2E23" w14:textId="21199BB6" w:rsidR="003D53AF" w:rsidRDefault="00950214" w:rsidP="009C21AB">
      <w:pPr>
        <w:pStyle w:val="ListParagraph"/>
        <w:numPr>
          <w:ilvl w:val="0"/>
          <w:numId w:val="13"/>
        </w:numPr>
        <w:tabs>
          <w:tab w:val="left" w:pos="1710"/>
        </w:tabs>
        <w:spacing w:after="120"/>
        <w:ind w:left="1418" w:right="1210" w:firstLine="0"/>
        <w:jc w:val="both"/>
        <w:rPr>
          <w:sz w:val="20"/>
          <w:szCs w:val="20"/>
        </w:rPr>
      </w:pPr>
      <w:r>
        <w:rPr>
          <w:sz w:val="20"/>
          <w:szCs w:val="20"/>
        </w:rPr>
        <w:t>The crisis has exacerbated the</w:t>
      </w:r>
      <w:r w:rsidRPr="00435BE7">
        <w:rPr>
          <w:sz w:val="20"/>
          <w:szCs w:val="20"/>
        </w:rPr>
        <w:t xml:space="preserve"> </w:t>
      </w:r>
      <w:r w:rsidR="006E2B85" w:rsidRPr="00435BE7">
        <w:rPr>
          <w:sz w:val="20"/>
          <w:szCs w:val="20"/>
        </w:rPr>
        <w:t xml:space="preserve">chronic </w:t>
      </w:r>
      <w:r>
        <w:rPr>
          <w:sz w:val="20"/>
          <w:szCs w:val="20"/>
        </w:rPr>
        <w:t xml:space="preserve">failure of the </w:t>
      </w:r>
      <w:r w:rsidR="006B0C2E">
        <w:rPr>
          <w:sz w:val="20"/>
          <w:szCs w:val="20"/>
        </w:rPr>
        <w:t>state</w:t>
      </w:r>
      <w:r>
        <w:rPr>
          <w:sz w:val="20"/>
          <w:szCs w:val="20"/>
        </w:rPr>
        <w:t xml:space="preserve"> </w:t>
      </w:r>
      <w:r w:rsidR="006E2B85" w:rsidRPr="00435BE7">
        <w:rPr>
          <w:sz w:val="20"/>
          <w:szCs w:val="20"/>
        </w:rPr>
        <w:t>to secure borders</w:t>
      </w:r>
      <w:r>
        <w:rPr>
          <w:sz w:val="20"/>
          <w:szCs w:val="20"/>
        </w:rPr>
        <w:t>;</w:t>
      </w:r>
      <w:r w:rsidR="006E2B85" w:rsidRPr="00435BE7">
        <w:rPr>
          <w:sz w:val="20"/>
          <w:szCs w:val="20"/>
        </w:rPr>
        <w:t xml:space="preserve"> assert authority over all </w:t>
      </w:r>
      <w:r w:rsidR="007D436A">
        <w:rPr>
          <w:sz w:val="20"/>
          <w:szCs w:val="20"/>
        </w:rPr>
        <w:t>regions</w:t>
      </w:r>
      <w:r>
        <w:rPr>
          <w:sz w:val="20"/>
          <w:szCs w:val="20"/>
        </w:rPr>
        <w:t>;</w:t>
      </w:r>
      <w:r w:rsidR="006E2B85" w:rsidRPr="00435BE7">
        <w:rPr>
          <w:sz w:val="20"/>
          <w:szCs w:val="20"/>
        </w:rPr>
        <w:t xml:space="preserve"> foster rule of law</w:t>
      </w:r>
      <w:r>
        <w:rPr>
          <w:sz w:val="20"/>
          <w:szCs w:val="20"/>
        </w:rPr>
        <w:t>;</w:t>
      </w:r>
      <w:r w:rsidR="006E2B85" w:rsidRPr="00435BE7">
        <w:rPr>
          <w:sz w:val="20"/>
          <w:szCs w:val="20"/>
        </w:rPr>
        <w:t xml:space="preserve"> control the exploitation of natural resources</w:t>
      </w:r>
      <w:r>
        <w:rPr>
          <w:sz w:val="20"/>
          <w:szCs w:val="20"/>
        </w:rPr>
        <w:t>,</w:t>
      </w:r>
      <w:r w:rsidR="006E2B85" w:rsidRPr="00435BE7">
        <w:rPr>
          <w:sz w:val="20"/>
          <w:szCs w:val="20"/>
        </w:rPr>
        <w:t xml:space="preserve"> and</w:t>
      </w:r>
      <w:r w:rsidRPr="00435BE7">
        <w:rPr>
          <w:sz w:val="20"/>
          <w:szCs w:val="20"/>
        </w:rPr>
        <w:t xml:space="preserve"> </w:t>
      </w:r>
      <w:r w:rsidR="003920B5">
        <w:rPr>
          <w:sz w:val="20"/>
          <w:szCs w:val="20"/>
        </w:rPr>
        <w:t xml:space="preserve">ensure </w:t>
      </w:r>
      <w:r w:rsidR="006E2B85" w:rsidRPr="00435BE7">
        <w:rPr>
          <w:sz w:val="20"/>
          <w:szCs w:val="20"/>
        </w:rPr>
        <w:t xml:space="preserve">social </w:t>
      </w:r>
      <w:r w:rsidR="00BC159E">
        <w:rPr>
          <w:sz w:val="20"/>
          <w:szCs w:val="20"/>
        </w:rPr>
        <w:t xml:space="preserve">protection </w:t>
      </w:r>
      <w:r w:rsidR="00477D2E">
        <w:rPr>
          <w:sz w:val="20"/>
          <w:szCs w:val="20"/>
        </w:rPr>
        <w:t>for all</w:t>
      </w:r>
      <w:r w:rsidR="008162AA">
        <w:rPr>
          <w:sz w:val="20"/>
          <w:szCs w:val="20"/>
        </w:rPr>
        <w:t xml:space="preserve">. </w:t>
      </w:r>
      <w:r>
        <w:rPr>
          <w:sz w:val="20"/>
          <w:szCs w:val="20"/>
        </w:rPr>
        <w:t>T</w:t>
      </w:r>
      <w:r w:rsidR="008162AA">
        <w:rPr>
          <w:sz w:val="20"/>
          <w:szCs w:val="20"/>
        </w:rPr>
        <w:t>he</w:t>
      </w:r>
      <w:r w:rsidR="006E2B85" w:rsidRPr="00435BE7">
        <w:rPr>
          <w:sz w:val="20"/>
          <w:szCs w:val="20"/>
        </w:rPr>
        <w:t xml:space="preserve"> security and judicial vacuum outside the capital</w:t>
      </w:r>
      <w:r>
        <w:rPr>
          <w:sz w:val="20"/>
          <w:szCs w:val="20"/>
        </w:rPr>
        <w:t xml:space="preserve"> has </w:t>
      </w:r>
      <w:r w:rsidR="006B0C2E">
        <w:rPr>
          <w:sz w:val="20"/>
          <w:szCs w:val="20"/>
        </w:rPr>
        <w:t>allowed</w:t>
      </w:r>
      <w:r>
        <w:rPr>
          <w:sz w:val="20"/>
          <w:szCs w:val="20"/>
        </w:rPr>
        <w:t xml:space="preserve"> </w:t>
      </w:r>
      <w:r w:rsidR="006E2B85" w:rsidRPr="00435BE7">
        <w:rPr>
          <w:sz w:val="20"/>
          <w:szCs w:val="20"/>
        </w:rPr>
        <w:t>parallel power systems to flourish</w:t>
      </w:r>
      <w:r w:rsidR="00A13F70">
        <w:rPr>
          <w:sz w:val="20"/>
          <w:szCs w:val="20"/>
        </w:rPr>
        <w:t xml:space="preserve"> in</w:t>
      </w:r>
      <w:r w:rsidR="006E2B85" w:rsidRPr="00435BE7">
        <w:rPr>
          <w:sz w:val="20"/>
          <w:szCs w:val="20"/>
        </w:rPr>
        <w:t xml:space="preserve"> </w:t>
      </w:r>
      <w:r w:rsidR="006B0C2E">
        <w:rPr>
          <w:sz w:val="20"/>
          <w:szCs w:val="20"/>
        </w:rPr>
        <w:t>favour of armed groups</w:t>
      </w:r>
      <w:r w:rsidR="00A13F70">
        <w:rPr>
          <w:sz w:val="20"/>
          <w:szCs w:val="20"/>
        </w:rPr>
        <w:t xml:space="preserve">. This </w:t>
      </w:r>
      <w:r w:rsidR="006E2B85" w:rsidRPr="00435BE7">
        <w:rPr>
          <w:sz w:val="20"/>
          <w:szCs w:val="20"/>
        </w:rPr>
        <w:t xml:space="preserve">severely </w:t>
      </w:r>
      <w:r w:rsidR="00361209">
        <w:rPr>
          <w:sz w:val="20"/>
          <w:szCs w:val="20"/>
        </w:rPr>
        <w:t>affect</w:t>
      </w:r>
      <w:r w:rsidR="00A13F70">
        <w:rPr>
          <w:sz w:val="20"/>
          <w:szCs w:val="20"/>
        </w:rPr>
        <w:t>s</w:t>
      </w:r>
      <w:r w:rsidR="006E2B85" w:rsidRPr="00435BE7">
        <w:rPr>
          <w:sz w:val="20"/>
          <w:szCs w:val="20"/>
        </w:rPr>
        <w:t xml:space="preserve"> human security. </w:t>
      </w:r>
      <w:r w:rsidR="00980C4E">
        <w:rPr>
          <w:sz w:val="20"/>
          <w:szCs w:val="20"/>
        </w:rPr>
        <w:t xml:space="preserve">Delays in the implementation of the disarmament, demobilization, reintegration and repatriation of ex-combatants have made </w:t>
      </w:r>
      <w:r w:rsidR="00383980">
        <w:rPr>
          <w:sz w:val="20"/>
          <w:szCs w:val="20"/>
        </w:rPr>
        <w:t xml:space="preserve">the country </w:t>
      </w:r>
      <w:r w:rsidR="00980C4E">
        <w:rPr>
          <w:sz w:val="20"/>
          <w:szCs w:val="20"/>
        </w:rPr>
        <w:t xml:space="preserve">increasingly vulnerable to repeated cycles of conflict. </w:t>
      </w:r>
    </w:p>
    <w:p w14:paraId="63B2D48C" w14:textId="45CC31DE" w:rsidR="000738C4" w:rsidRDefault="00A13F70" w:rsidP="009C21AB">
      <w:pPr>
        <w:pStyle w:val="ListParagraph"/>
        <w:numPr>
          <w:ilvl w:val="0"/>
          <w:numId w:val="13"/>
        </w:numPr>
        <w:tabs>
          <w:tab w:val="left" w:pos="1710"/>
        </w:tabs>
        <w:spacing w:after="120"/>
        <w:ind w:left="1418" w:right="1210" w:firstLine="0"/>
        <w:jc w:val="both"/>
        <w:rPr>
          <w:sz w:val="20"/>
          <w:szCs w:val="20"/>
        </w:rPr>
      </w:pPr>
      <w:r>
        <w:rPr>
          <w:sz w:val="20"/>
          <w:szCs w:val="20"/>
        </w:rPr>
        <w:t>M</w:t>
      </w:r>
      <w:r w:rsidR="00092B9F" w:rsidRPr="003D53AF">
        <w:rPr>
          <w:sz w:val="20"/>
          <w:szCs w:val="20"/>
        </w:rPr>
        <w:t xml:space="preserve">ain challenges for the </w:t>
      </w:r>
      <w:r w:rsidR="00BC0736">
        <w:rPr>
          <w:sz w:val="20"/>
          <w:szCs w:val="20"/>
        </w:rPr>
        <w:t>g</w:t>
      </w:r>
      <w:r w:rsidR="00092B9F" w:rsidRPr="003D53AF">
        <w:rPr>
          <w:sz w:val="20"/>
          <w:szCs w:val="20"/>
        </w:rPr>
        <w:t>overnment are to ensure lasting peace and security; strengthen democratic institutions</w:t>
      </w:r>
      <w:r w:rsidR="00BC0736">
        <w:rPr>
          <w:sz w:val="20"/>
          <w:szCs w:val="20"/>
        </w:rPr>
        <w:t>;</w:t>
      </w:r>
      <w:r w:rsidR="00092B9F" w:rsidRPr="003D53AF">
        <w:rPr>
          <w:sz w:val="20"/>
          <w:szCs w:val="20"/>
        </w:rPr>
        <w:t xml:space="preserve"> restore the rule of law</w:t>
      </w:r>
      <w:r w:rsidR="00BC0736">
        <w:rPr>
          <w:sz w:val="20"/>
          <w:szCs w:val="20"/>
        </w:rPr>
        <w:t xml:space="preserve">; </w:t>
      </w:r>
      <w:r w:rsidR="00092B9F" w:rsidRPr="003D53AF">
        <w:rPr>
          <w:sz w:val="20"/>
          <w:szCs w:val="20"/>
        </w:rPr>
        <w:t xml:space="preserve">extend the </w:t>
      </w:r>
      <w:r w:rsidR="005D4DF1">
        <w:rPr>
          <w:sz w:val="20"/>
          <w:szCs w:val="20"/>
        </w:rPr>
        <w:t>legitimacy</w:t>
      </w:r>
      <w:r w:rsidR="00092B9F" w:rsidRPr="003D53AF">
        <w:rPr>
          <w:sz w:val="20"/>
          <w:szCs w:val="20"/>
        </w:rPr>
        <w:t xml:space="preserve"> of the </w:t>
      </w:r>
      <w:r w:rsidR="00BC0736">
        <w:rPr>
          <w:sz w:val="20"/>
          <w:szCs w:val="20"/>
        </w:rPr>
        <w:t>s</w:t>
      </w:r>
      <w:r w:rsidR="00092B9F" w:rsidRPr="003D53AF">
        <w:rPr>
          <w:sz w:val="20"/>
          <w:szCs w:val="20"/>
        </w:rPr>
        <w:t xml:space="preserve">tate </w:t>
      </w:r>
      <w:r w:rsidR="00BC0736">
        <w:rPr>
          <w:sz w:val="20"/>
          <w:szCs w:val="20"/>
        </w:rPr>
        <w:t>across the country,</w:t>
      </w:r>
      <w:r w:rsidR="00092B9F" w:rsidRPr="003D53AF">
        <w:rPr>
          <w:sz w:val="20"/>
          <w:szCs w:val="20"/>
        </w:rPr>
        <w:t xml:space="preserve"> and revive the economy</w:t>
      </w:r>
      <w:r w:rsidR="00BC0736">
        <w:rPr>
          <w:sz w:val="20"/>
          <w:szCs w:val="20"/>
        </w:rPr>
        <w:t xml:space="preserve"> </w:t>
      </w:r>
      <w:r w:rsidR="00092B9F" w:rsidRPr="003D53AF">
        <w:rPr>
          <w:sz w:val="20"/>
          <w:szCs w:val="20"/>
        </w:rPr>
        <w:t xml:space="preserve">through </w:t>
      </w:r>
      <w:r w:rsidR="00C9373B">
        <w:rPr>
          <w:sz w:val="20"/>
          <w:szCs w:val="20"/>
        </w:rPr>
        <w:t>transparent</w:t>
      </w:r>
      <w:r w:rsidR="00092B9F" w:rsidRPr="003D53AF">
        <w:rPr>
          <w:sz w:val="20"/>
          <w:szCs w:val="20"/>
        </w:rPr>
        <w:t xml:space="preserve"> governance </w:t>
      </w:r>
      <w:r w:rsidR="006C786D">
        <w:rPr>
          <w:sz w:val="20"/>
          <w:szCs w:val="20"/>
        </w:rPr>
        <w:t>practices</w:t>
      </w:r>
      <w:r w:rsidR="00BC0736">
        <w:rPr>
          <w:sz w:val="20"/>
          <w:szCs w:val="20"/>
        </w:rPr>
        <w:t xml:space="preserve"> that</w:t>
      </w:r>
      <w:r w:rsidR="00BC0736" w:rsidRPr="003D53AF">
        <w:rPr>
          <w:sz w:val="20"/>
          <w:szCs w:val="20"/>
        </w:rPr>
        <w:t xml:space="preserve"> </w:t>
      </w:r>
      <w:r w:rsidR="00092B9F" w:rsidRPr="003D53AF">
        <w:rPr>
          <w:sz w:val="20"/>
          <w:szCs w:val="20"/>
        </w:rPr>
        <w:t>im</w:t>
      </w:r>
      <w:r w:rsidR="004964D7">
        <w:rPr>
          <w:sz w:val="20"/>
          <w:szCs w:val="20"/>
        </w:rPr>
        <w:t>prove the living conditions of the</w:t>
      </w:r>
      <w:r w:rsidR="00092B9F" w:rsidRPr="003D53AF">
        <w:rPr>
          <w:sz w:val="20"/>
          <w:szCs w:val="20"/>
        </w:rPr>
        <w:t xml:space="preserve"> population. </w:t>
      </w:r>
      <w:r w:rsidR="001347FB">
        <w:rPr>
          <w:sz w:val="20"/>
          <w:szCs w:val="20"/>
        </w:rPr>
        <w:t>If t</w:t>
      </w:r>
      <w:r w:rsidR="006E2B85" w:rsidRPr="003D53AF">
        <w:rPr>
          <w:sz w:val="20"/>
          <w:szCs w:val="20"/>
        </w:rPr>
        <w:t>ransparently and sustainably managed, natural resource</w:t>
      </w:r>
      <w:r w:rsidR="001347FB">
        <w:rPr>
          <w:sz w:val="20"/>
          <w:szCs w:val="20"/>
        </w:rPr>
        <w:t xml:space="preserve">s </w:t>
      </w:r>
      <w:r>
        <w:rPr>
          <w:sz w:val="20"/>
          <w:szCs w:val="20"/>
        </w:rPr>
        <w:t xml:space="preserve">in </w:t>
      </w:r>
      <w:r w:rsidR="00A210E0">
        <w:rPr>
          <w:sz w:val="20"/>
          <w:szCs w:val="20"/>
        </w:rPr>
        <w:t>the</w:t>
      </w:r>
      <w:r w:rsidR="00383980">
        <w:rPr>
          <w:sz w:val="20"/>
          <w:szCs w:val="20"/>
        </w:rPr>
        <w:t xml:space="preserve"> country</w:t>
      </w:r>
      <w:r w:rsidR="006E2B85" w:rsidRPr="003D53AF">
        <w:rPr>
          <w:sz w:val="20"/>
          <w:szCs w:val="20"/>
        </w:rPr>
        <w:t xml:space="preserve"> can provide employment opportunities and stimulate </w:t>
      </w:r>
      <w:r w:rsidR="003D53AF">
        <w:rPr>
          <w:sz w:val="20"/>
          <w:szCs w:val="20"/>
        </w:rPr>
        <w:t>inclusive economic</w:t>
      </w:r>
      <w:r w:rsidR="006E2B85" w:rsidRPr="003D53AF">
        <w:rPr>
          <w:sz w:val="20"/>
          <w:szCs w:val="20"/>
        </w:rPr>
        <w:t xml:space="preserve"> growth.</w:t>
      </w:r>
      <w:r w:rsidR="008162AA" w:rsidRPr="003D53AF">
        <w:rPr>
          <w:sz w:val="20"/>
          <w:szCs w:val="20"/>
        </w:rPr>
        <w:t xml:space="preserve"> </w:t>
      </w:r>
      <w:r w:rsidR="001347FB">
        <w:rPr>
          <w:sz w:val="20"/>
          <w:szCs w:val="20"/>
        </w:rPr>
        <w:t>Achieving</w:t>
      </w:r>
      <w:r w:rsidR="008162AA" w:rsidRPr="003D53AF">
        <w:rPr>
          <w:sz w:val="20"/>
          <w:szCs w:val="20"/>
        </w:rPr>
        <w:t xml:space="preserve"> the Sustainable Development Goals</w:t>
      </w:r>
      <w:r w:rsidR="00AC0173">
        <w:rPr>
          <w:sz w:val="20"/>
          <w:szCs w:val="20"/>
        </w:rPr>
        <w:t xml:space="preserve"> (SDGs)</w:t>
      </w:r>
      <w:r w:rsidR="008162AA" w:rsidRPr="003D53AF">
        <w:rPr>
          <w:sz w:val="20"/>
          <w:szCs w:val="20"/>
        </w:rPr>
        <w:t xml:space="preserve"> will depend on the capacity of the </w:t>
      </w:r>
      <w:r w:rsidR="001347FB">
        <w:rPr>
          <w:sz w:val="20"/>
          <w:szCs w:val="20"/>
        </w:rPr>
        <w:t>g</w:t>
      </w:r>
      <w:r w:rsidR="008162AA" w:rsidRPr="003D53AF">
        <w:rPr>
          <w:sz w:val="20"/>
          <w:szCs w:val="20"/>
        </w:rPr>
        <w:t>overnment</w:t>
      </w:r>
      <w:r w:rsidR="001347FB">
        <w:rPr>
          <w:sz w:val="20"/>
          <w:szCs w:val="20"/>
        </w:rPr>
        <w:t xml:space="preserve"> and </w:t>
      </w:r>
      <w:r w:rsidR="008162AA" w:rsidRPr="003D53AF">
        <w:rPr>
          <w:sz w:val="20"/>
          <w:szCs w:val="20"/>
        </w:rPr>
        <w:t>support from the international community.</w:t>
      </w:r>
      <w:r w:rsidR="001347FB">
        <w:rPr>
          <w:sz w:val="20"/>
          <w:szCs w:val="20"/>
        </w:rPr>
        <w:t xml:space="preserve"> </w:t>
      </w:r>
      <w:r w:rsidR="008162AA" w:rsidRPr="003D53AF">
        <w:rPr>
          <w:sz w:val="20"/>
          <w:szCs w:val="20"/>
        </w:rPr>
        <w:t>The national recovery and peace</w:t>
      </w:r>
      <w:r w:rsidR="003920B5">
        <w:rPr>
          <w:sz w:val="20"/>
          <w:szCs w:val="20"/>
        </w:rPr>
        <w:t>building</w:t>
      </w:r>
      <w:r w:rsidR="008162AA" w:rsidRPr="003D53AF">
        <w:rPr>
          <w:sz w:val="20"/>
          <w:szCs w:val="20"/>
        </w:rPr>
        <w:t xml:space="preserve"> plan (RCPCA) </w:t>
      </w:r>
      <w:r w:rsidR="001347FB">
        <w:rPr>
          <w:sz w:val="20"/>
          <w:szCs w:val="20"/>
        </w:rPr>
        <w:t>is</w:t>
      </w:r>
      <w:r w:rsidR="001347FB" w:rsidRPr="003D53AF">
        <w:rPr>
          <w:sz w:val="20"/>
          <w:szCs w:val="20"/>
        </w:rPr>
        <w:t xml:space="preserve"> </w:t>
      </w:r>
      <w:r w:rsidR="008162AA" w:rsidRPr="003D53AF">
        <w:rPr>
          <w:sz w:val="20"/>
          <w:szCs w:val="20"/>
        </w:rPr>
        <w:t>a solid platform to start</w:t>
      </w:r>
      <w:r>
        <w:rPr>
          <w:sz w:val="20"/>
          <w:szCs w:val="20"/>
        </w:rPr>
        <w:t xml:space="preserve"> from</w:t>
      </w:r>
      <w:r w:rsidR="008162AA" w:rsidRPr="003D53AF">
        <w:rPr>
          <w:sz w:val="20"/>
          <w:szCs w:val="20"/>
        </w:rPr>
        <w:t>.</w:t>
      </w:r>
    </w:p>
    <w:p w14:paraId="5E90E4E9" w14:textId="5FDE995E" w:rsidR="00BD3DBA" w:rsidRPr="000738C4" w:rsidRDefault="00052CB3" w:rsidP="009C21AB">
      <w:pPr>
        <w:pStyle w:val="ListParagraph"/>
        <w:numPr>
          <w:ilvl w:val="0"/>
          <w:numId w:val="13"/>
        </w:numPr>
        <w:tabs>
          <w:tab w:val="left" w:pos="1710"/>
        </w:tabs>
        <w:spacing w:after="120"/>
        <w:ind w:left="1418" w:right="1210" w:firstLine="0"/>
        <w:jc w:val="both"/>
        <w:rPr>
          <w:sz w:val="20"/>
          <w:szCs w:val="20"/>
        </w:rPr>
      </w:pPr>
      <w:r w:rsidRPr="000738C4">
        <w:rPr>
          <w:sz w:val="20"/>
          <w:szCs w:val="20"/>
        </w:rPr>
        <w:t>In 2016, f</w:t>
      </w:r>
      <w:r w:rsidR="00BD3DBA" w:rsidRPr="000738C4">
        <w:rPr>
          <w:sz w:val="20"/>
          <w:szCs w:val="20"/>
        </w:rPr>
        <w:t xml:space="preserve">ollowing a three-year political transition, </w:t>
      </w:r>
      <w:r w:rsidR="001615C6" w:rsidRPr="000738C4">
        <w:rPr>
          <w:sz w:val="20"/>
          <w:szCs w:val="20"/>
        </w:rPr>
        <w:t xml:space="preserve">the </w:t>
      </w:r>
      <w:r w:rsidR="007C6AE8">
        <w:rPr>
          <w:sz w:val="20"/>
          <w:szCs w:val="20"/>
        </w:rPr>
        <w:t xml:space="preserve">country </w:t>
      </w:r>
      <w:r w:rsidR="00BD3DBA" w:rsidRPr="000738C4">
        <w:rPr>
          <w:sz w:val="20"/>
          <w:szCs w:val="20"/>
        </w:rPr>
        <w:t>succeeded</w:t>
      </w:r>
      <w:r w:rsidR="00C20ADB">
        <w:rPr>
          <w:sz w:val="20"/>
          <w:szCs w:val="20"/>
        </w:rPr>
        <w:t>—</w:t>
      </w:r>
      <w:r w:rsidR="00BD3DBA" w:rsidRPr="000738C4">
        <w:rPr>
          <w:sz w:val="20"/>
          <w:szCs w:val="20"/>
        </w:rPr>
        <w:t>with support from the international community</w:t>
      </w:r>
      <w:r w:rsidR="00C20ADB">
        <w:rPr>
          <w:sz w:val="20"/>
          <w:szCs w:val="20"/>
        </w:rPr>
        <w:t>—</w:t>
      </w:r>
      <w:r w:rsidR="00BD3DBA" w:rsidRPr="000738C4">
        <w:rPr>
          <w:sz w:val="20"/>
          <w:szCs w:val="20"/>
        </w:rPr>
        <w:t xml:space="preserve">in organizing and holding legislative and presidential elections, marking </w:t>
      </w:r>
      <w:r w:rsidR="00C20ADB">
        <w:rPr>
          <w:sz w:val="20"/>
          <w:szCs w:val="20"/>
        </w:rPr>
        <w:t>a</w:t>
      </w:r>
      <w:r w:rsidR="00C20ADB" w:rsidRPr="000738C4">
        <w:rPr>
          <w:sz w:val="20"/>
          <w:szCs w:val="20"/>
        </w:rPr>
        <w:t xml:space="preserve"> </w:t>
      </w:r>
      <w:r w:rsidR="00BD3DBA" w:rsidRPr="000738C4">
        <w:rPr>
          <w:sz w:val="20"/>
          <w:szCs w:val="20"/>
        </w:rPr>
        <w:t xml:space="preserve">return to constitutional order. </w:t>
      </w:r>
      <w:r w:rsidR="00DE3CE8" w:rsidRPr="000738C4">
        <w:rPr>
          <w:sz w:val="20"/>
          <w:szCs w:val="20"/>
        </w:rPr>
        <w:t>The</w:t>
      </w:r>
      <w:r w:rsidR="003843B3">
        <w:rPr>
          <w:sz w:val="20"/>
          <w:szCs w:val="20"/>
        </w:rPr>
        <w:t xml:space="preserve"> new</w:t>
      </w:r>
      <w:r w:rsidR="00DE3CE8" w:rsidRPr="000738C4">
        <w:rPr>
          <w:sz w:val="20"/>
          <w:szCs w:val="20"/>
        </w:rPr>
        <w:t xml:space="preserve"> </w:t>
      </w:r>
      <w:r w:rsidR="00C20ADB">
        <w:rPr>
          <w:sz w:val="20"/>
          <w:szCs w:val="20"/>
        </w:rPr>
        <w:t>g</w:t>
      </w:r>
      <w:r w:rsidR="005C7B58" w:rsidRPr="000738C4">
        <w:rPr>
          <w:sz w:val="20"/>
          <w:szCs w:val="20"/>
        </w:rPr>
        <w:t>overnment</w:t>
      </w:r>
      <w:r w:rsidR="00092B9F" w:rsidRPr="000738C4">
        <w:rPr>
          <w:sz w:val="20"/>
          <w:szCs w:val="20"/>
        </w:rPr>
        <w:t>, led</w:t>
      </w:r>
      <w:r w:rsidR="00DE3CE8" w:rsidRPr="000738C4">
        <w:rPr>
          <w:sz w:val="20"/>
          <w:szCs w:val="20"/>
        </w:rPr>
        <w:t xml:space="preserve"> by </w:t>
      </w:r>
      <w:r w:rsidR="00092B9F" w:rsidRPr="000738C4">
        <w:rPr>
          <w:sz w:val="20"/>
          <w:szCs w:val="20"/>
        </w:rPr>
        <w:t xml:space="preserve">President </w:t>
      </w:r>
      <w:r w:rsidR="00DE3CE8" w:rsidRPr="000738C4">
        <w:rPr>
          <w:sz w:val="20"/>
          <w:szCs w:val="20"/>
        </w:rPr>
        <w:t xml:space="preserve">Faustin-Archange Touadera, </w:t>
      </w:r>
      <w:r w:rsidR="005C7B58" w:rsidRPr="000738C4">
        <w:rPr>
          <w:sz w:val="20"/>
          <w:szCs w:val="20"/>
        </w:rPr>
        <w:t>request</w:t>
      </w:r>
      <w:r w:rsidR="00DE3CE8" w:rsidRPr="000738C4">
        <w:rPr>
          <w:sz w:val="20"/>
          <w:szCs w:val="20"/>
        </w:rPr>
        <w:t>ed</w:t>
      </w:r>
      <w:r w:rsidR="005C7B58" w:rsidRPr="000738C4">
        <w:rPr>
          <w:sz w:val="20"/>
          <w:szCs w:val="20"/>
        </w:rPr>
        <w:t xml:space="preserve"> support from the United Nations, European Union</w:t>
      </w:r>
      <w:r w:rsidR="007C1258">
        <w:rPr>
          <w:sz w:val="20"/>
          <w:szCs w:val="20"/>
        </w:rPr>
        <w:t xml:space="preserve"> </w:t>
      </w:r>
      <w:r w:rsidR="006C786D" w:rsidRPr="000738C4">
        <w:rPr>
          <w:sz w:val="20"/>
          <w:szCs w:val="20"/>
        </w:rPr>
        <w:t>and World</w:t>
      </w:r>
      <w:r w:rsidR="005C7B58" w:rsidRPr="000738C4">
        <w:rPr>
          <w:sz w:val="20"/>
          <w:szCs w:val="20"/>
        </w:rPr>
        <w:t xml:space="preserve"> Bank</w:t>
      </w:r>
      <w:r w:rsidR="007C1258">
        <w:rPr>
          <w:sz w:val="20"/>
          <w:szCs w:val="20"/>
        </w:rPr>
        <w:t xml:space="preserve"> </w:t>
      </w:r>
      <w:r w:rsidR="005C7B58" w:rsidRPr="000738C4">
        <w:rPr>
          <w:sz w:val="20"/>
          <w:szCs w:val="20"/>
        </w:rPr>
        <w:t>to undertake a joint</w:t>
      </w:r>
      <w:r w:rsidR="001B4975" w:rsidRPr="000738C4">
        <w:rPr>
          <w:sz w:val="20"/>
          <w:szCs w:val="20"/>
        </w:rPr>
        <w:t xml:space="preserve"> recovery and </w:t>
      </w:r>
      <w:r w:rsidR="001B4975" w:rsidRPr="00C31AF7">
        <w:rPr>
          <w:sz w:val="20"/>
          <w:szCs w:val="20"/>
        </w:rPr>
        <w:t>peace</w:t>
      </w:r>
      <w:r w:rsidR="00C31AF7">
        <w:rPr>
          <w:sz w:val="20"/>
          <w:szCs w:val="20"/>
        </w:rPr>
        <w:t>building</w:t>
      </w:r>
      <w:r w:rsidR="005C7B58" w:rsidRPr="000738C4">
        <w:rPr>
          <w:sz w:val="20"/>
          <w:szCs w:val="20"/>
        </w:rPr>
        <w:t xml:space="preserve"> assessment to inform the development of </w:t>
      </w:r>
      <w:r w:rsidR="00BD181E">
        <w:rPr>
          <w:sz w:val="20"/>
          <w:szCs w:val="20"/>
        </w:rPr>
        <w:t>the</w:t>
      </w:r>
      <w:r w:rsidR="002A0794" w:rsidRPr="000738C4">
        <w:rPr>
          <w:sz w:val="20"/>
          <w:szCs w:val="20"/>
        </w:rPr>
        <w:t xml:space="preserve"> RCPCA</w:t>
      </w:r>
      <w:r w:rsidR="001B4975" w:rsidRPr="000738C4">
        <w:rPr>
          <w:sz w:val="20"/>
          <w:szCs w:val="20"/>
        </w:rPr>
        <w:t xml:space="preserve">, which was </w:t>
      </w:r>
      <w:r w:rsidR="00C1701C">
        <w:rPr>
          <w:sz w:val="20"/>
          <w:szCs w:val="20"/>
        </w:rPr>
        <w:t>endors</w:t>
      </w:r>
      <w:r w:rsidR="00C1701C" w:rsidRPr="000738C4">
        <w:rPr>
          <w:sz w:val="20"/>
          <w:szCs w:val="20"/>
        </w:rPr>
        <w:t xml:space="preserve">ed </w:t>
      </w:r>
      <w:r w:rsidR="001B4975" w:rsidRPr="000738C4">
        <w:rPr>
          <w:sz w:val="20"/>
          <w:szCs w:val="20"/>
        </w:rPr>
        <w:t xml:space="preserve">by </w:t>
      </w:r>
      <w:r w:rsidR="00F95307">
        <w:rPr>
          <w:sz w:val="20"/>
          <w:szCs w:val="20"/>
        </w:rPr>
        <w:t>p</w:t>
      </w:r>
      <w:r w:rsidR="001B4975" w:rsidRPr="000738C4">
        <w:rPr>
          <w:sz w:val="20"/>
          <w:szCs w:val="20"/>
        </w:rPr>
        <w:t xml:space="preserve">arliament and tabled at </w:t>
      </w:r>
      <w:r w:rsidR="00F95307">
        <w:rPr>
          <w:sz w:val="20"/>
          <w:szCs w:val="20"/>
        </w:rPr>
        <w:t>a</w:t>
      </w:r>
      <w:r w:rsidR="00F95307" w:rsidRPr="000738C4">
        <w:rPr>
          <w:sz w:val="20"/>
          <w:szCs w:val="20"/>
        </w:rPr>
        <w:t xml:space="preserve"> </w:t>
      </w:r>
      <w:r w:rsidR="001B4975" w:rsidRPr="000738C4">
        <w:rPr>
          <w:sz w:val="20"/>
          <w:szCs w:val="20"/>
        </w:rPr>
        <w:t xml:space="preserve">donor conference in </w:t>
      </w:r>
      <w:r w:rsidR="00A5789A" w:rsidRPr="000738C4">
        <w:rPr>
          <w:sz w:val="20"/>
          <w:szCs w:val="20"/>
        </w:rPr>
        <w:t>November 2016 in Brussels, Belgium</w:t>
      </w:r>
      <w:r w:rsidR="005C7B58" w:rsidRPr="000738C4">
        <w:rPr>
          <w:sz w:val="20"/>
          <w:szCs w:val="20"/>
        </w:rPr>
        <w:t>. The five-year plan (2017-2021)</w:t>
      </w:r>
      <w:r w:rsidR="00F95307">
        <w:rPr>
          <w:sz w:val="20"/>
          <w:szCs w:val="20"/>
        </w:rPr>
        <w:t xml:space="preserve"> </w:t>
      </w:r>
      <w:r w:rsidR="00A5789A" w:rsidRPr="000738C4">
        <w:rPr>
          <w:sz w:val="20"/>
          <w:szCs w:val="20"/>
        </w:rPr>
        <w:t xml:space="preserve">articulates </w:t>
      </w:r>
      <w:r w:rsidR="00F95307">
        <w:rPr>
          <w:sz w:val="20"/>
          <w:szCs w:val="20"/>
        </w:rPr>
        <w:t>national</w:t>
      </w:r>
      <w:r w:rsidR="00A5789A" w:rsidRPr="000738C4">
        <w:rPr>
          <w:sz w:val="20"/>
          <w:szCs w:val="20"/>
        </w:rPr>
        <w:t xml:space="preserve"> recovery and peacebuilding priorities</w:t>
      </w:r>
      <w:r w:rsidR="00F95307">
        <w:rPr>
          <w:sz w:val="20"/>
          <w:szCs w:val="20"/>
        </w:rPr>
        <w:t xml:space="preserve">, which are </w:t>
      </w:r>
      <w:r w:rsidR="005C7B58" w:rsidRPr="000738C4">
        <w:rPr>
          <w:sz w:val="20"/>
          <w:szCs w:val="20"/>
        </w:rPr>
        <w:t xml:space="preserve">based on three pillars: </w:t>
      </w:r>
      <w:r w:rsidR="009C21AB">
        <w:rPr>
          <w:sz w:val="20"/>
          <w:szCs w:val="20"/>
        </w:rPr>
        <w:t>(</w:t>
      </w:r>
      <w:r w:rsidR="005C7B58" w:rsidRPr="000738C4">
        <w:rPr>
          <w:sz w:val="20"/>
          <w:szCs w:val="20"/>
        </w:rPr>
        <w:t xml:space="preserve">i) </w:t>
      </w:r>
      <w:r w:rsidR="00E627AC">
        <w:rPr>
          <w:sz w:val="20"/>
          <w:szCs w:val="20"/>
        </w:rPr>
        <w:t>s</w:t>
      </w:r>
      <w:r w:rsidR="005C7B58" w:rsidRPr="000738C4">
        <w:rPr>
          <w:sz w:val="20"/>
          <w:szCs w:val="20"/>
        </w:rPr>
        <w:t>upport peace, security and reconciliation,</w:t>
      </w:r>
      <w:r w:rsidR="009C21AB">
        <w:rPr>
          <w:sz w:val="20"/>
          <w:szCs w:val="20"/>
        </w:rPr>
        <w:t xml:space="preserve"> (</w:t>
      </w:r>
      <w:r w:rsidR="005C7B58" w:rsidRPr="000738C4">
        <w:rPr>
          <w:sz w:val="20"/>
          <w:szCs w:val="20"/>
        </w:rPr>
        <w:t xml:space="preserve">ii) </w:t>
      </w:r>
      <w:r w:rsidR="00E627AC">
        <w:rPr>
          <w:sz w:val="20"/>
          <w:szCs w:val="20"/>
        </w:rPr>
        <w:t>r</w:t>
      </w:r>
      <w:r w:rsidR="005C7B58" w:rsidRPr="000738C4">
        <w:rPr>
          <w:sz w:val="20"/>
          <w:szCs w:val="20"/>
        </w:rPr>
        <w:t xml:space="preserve">enew the social contract between the </w:t>
      </w:r>
      <w:r w:rsidR="00F95307">
        <w:rPr>
          <w:sz w:val="20"/>
          <w:szCs w:val="20"/>
        </w:rPr>
        <w:t>s</w:t>
      </w:r>
      <w:r w:rsidR="005C7B58" w:rsidRPr="000738C4">
        <w:rPr>
          <w:sz w:val="20"/>
          <w:szCs w:val="20"/>
        </w:rPr>
        <w:t xml:space="preserve">tate and the population, and </w:t>
      </w:r>
      <w:r w:rsidR="009C21AB">
        <w:rPr>
          <w:sz w:val="20"/>
          <w:szCs w:val="20"/>
        </w:rPr>
        <w:t>(</w:t>
      </w:r>
      <w:r w:rsidR="005C7B58" w:rsidRPr="000738C4">
        <w:rPr>
          <w:sz w:val="20"/>
          <w:szCs w:val="20"/>
        </w:rPr>
        <w:t xml:space="preserve">iii) </w:t>
      </w:r>
      <w:r w:rsidR="00E627AC">
        <w:rPr>
          <w:sz w:val="20"/>
          <w:szCs w:val="20"/>
        </w:rPr>
        <w:t>p</w:t>
      </w:r>
      <w:r w:rsidR="005C7B58" w:rsidRPr="000738C4">
        <w:rPr>
          <w:sz w:val="20"/>
          <w:szCs w:val="20"/>
        </w:rPr>
        <w:t xml:space="preserve">romote economic recovery and boost productive sectors. </w:t>
      </w:r>
    </w:p>
    <w:p w14:paraId="77AAA79E" w14:textId="4ABC8127" w:rsidR="009F31BC" w:rsidRDefault="009F31BC"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sidRPr="00435BE7">
        <w:rPr>
          <w:sz w:val="20"/>
          <w:szCs w:val="20"/>
        </w:rPr>
        <w:t>The pr</w:t>
      </w:r>
      <w:r w:rsidR="00EC3B70">
        <w:rPr>
          <w:sz w:val="20"/>
          <w:szCs w:val="20"/>
        </w:rPr>
        <w:t>evious UNDP programme (2012-2016</w:t>
      </w:r>
      <w:r w:rsidRPr="00435BE7">
        <w:rPr>
          <w:sz w:val="20"/>
          <w:szCs w:val="20"/>
        </w:rPr>
        <w:t xml:space="preserve">), extended for one year as a result of the crisis, was adapted to </w:t>
      </w:r>
      <w:r w:rsidR="00636827" w:rsidRPr="00435BE7">
        <w:rPr>
          <w:sz w:val="20"/>
          <w:szCs w:val="20"/>
        </w:rPr>
        <w:t xml:space="preserve">focus on supporting the political transition and providing pathways to recovery for the civilian population. In close coordination with national and international </w:t>
      </w:r>
      <w:r w:rsidR="00636827" w:rsidRPr="00435BE7">
        <w:rPr>
          <w:sz w:val="20"/>
          <w:szCs w:val="20"/>
        </w:rPr>
        <w:lastRenderedPageBreak/>
        <w:t>partners, the programme contributed towards several peacebuilding processes</w:t>
      </w:r>
      <w:r w:rsidR="00610513" w:rsidRPr="00435BE7">
        <w:rPr>
          <w:sz w:val="20"/>
          <w:szCs w:val="20"/>
        </w:rPr>
        <w:t>,</w:t>
      </w:r>
      <w:r w:rsidR="00636827" w:rsidRPr="00435BE7">
        <w:rPr>
          <w:sz w:val="20"/>
          <w:szCs w:val="20"/>
        </w:rPr>
        <w:t xml:space="preserve"> including: (i) support to the Central African dialogue and consultations leading to </w:t>
      </w:r>
      <w:r w:rsidR="00E627AC">
        <w:rPr>
          <w:sz w:val="20"/>
          <w:szCs w:val="20"/>
        </w:rPr>
        <w:t>a</w:t>
      </w:r>
      <w:r w:rsidR="00E627AC" w:rsidRPr="00435BE7">
        <w:rPr>
          <w:sz w:val="20"/>
          <w:szCs w:val="20"/>
        </w:rPr>
        <w:t xml:space="preserve"> </w:t>
      </w:r>
      <w:r w:rsidR="002E1840">
        <w:rPr>
          <w:sz w:val="20"/>
          <w:szCs w:val="20"/>
        </w:rPr>
        <w:t>Ceasefire</w:t>
      </w:r>
      <w:r w:rsidR="002E1840" w:rsidRPr="00435BE7">
        <w:rPr>
          <w:sz w:val="20"/>
          <w:szCs w:val="20"/>
        </w:rPr>
        <w:t xml:space="preserve"> </w:t>
      </w:r>
      <w:r w:rsidR="00636827" w:rsidRPr="00435BE7">
        <w:rPr>
          <w:sz w:val="20"/>
          <w:szCs w:val="20"/>
        </w:rPr>
        <w:t>Agreement</w:t>
      </w:r>
      <w:r w:rsidR="002E1840">
        <w:rPr>
          <w:rStyle w:val="FootnoteReference"/>
          <w:sz w:val="20"/>
          <w:szCs w:val="20"/>
        </w:rPr>
        <w:footnoteReference w:id="16"/>
      </w:r>
      <w:r w:rsidR="00636827" w:rsidRPr="00435BE7">
        <w:rPr>
          <w:sz w:val="20"/>
          <w:szCs w:val="20"/>
        </w:rPr>
        <w:t xml:space="preserve"> </w:t>
      </w:r>
      <w:r w:rsidR="00E627AC">
        <w:rPr>
          <w:sz w:val="20"/>
          <w:szCs w:val="20"/>
        </w:rPr>
        <w:t xml:space="preserve">in </w:t>
      </w:r>
      <w:r w:rsidR="00636827" w:rsidRPr="00435BE7">
        <w:rPr>
          <w:sz w:val="20"/>
          <w:szCs w:val="20"/>
        </w:rPr>
        <w:t>July 2014 and the Nati</w:t>
      </w:r>
      <w:r w:rsidR="00C31AF7">
        <w:rPr>
          <w:sz w:val="20"/>
          <w:szCs w:val="20"/>
        </w:rPr>
        <w:t>onal Forum of Bangui (May 2015);</w:t>
      </w:r>
      <w:r w:rsidR="00EC3B70">
        <w:rPr>
          <w:sz w:val="20"/>
          <w:szCs w:val="20"/>
        </w:rPr>
        <w:t xml:space="preserve"> (ii) support to the</w:t>
      </w:r>
      <w:r w:rsidR="00636827" w:rsidRPr="00435BE7">
        <w:rPr>
          <w:sz w:val="20"/>
          <w:szCs w:val="20"/>
        </w:rPr>
        <w:t xml:space="preserve"> </w:t>
      </w:r>
      <w:r w:rsidR="00E627AC">
        <w:rPr>
          <w:sz w:val="20"/>
          <w:szCs w:val="20"/>
        </w:rPr>
        <w:t>c</w:t>
      </w:r>
      <w:r w:rsidR="00C31AF7">
        <w:rPr>
          <w:sz w:val="20"/>
          <w:szCs w:val="20"/>
        </w:rPr>
        <w:t>onstitutional referendum</w:t>
      </w:r>
      <w:r w:rsidR="00EC3B70">
        <w:rPr>
          <w:sz w:val="20"/>
          <w:szCs w:val="20"/>
        </w:rPr>
        <w:t xml:space="preserve"> (2015)</w:t>
      </w:r>
      <w:r w:rsidR="00E627AC">
        <w:rPr>
          <w:sz w:val="20"/>
          <w:szCs w:val="20"/>
        </w:rPr>
        <w:t xml:space="preserve"> and </w:t>
      </w:r>
      <w:r w:rsidR="00C31AF7">
        <w:rPr>
          <w:sz w:val="20"/>
          <w:szCs w:val="20"/>
        </w:rPr>
        <w:t>legislati</w:t>
      </w:r>
      <w:r w:rsidR="0078334E">
        <w:rPr>
          <w:sz w:val="20"/>
          <w:szCs w:val="20"/>
        </w:rPr>
        <w:t>ve and presidential elections</w:t>
      </w:r>
      <w:r w:rsidR="00C31AF7">
        <w:rPr>
          <w:sz w:val="20"/>
          <w:szCs w:val="20"/>
        </w:rPr>
        <w:t xml:space="preserve"> </w:t>
      </w:r>
      <w:r w:rsidR="0078334E">
        <w:rPr>
          <w:sz w:val="20"/>
          <w:szCs w:val="20"/>
        </w:rPr>
        <w:t>(</w:t>
      </w:r>
      <w:r w:rsidR="00C31AF7">
        <w:rPr>
          <w:sz w:val="20"/>
          <w:szCs w:val="20"/>
        </w:rPr>
        <w:t>2016</w:t>
      </w:r>
      <w:r w:rsidR="0078334E">
        <w:rPr>
          <w:sz w:val="20"/>
          <w:szCs w:val="20"/>
        </w:rPr>
        <w:t>)</w:t>
      </w:r>
      <w:r w:rsidR="00AE45A5">
        <w:rPr>
          <w:sz w:val="20"/>
          <w:szCs w:val="20"/>
        </w:rPr>
        <w:t xml:space="preserve"> </w:t>
      </w:r>
      <w:r w:rsidR="00E627AC">
        <w:rPr>
          <w:sz w:val="20"/>
          <w:szCs w:val="20"/>
        </w:rPr>
        <w:t xml:space="preserve">that </w:t>
      </w:r>
      <w:r w:rsidR="00AE45A5" w:rsidRPr="00C31AF7">
        <w:rPr>
          <w:sz w:val="20"/>
          <w:szCs w:val="20"/>
        </w:rPr>
        <w:t>resulted in</w:t>
      </w:r>
      <w:r w:rsidR="00C31AF7" w:rsidRPr="00C31AF7">
        <w:rPr>
          <w:sz w:val="20"/>
          <w:szCs w:val="20"/>
        </w:rPr>
        <w:t xml:space="preserve"> the registration of nearly </w:t>
      </w:r>
      <w:r w:rsidR="00E627AC">
        <w:rPr>
          <w:sz w:val="20"/>
          <w:szCs w:val="20"/>
        </w:rPr>
        <w:t>two</w:t>
      </w:r>
      <w:r w:rsidR="00C31AF7" w:rsidRPr="00C31AF7">
        <w:rPr>
          <w:sz w:val="20"/>
          <w:szCs w:val="20"/>
        </w:rPr>
        <w:t xml:space="preserve"> million voters</w:t>
      </w:r>
      <w:r w:rsidR="00C31AF7">
        <w:rPr>
          <w:sz w:val="20"/>
          <w:szCs w:val="20"/>
        </w:rPr>
        <w:t xml:space="preserve"> </w:t>
      </w:r>
      <w:r w:rsidR="00E627AC">
        <w:rPr>
          <w:sz w:val="20"/>
          <w:szCs w:val="20"/>
        </w:rPr>
        <w:t>(</w:t>
      </w:r>
      <w:r w:rsidR="00C31AF7">
        <w:rPr>
          <w:sz w:val="20"/>
          <w:szCs w:val="20"/>
        </w:rPr>
        <w:t>including refugees</w:t>
      </w:r>
      <w:r w:rsidR="00E627AC">
        <w:rPr>
          <w:sz w:val="20"/>
          <w:szCs w:val="20"/>
        </w:rPr>
        <w:t xml:space="preserve"> and</w:t>
      </w:r>
      <w:r w:rsidR="00C31AF7">
        <w:rPr>
          <w:sz w:val="20"/>
          <w:szCs w:val="20"/>
        </w:rPr>
        <w:t xml:space="preserve"> 48</w:t>
      </w:r>
      <w:r w:rsidR="00E627AC">
        <w:rPr>
          <w:sz w:val="20"/>
          <w:szCs w:val="20"/>
        </w:rPr>
        <w:t xml:space="preserve"> per cent</w:t>
      </w:r>
      <w:r w:rsidR="00C31AF7">
        <w:rPr>
          <w:sz w:val="20"/>
          <w:szCs w:val="20"/>
        </w:rPr>
        <w:t xml:space="preserve"> </w:t>
      </w:r>
      <w:r w:rsidR="00E627AC">
        <w:rPr>
          <w:sz w:val="20"/>
          <w:szCs w:val="20"/>
        </w:rPr>
        <w:t>female voters)</w:t>
      </w:r>
      <w:r w:rsidR="00C31AF7">
        <w:rPr>
          <w:sz w:val="20"/>
          <w:szCs w:val="20"/>
        </w:rPr>
        <w:t>;</w:t>
      </w:r>
      <w:r w:rsidR="00C31AF7" w:rsidRPr="00C31AF7">
        <w:rPr>
          <w:sz w:val="20"/>
          <w:szCs w:val="20"/>
        </w:rPr>
        <w:t xml:space="preserve"> </w:t>
      </w:r>
      <w:r w:rsidR="00014926">
        <w:rPr>
          <w:sz w:val="20"/>
          <w:szCs w:val="20"/>
        </w:rPr>
        <w:t xml:space="preserve">(iii) support to the elaboration and adoption of gender parity law 16.004 </w:t>
      </w:r>
      <w:r w:rsidR="004964D7">
        <w:rPr>
          <w:sz w:val="20"/>
          <w:szCs w:val="20"/>
        </w:rPr>
        <w:t xml:space="preserve">(2016) </w:t>
      </w:r>
      <w:r w:rsidR="00E627AC">
        <w:rPr>
          <w:sz w:val="20"/>
          <w:szCs w:val="20"/>
        </w:rPr>
        <w:t xml:space="preserve">that </w:t>
      </w:r>
      <w:r w:rsidR="00014926">
        <w:rPr>
          <w:sz w:val="20"/>
          <w:szCs w:val="20"/>
        </w:rPr>
        <w:t>fixes a minimum quota of 35</w:t>
      </w:r>
      <w:r w:rsidR="00E627AC">
        <w:rPr>
          <w:sz w:val="20"/>
          <w:szCs w:val="20"/>
        </w:rPr>
        <w:t xml:space="preserve"> per cent of</w:t>
      </w:r>
      <w:r w:rsidR="00014926">
        <w:rPr>
          <w:sz w:val="20"/>
          <w:szCs w:val="20"/>
        </w:rPr>
        <w:t xml:space="preserve"> female representation in public i</w:t>
      </w:r>
      <w:r w:rsidR="00C31AF7">
        <w:rPr>
          <w:sz w:val="20"/>
          <w:szCs w:val="20"/>
        </w:rPr>
        <w:t>nstitutions</w:t>
      </w:r>
      <w:r w:rsidR="00E627AC">
        <w:rPr>
          <w:sz w:val="20"/>
          <w:szCs w:val="20"/>
        </w:rPr>
        <w:t>,</w:t>
      </w:r>
      <w:r w:rsidR="00014926">
        <w:rPr>
          <w:sz w:val="20"/>
          <w:szCs w:val="20"/>
        </w:rPr>
        <w:t xml:space="preserve"> and (iv</w:t>
      </w:r>
      <w:r w:rsidR="00636827" w:rsidRPr="00435BE7">
        <w:rPr>
          <w:sz w:val="20"/>
          <w:szCs w:val="20"/>
        </w:rPr>
        <w:t xml:space="preserve">) </w:t>
      </w:r>
      <w:r w:rsidR="00610513" w:rsidRPr="00435BE7">
        <w:rPr>
          <w:sz w:val="20"/>
          <w:szCs w:val="20"/>
        </w:rPr>
        <w:t xml:space="preserve">support to </w:t>
      </w:r>
      <w:r w:rsidR="00636827" w:rsidRPr="00435BE7">
        <w:rPr>
          <w:sz w:val="20"/>
          <w:szCs w:val="20"/>
        </w:rPr>
        <w:t xml:space="preserve">the development of the </w:t>
      </w:r>
      <w:r w:rsidR="0086080F">
        <w:rPr>
          <w:sz w:val="20"/>
          <w:szCs w:val="20"/>
        </w:rPr>
        <w:t xml:space="preserve">RCPCA </w:t>
      </w:r>
      <w:r w:rsidR="00636827" w:rsidRPr="00435BE7">
        <w:rPr>
          <w:sz w:val="20"/>
          <w:szCs w:val="20"/>
        </w:rPr>
        <w:t>in pa</w:t>
      </w:r>
      <w:r w:rsidR="009A4A7D" w:rsidRPr="00435BE7">
        <w:rPr>
          <w:sz w:val="20"/>
          <w:szCs w:val="20"/>
        </w:rPr>
        <w:t xml:space="preserve">rtnership with other </w:t>
      </w:r>
      <w:r w:rsidR="00B7364C">
        <w:rPr>
          <w:sz w:val="20"/>
          <w:szCs w:val="20"/>
        </w:rPr>
        <w:t>United Nations</w:t>
      </w:r>
      <w:r w:rsidR="00B7364C" w:rsidRPr="00435BE7">
        <w:rPr>
          <w:sz w:val="20"/>
          <w:szCs w:val="20"/>
        </w:rPr>
        <w:t xml:space="preserve"> </w:t>
      </w:r>
      <w:r w:rsidR="00B7364C">
        <w:rPr>
          <w:sz w:val="20"/>
          <w:szCs w:val="20"/>
        </w:rPr>
        <w:t>organizations</w:t>
      </w:r>
      <w:r w:rsidR="00636827" w:rsidRPr="00435BE7">
        <w:rPr>
          <w:sz w:val="20"/>
          <w:szCs w:val="20"/>
        </w:rPr>
        <w:t xml:space="preserve">, the </w:t>
      </w:r>
      <w:r w:rsidR="007C1258">
        <w:rPr>
          <w:sz w:val="20"/>
          <w:szCs w:val="20"/>
        </w:rPr>
        <w:t>E</w:t>
      </w:r>
      <w:r w:rsidR="00B7364C">
        <w:rPr>
          <w:sz w:val="20"/>
          <w:szCs w:val="20"/>
        </w:rPr>
        <w:t xml:space="preserve">uropean </w:t>
      </w:r>
      <w:r w:rsidR="007C1258">
        <w:rPr>
          <w:sz w:val="20"/>
          <w:szCs w:val="20"/>
        </w:rPr>
        <w:t>U</w:t>
      </w:r>
      <w:r w:rsidR="00B7364C">
        <w:rPr>
          <w:sz w:val="20"/>
          <w:szCs w:val="20"/>
        </w:rPr>
        <w:t>nion</w:t>
      </w:r>
      <w:r w:rsidR="00636827" w:rsidRPr="00435BE7">
        <w:rPr>
          <w:sz w:val="20"/>
          <w:szCs w:val="20"/>
        </w:rPr>
        <w:t xml:space="preserve"> and W</w:t>
      </w:r>
      <w:r w:rsidR="00B7364C">
        <w:rPr>
          <w:sz w:val="20"/>
          <w:szCs w:val="20"/>
        </w:rPr>
        <w:t xml:space="preserve">orld </w:t>
      </w:r>
      <w:r w:rsidR="007C1258">
        <w:rPr>
          <w:sz w:val="20"/>
          <w:szCs w:val="20"/>
        </w:rPr>
        <w:t>B</w:t>
      </w:r>
      <w:r w:rsidR="00B7364C">
        <w:rPr>
          <w:sz w:val="20"/>
          <w:szCs w:val="20"/>
        </w:rPr>
        <w:t>ank</w:t>
      </w:r>
      <w:r w:rsidR="00636827" w:rsidRPr="00435BE7">
        <w:rPr>
          <w:sz w:val="20"/>
          <w:szCs w:val="20"/>
        </w:rPr>
        <w:t xml:space="preserve">. UNDP </w:t>
      </w:r>
      <w:r w:rsidR="00B7364C">
        <w:rPr>
          <w:sz w:val="20"/>
          <w:szCs w:val="20"/>
        </w:rPr>
        <w:t xml:space="preserve">is </w:t>
      </w:r>
      <w:r w:rsidR="00C34DF0">
        <w:rPr>
          <w:sz w:val="20"/>
          <w:szCs w:val="20"/>
        </w:rPr>
        <w:t>well-</w:t>
      </w:r>
      <w:r w:rsidR="00B7364C">
        <w:rPr>
          <w:sz w:val="20"/>
          <w:szCs w:val="20"/>
        </w:rPr>
        <w:t>positioned to</w:t>
      </w:r>
      <w:r w:rsidR="00B7364C" w:rsidRPr="00435BE7">
        <w:rPr>
          <w:sz w:val="20"/>
          <w:szCs w:val="20"/>
        </w:rPr>
        <w:t xml:space="preserve"> </w:t>
      </w:r>
      <w:r w:rsidR="00636827" w:rsidRPr="00435BE7">
        <w:rPr>
          <w:sz w:val="20"/>
          <w:szCs w:val="20"/>
        </w:rPr>
        <w:t xml:space="preserve">support the national structures responsible for </w:t>
      </w:r>
      <w:r w:rsidR="00610513" w:rsidRPr="00435BE7">
        <w:rPr>
          <w:sz w:val="20"/>
          <w:szCs w:val="20"/>
        </w:rPr>
        <w:t>implement</w:t>
      </w:r>
      <w:r w:rsidR="00B7364C">
        <w:rPr>
          <w:sz w:val="20"/>
          <w:szCs w:val="20"/>
        </w:rPr>
        <w:t xml:space="preserve">ing </w:t>
      </w:r>
      <w:r w:rsidR="00610513" w:rsidRPr="00435BE7">
        <w:rPr>
          <w:sz w:val="20"/>
          <w:szCs w:val="20"/>
        </w:rPr>
        <w:t xml:space="preserve">the </w:t>
      </w:r>
      <w:r w:rsidR="00885845">
        <w:rPr>
          <w:sz w:val="20"/>
          <w:szCs w:val="20"/>
        </w:rPr>
        <w:t>RCPCA</w:t>
      </w:r>
      <w:r w:rsidR="00636827" w:rsidRPr="00435BE7">
        <w:rPr>
          <w:sz w:val="20"/>
          <w:szCs w:val="20"/>
        </w:rPr>
        <w:t xml:space="preserve"> and broader governance interventions.</w:t>
      </w:r>
    </w:p>
    <w:p w14:paraId="68ED4498" w14:textId="038A6875" w:rsidR="00636827" w:rsidRPr="00435BE7" w:rsidRDefault="00B7364C"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Pr>
          <w:sz w:val="20"/>
          <w:szCs w:val="20"/>
        </w:rPr>
        <w:t>Between 2012 and 2016</w:t>
      </w:r>
      <w:r w:rsidR="00636827" w:rsidRPr="00435BE7">
        <w:rPr>
          <w:sz w:val="20"/>
          <w:szCs w:val="20"/>
        </w:rPr>
        <w:t xml:space="preserve"> the programme supported</w:t>
      </w:r>
      <w:r w:rsidR="00701EFB" w:rsidRPr="00435BE7">
        <w:rPr>
          <w:sz w:val="20"/>
          <w:szCs w:val="20"/>
        </w:rPr>
        <w:t xml:space="preserve"> th</w:t>
      </w:r>
      <w:r w:rsidR="008112C2" w:rsidRPr="00435BE7">
        <w:rPr>
          <w:sz w:val="20"/>
          <w:szCs w:val="20"/>
        </w:rPr>
        <w:t xml:space="preserve">e restoration of </w:t>
      </w:r>
      <w:r>
        <w:rPr>
          <w:sz w:val="20"/>
          <w:szCs w:val="20"/>
        </w:rPr>
        <w:t>s</w:t>
      </w:r>
      <w:r w:rsidR="008112C2" w:rsidRPr="00435BE7">
        <w:rPr>
          <w:sz w:val="20"/>
          <w:szCs w:val="20"/>
        </w:rPr>
        <w:t>tate authority</w:t>
      </w:r>
      <w:r w:rsidR="00701EFB" w:rsidRPr="00435BE7">
        <w:rPr>
          <w:sz w:val="20"/>
          <w:szCs w:val="20"/>
        </w:rPr>
        <w:t xml:space="preserve"> and fight against impunity </w:t>
      </w:r>
      <w:r>
        <w:rPr>
          <w:sz w:val="20"/>
          <w:szCs w:val="20"/>
        </w:rPr>
        <w:t>by revitalizing</w:t>
      </w:r>
      <w:r w:rsidR="008112C2" w:rsidRPr="00435BE7">
        <w:rPr>
          <w:sz w:val="20"/>
          <w:szCs w:val="20"/>
        </w:rPr>
        <w:t xml:space="preserve"> the judicial system</w:t>
      </w:r>
      <w:r w:rsidR="00701EFB" w:rsidRPr="00435BE7">
        <w:rPr>
          <w:sz w:val="20"/>
          <w:szCs w:val="20"/>
        </w:rPr>
        <w:t xml:space="preserve"> in Bangui, including </w:t>
      </w:r>
      <w:r w:rsidR="00926367">
        <w:rPr>
          <w:sz w:val="20"/>
          <w:szCs w:val="20"/>
        </w:rPr>
        <w:t>paying</w:t>
      </w:r>
      <w:r w:rsidR="008112C2" w:rsidRPr="00435BE7">
        <w:rPr>
          <w:sz w:val="20"/>
          <w:szCs w:val="20"/>
        </w:rPr>
        <w:t xml:space="preserve"> stipends to</w:t>
      </w:r>
      <w:r w:rsidR="00A5789A">
        <w:rPr>
          <w:sz w:val="20"/>
          <w:szCs w:val="20"/>
        </w:rPr>
        <w:t xml:space="preserve"> </w:t>
      </w:r>
      <w:r w:rsidR="009A4A7D" w:rsidRPr="00435BE7">
        <w:rPr>
          <w:sz w:val="20"/>
          <w:szCs w:val="20"/>
        </w:rPr>
        <w:t xml:space="preserve">civil servants </w:t>
      </w:r>
      <w:r w:rsidR="000640B7">
        <w:rPr>
          <w:sz w:val="20"/>
          <w:szCs w:val="20"/>
        </w:rPr>
        <w:t xml:space="preserve">and 3,800 </w:t>
      </w:r>
      <w:r w:rsidR="008112C2" w:rsidRPr="00435BE7">
        <w:rPr>
          <w:sz w:val="20"/>
          <w:szCs w:val="20"/>
        </w:rPr>
        <w:t>police and gendarmerie</w:t>
      </w:r>
      <w:r w:rsidR="00701EFB" w:rsidRPr="00435BE7">
        <w:rPr>
          <w:sz w:val="20"/>
          <w:szCs w:val="20"/>
        </w:rPr>
        <w:t xml:space="preserve"> in partnership with the </w:t>
      </w:r>
      <w:r w:rsidR="007C1258">
        <w:rPr>
          <w:sz w:val="20"/>
          <w:szCs w:val="20"/>
        </w:rPr>
        <w:t>World Bank</w:t>
      </w:r>
      <w:r w:rsidR="00701EFB" w:rsidRPr="00435BE7">
        <w:rPr>
          <w:sz w:val="20"/>
          <w:szCs w:val="20"/>
        </w:rPr>
        <w:t xml:space="preserve"> (2014). </w:t>
      </w:r>
      <w:r w:rsidR="00926367">
        <w:rPr>
          <w:sz w:val="20"/>
          <w:szCs w:val="20"/>
        </w:rPr>
        <w:t>Justice systems were improved</w:t>
      </w:r>
      <w:r w:rsidR="000640B7">
        <w:rPr>
          <w:sz w:val="20"/>
          <w:szCs w:val="20"/>
        </w:rPr>
        <w:t xml:space="preserve"> </w:t>
      </w:r>
      <w:r w:rsidR="00926367">
        <w:rPr>
          <w:sz w:val="20"/>
          <w:szCs w:val="20"/>
        </w:rPr>
        <w:t>with the introduction of</w:t>
      </w:r>
      <w:r w:rsidR="000640B7">
        <w:rPr>
          <w:sz w:val="20"/>
          <w:szCs w:val="20"/>
        </w:rPr>
        <w:t xml:space="preserve"> 23 mobile court sessions. For the first time in the history of </w:t>
      </w:r>
      <w:r w:rsidR="00A210E0">
        <w:rPr>
          <w:sz w:val="20"/>
          <w:szCs w:val="20"/>
        </w:rPr>
        <w:t>the Central African Republic</w:t>
      </w:r>
      <w:r w:rsidR="000640B7">
        <w:rPr>
          <w:sz w:val="20"/>
          <w:szCs w:val="20"/>
        </w:rPr>
        <w:t xml:space="preserve">, </w:t>
      </w:r>
      <w:r w:rsidR="005321AB">
        <w:rPr>
          <w:sz w:val="20"/>
          <w:szCs w:val="20"/>
        </w:rPr>
        <w:t>four</w:t>
      </w:r>
      <w:r w:rsidR="000640B7">
        <w:rPr>
          <w:sz w:val="20"/>
          <w:szCs w:val="20"/>
        </w:rPr>
        <w:t xml:space="preserve"> sexual and gender based violence cases were adjucated by a criminal session in Bangui</w:t>
      </w:r>
      <w:r w:rsidR="0078334E">
        <w:rPr>
          <w:sz w:val="20"/>
          <w:szCs w:val="20"/>
        </w:rPr>
        <w:t xml:space="preserve"> (2016)</w:t>
      </w:r>
      <w:r w:rsidR="000640B7">
        <w:rPr>
          <w:sz w:val="20"/>
          <w:szCs w:val="20"/>
        </w:rPr>
        <w:t xml:space="preserve">. </w:t>
      </w:r>
      <w:r w:rsidR="00957F76">
        <w:rPr>
          <w:sz w:val="20"/>
          <w:szCs w:val="20"/>
        </w:rPr>
        <w:t xml:space="preserve">UNDP and its partners </w:t>
      </w:r>
      <w:r w:rsidR="00DD0CB7">
        <w:rPr>
          <w:sz w:val="20"/>
          <w:szCs w:val="20"/>
        </w:rPr>
        <w:t>provide</w:t>
      </w:r>
      <w:r w:rsidR="00957F76">
        <w:rPr>
          <w:sz w:val="20"/>
          <w:szCs w:val="20"/>
        </w:rPr>
        <w:t xml:space="preserve"> o</w:t>
      </w:r>
      <w:r w:rsidR="00701EFB" w:rsidRPr="00435BE7">
        <w:rPr>
          <w:sz w:val="20"/>
          <w:szCs w:val="20"/>
        </w:rPr>
        <w:t>ngoing support</w:t>
      </w:r>
      <w:r w:rsidR="00957F76">
        <w:rPr>
          <w:sz w:val="20"/>
          <w:szCs w:val="20"/>
        </w:rPr>
        <w:t xml:space="preserve"> </w:t>
      </w:r>
      <w:r w:rsidR="00701EFB" w:rsidRPr="00435BE7">
        <w:rPr>
          <w:sz w:val="20"/>
          <w:szCs w:val="20"/>
        </w:rPr>
        <w:t>towards operationaliz</w:t>
      </w:r>
      <w:r w:rsidR="00957F76">
        <w:rPr>
          <w:sz w:val="20"/>
          <w:szCs w:val="20"/>
        </w:rPr>
        <w:t xml:space="preserve">ing </w:t>
      </w:r>
      <w:r w:rsidR="00701EFB" w:rsidRPr="00435BE7">
        <w:rPr>
          <w:sz w:val="20"/>
          <w:szCs w:val="20"/>
        </w:rPr>
        <w:t xml:space="preserve">the Special Criminal Court to prosecute and </w:t>
      </w:r>
      <w:r w:rsidR="0094170C">
        <w:rPr>
          <w:sz w:val="20"/>
          <w:szCs w:val="20"/>
        </w:rPr>
        <w:t xml:space="preserve">bring </w:t>
      </w:r>
      <w:r w:rsidR="00701EFB" w:rsidRPr="00435BE7">
        <w:rPr>
          <w:sz w:val="20"/>
          <w:szCs w:val="20"/>
        </w:rPr>
        <w:t xml:space="preserve">perpetrators of human rights violations </w:t>
      </w:r>
      <w:r w:rsidR="00795C2D">
        <w:rPr>
          <w:sz w:val="20"/>
          <w:szCs w:val="20"/>
        </w:rPr>
        <w:t>to trial</w:t>
      </w:r>
      <w:r w:rsidR="00701EFB" w:rsidRPr="00435BE7">
        <w:rPr>
          <w:sz w:val="20"/>
          <w:szCs w:val="20"/>
        </w:rPr>
        <w:t>. The previous p</w:t>
      </w:r>
      <w:r w:rsidR="00610513" w:rsidRPr="00435BE7">
        <w:rPr>
          <w:sz w:val="20"/>
          <w:szCs w:val="20"/>
        </w:rPr>
        <w:t xml:space="preserve">rogramme </w:t>
      </w:r>
      <w:r w:rsidR="00957F76">
        <w:rPr>
          <w:sz w:val="20"/>
          <w:szCs w:val="20"/>
        </w:rPr>
        <w:t>overcame</w:t>
      </w:r>
      <w:r w:rsidR="00610513" w:rsidRPr="00435BE7">
        <w:rPr>
          <w:sz w:val="20"/>
          <w:szCs w:val="20"/>
        </w:rPr>
        <w:t xml:space="preserve"> challenges associated with </w:t>
      </w:r>
      <w:r w:rsidR="00701EFB" w:rsidRPr="00435BE7">
        <w:rPr>
          <w:sz w:val="20"/>
          <w:szCs w:val="20"/>
        </w:rPr>
        <w:t xml:space="preserve">the </w:t>
      </w:r>
      <w:r w:rsidR="00C34DF0">
        <w:rPr>
          <w:sz w:val="20"/>
          <w:szCs w:val="20"/>
        </w:rPr>
        <w:t>redeployment</w:t>
      </w:r>
      <w:r w:rsidR="00957F76" w:rsidRPr="00435BE7">
        <w:rPr>
          <w:sz w:val="20"/>
          <w:szCs w:val="20"/>
        </w:rPr>
        <w:t xml:space="preserve"> </w:t>
      </w:r>
      <w:r w:rsidR="00701EFB" w:rsidRPr="00435BE7">
        <w:rPr>
          <w:sz w:val="20"/>
          <w:szCs w:val="20"/>
        </w:rPr>
        <w:t xml:space="preserve">of the </w:t>
      </w:r>
      <w:r w:rsidR="00957F76">
        <w:rPr>
          <w:sz w:val="20"/>
          <w:szCs w:val="20"/>
        </w:rPr>
        <w:t xml:space="preserve">national </w:t>
      </w:r>
      <w:r w:rsidR="00701EFB" w:rsidRPr="00435BE7">
        <w:rPr>
          <w:sz w:val="20"/>
          <w:szCs w:val="20"/>
        </w:rPr>
        <w:t>administration</w:t>
      </w:r>
      <w:r w:rsidR="00361209">
        <w:rPr>
          <w:sz w:val="20"/>
          <w:szCs w:val="20"/>
        </w:rPr>
        <w:t xml:space="preserve"> by </w:t>
      </w:r>
      <w:r w:rsidR="00C34DF0">
        <w:rPr>
          <w:sz w:val="20"/>
          <w:szCs w:val="20"/>
        </w:rPr>
        <w:t>focusing on</w:t>
      </w:r>
      <w:r w:rsidR="00701EFB" w:rsidRPr="00435BE7">
        <w:rPr>
          <w:sz w:val="20"/>
          <w:szCs w:val="20"/>
        </w:rPr>
        <w:t xml:space="preserve"> revitalizing soci</w:t>
      </w:r>
      <w:r w:rsidR="003F5887">
        <w:rPr>
          <w:sz w:val="20"/>
          <w:szCs w:val="20"/>
        </w:rPr>
        <w:t>o-economic activities</w:t>
      </w:r>
      <w:r w:rsidR="00701EFB" w:rsidRPr="00435BE7">
        <w:rPr>
          <w:sz w:val="20"/>
          <w:szCs w:val="20"/>
        </w:rPr>
        <w:t xml:space="preserve"> for the benefit</w:t>
      </w:r>
      <w:r w:rsidR="00DD0CB7">
        <w:rPr>
          <w:sz w:val="20"/>
          <w:szCs w:val="20"/>
        </w:rPr>
        <w:t xml:space="preserve"> of</w:t>
      </w:r>
      <w:r w:rsidR="00701EFB" w:rsidRPr="00435BE7">
        <w:rPr>
          <w:sz w:val="20"/>
          <w:szCs w:val="20"/>
        </w:rPr>
        <w:t xml:space="preserve"> </w:t>
      </w:r>
      <w:r w:rsidR="00957F76">
        <w:rPr>
          <w:sz w:val="20"/>
          <w:szCs w:val="20"/>
        </w:rPr>
        <w:t>rural</w:t>
      </w:r>
      <w:r w:rsidR="00701EFB" w:rsidRPr="00435BE7">
        <w:rPr>
          <w:sz w:val="20"/>
          <w:szCs w:val="20"/>
        </w:rPr>
        <w:t xml:space="preserve"> population</w:t>
      </w:r>
      <w:r w:rsidR="00957F76">
        <w:rPr>
          <w:sz w:val="20"/>
          <w:szCs w:val="20"/>
        </w:rPr>
        <w:t>s</w:t>
      </w:r>
      <w:r w:rsidR="00701EFB" w:rsidRPr="00435BE7">
        <w:rPr>
          <w:sz w:val="20"/>
          <w:szCs w:val="20"/>
        </w:rPr>
        <w:t xml:space="preserve">. </w:t>
      </w:r>
    </w:p>
    <w:p w14:paraId="716D6025" w14:textId="3610634F" w:rsidR="00701EFB" w:rsidRPr="00435BE7" w:rsidRDefault="00701EFB"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sidRPr="00435BE7">
        <w:rPr>
          <w:sz w:val="20"/>
          <w:szCs w:val="20"/>
        </w:rPr>
        <w:t xml:space="preserve">UNDP </w:t>
      </w:r>
      <w:r w:rsidR="00957F76">
        <w:rPr>
          <w:sz w:val="20"/>
          <w:szCs w:val="20"/>
        </w:rPr>
        <w:t>helped create</w:t>
      </w:r>
      <w:r w:rsidRPr="00435BE7">
        <w:rPr>
          <w:sz w:val="20"/>
          <w:szCs w:val="20"/>
        </w:rPr>
        <w:t xml:space="preserve"> </w:t>
      </w:r>
      <w:r w:rsidR="00E34671">
        <w:rPr>
          <w:sz w:val="20"/>
          <w:szCs w:val="20"/>
        </w:rPr>
        <w:t xml:space="preserve">approximately </w:t>
      </w:r>
      <w:r w:rsidR="003920B5">
        <w:rPr>
          <w:sz w:val="20"/>
          <w:szCs w:val="20"/>
        </w:rPr>
        <w:t>3</w:t>
      </w:r>
      <w:r w:rsidR="006D3C02">
        <w:rPr>
          <w:sz w:val="20"/>
          <w:szCs w:val="20"/>
        </w:rPr>
        <w:t>,000</w:t>
      </w:r>
      <w:r w:rsidR="00A5789A">
        <w:rPr>
          <w:sz w:val="20"/>
          <w:szCs w:val="20"/>
        </w:rPr>
        <w:t xml:space="preserve"> </w:t>
      </w:r>
      <w:r w:rsidR="006D3C02">
        <w:rPr>
          <w:sz w:val="20"/>
          <w:szCs w:val="20"/>
        </w:rPr>
        <w:t>emergency jobs</w:t>
      </w:r>
      <w:r w:rsidR="00957F76">
        <w:rPr>
          <w:sz w:val="20"/>
          <w:szCs w:val="20"/>
        </w:rPr>
        <w:t xml:space="preserve"> by implementing programmes that focus on the </w:t>
      </w:r>
      <w:r w:rsidRPr="00435BE7">
        <w:rPr>
          <w:sz w:val="20"/>
          <w:szCs w:val="20"/>
        </w:rPr>
        <w:t>socio-economic reinte</w:t>
      </w:r>
      <w:r w:rsidR="008112C2" w:rsidRPr="00435BE7">
        <w:rPr>
          <w:sz w:val="20"/>
          <w:szCs w:val="20"/>
        </w:rPr>
        <w:t>gration of youth at risk of recruitment into armed groups</w:t>
      </w:r>
      <w:r w:rsidRPr="00435BE7">
        <w:rPr>
          <w:sz w:val="20"/>
          <w:szCs w:val="20"/>
        </w:rPr>
        <w:t xml:space="preserve"> and income-generating activities</w:t>
      </w:r>
      <w:r w:rsidR="00957F76">
        <w:rPr>
          <w:sz w:val="20"/>
          <w:szCs w:val="20"/>
        </w:rPr>
        <w:t xml:space="preserve"> (predominantly for</w:t>
      </w:r>
      <w:r w:rsidR="0078334E">
        <w:rPr>
          <w:sz w:val="20"/>
          <w:szCs w:val="20"/>
        </w:rPr>
        <w:t xml:space="preserve"> women</w:t>
      </w:r>
      <w:r w:rsidR="00957F76">
        <w:rPr>
          <w:sz w:val="20"/>
          <w:szCs w:val="20"/>
        </w:rPr>
        <w:t>)</w:t>
      </w:r>
      <w:r w:rsidR="0078334E">
        <w:rPr>
          <w:sz w:val="20"/>
          <w:szCs w:val="20"/>
        </w:rPr>
        <w:t>.</w:t>
      </w:r>
      <w:r w:rsidRPr="00435BE7">
        <w:rPr>
          <w:sz w:val="20"/>
          <w:szCs w:val="20"/>
        </w:rPr>
        <w:t xml:space="preserve"> </w:t>
      </w:r>
      <w:r w:rsidR="00957F76">
        <w:rPr>
          <w:sz w:val="20"/>
          <w:szCs w:val="20"/>
        </w:rPr>
        <w:t>Yet,</w:t>
      </w:r>
      <w:r w:rsidRPr="00435BE7">
        <w:rPr>
          <w:sz w:val="20"/>
          <w:szCs w:val="20"/>
        </w:rPr>
        <w:t xml:space="preserve"> despite critical partnerships formed </w:t>
      </w:r>
      <w:r w:rsidR="00957F76">
        <w:rPr>
          <w:sz w:val="20"/>
          <w:szCs w:val="20"/>
        </w:rPr>
        <w:t xml:space="preserve">within </w:t>
      </w:r>
      <w:r w:rsidRPr="00435BE7">
        <w:rPr>
          <w:sz w:val="20"/>
          <w:szCs w:val="20"/>
        </w:rPr>
        <w:t>communit</w:t>
      </w:r>
      <w:r w:rsidR="00957F76">
        <w:rPr>
          <w:sz w:val="20"/>
          <w:szCs w:val="20"/>
        </w:rPr>
        <w:t xml:space="preserve">ies, </w:t>
      </w:r>
      <w:r w:rsidRPr="00435BE7">
        <w:rPr>
          <w:sz w:val="20"/>
          <w:szCs w:val="20"/>
        </w:rPr>
        <w:t xml:space="preserve">and increased social cohesion as a result of </w:t>
      </w:r>
      <w:r w:rsidR="00957F76">
        <w:rPr>
          <w:sz w:val="20"/>
          <w:szCs w:val="20"/>
        </w:rPr>
        <w:t>new</w:t>
      </w:r>
      <w:r w:rsidR="00957F76" w:rsidRPr="00435BE7">
        <w:rPr>
          <w:sz w:val="20"/>
          <w:szCs w:val="20"/>
        </w:rPr>
        <w:t xml:space="preserve"> </w:t>
      </w:r>
      <w:r w:rsidR="00610513" w:rsidRPr="00435BE7">
        <w:rPr>
          <w:sz w:val="20"/>
          <w:szCs w:val="20"/>
        </w:rPr>
        <w:t>economic opportuni</w:t>
      </w:r>
      <w:r w:rsidR="00957F76">
        <w:rPr>
          <w:sz w:val="20"/>
          <w:szCs w:val="20"/>
        </w:rPr>
        <w:t>ties,</w:t>
      </w:r>
      <w:r w:rsidR="00610513" w:rsidRPr="00973F38">
        <w:rPr>
          <w:sz w:val="20"/>
          <w:szCs w:val="20"/>
          <w:vertAlign w:val="superscript"/>
        </w:rPr>
        <w:footnoteReference w:id="17"/>
      </w:r>
      <w:r w:rsidR="00610513" w:rsidRPr="00435BE7">
        <w:rPr>
          <w:sz w:val="20"/>
          <w:szCs w:val="20"/>
        </w:rPr>
        <w:t xml:space="preserve"> </w:t>
      </w:r>
      <w:r w:rsidR="00957F76">
        <w:rPr>
          <w:sz w:val="20"/>
          <w:szCs w:val="20"/>
        </w:rPr>
        <w:t>these</w:t>
      </w:r>
      <w:r w:rsidR="00957F76" w:rsidRPr="00435BE7">
        <w:rPr>
          <w:sz w:val="20"/>
          <w:szCs w:val="20"/>
        </w:rPr>
        <w:t xml:space="preserve"> </w:t>
      </w:r>
      <w:r w:rsidR="00610513" w:rsidRPr="00435BE7">
        <w:rPr>
          <w:sz w:val="20"/>
          <w:szCs w:val="20"/>
        </w:rPr>
        <w:t>interventions have not been scale</w:t>
      </w:r>
      <w:r w:rsidR="00CD1937">
        <w:rPr>
          <w:sz w:val="20"/>
          <w:szCs w:val="20"/>
        </w:rPr>
        <w:t>d</w:t>
      </w:r>
      <w:r w:rsidR="00957F76">
        <w:rPr>
          <w:sz w:val="20"/>
          <w:szCs w:val="20"/>
        </w:rPr>
        <w:t xml:space="preserve"> up sufficiently</w:t>
      </w:r>
      <w:r w:rsidR="00610513" w:rsidRPr="00435BE7">
        <w:rPr>
          <w:sz w:val="20"/>
          <w:szCs w:val="20"/>
        </w:rPr>
        <w:t xml:space="preserve"> to meet the needs </w:t>
      </w:r>
      <w:r w:rsidR="00CD1937">
        <w:rPr>
          <w:sz w:val="20"/>
          <w:szCs w:val="20"/>
        </w:rPr>
        <w:t>of</w:t>
      </w:r>
      <w:r w:rsidR="00957F76">
        <w:rPr>
          <w:sz w:val="20"/>
          <w:szCs w:val="20"/>
        </w:rPr>
        <w:t xml:space="preserve"> the population</w:t>
      </w:r>
      <w:r w:rsidR="00610513" w:rsidRPr="00435BE7">
        <w:rPr>
          <w:sz w:val="20"/>
          <w:szCs w:val="20"/>
        </w:rPr>
        <w:t>. This is partly related to challenges ar</w:t>
      </w:r>
      <w:r w:rsidR="002A00F3" w:rsidRPr="00435BE7">
        <w:rPr>
          <w:sz w:val="20"/>
          <w:szCs w:val="20"/>
        </w:rPr>
        <w:t>ound resource mobilization</w:t>
      </w:r>
      <w:r w:rsidR="009A4A7D" w:rsidRPr="00435BE7">
        <w:rPr>
          <w:sz w:val="20"/>
          <w:szCs w:val="20"/>
        </w:rPr>
        <w:t xml:space="preserve"> in a </w:t>
      </w:r>
      <w:r w:rsidR="00610513" w:rsidRPr="00435BE7">
        <w:rPr>
          <w:sz w:val="20"/>
          <w:szCs w:val="20"/>
        </w:rPr>
        <w:t>peacekeeping and humanitarian-response context</w:t>
      </w:r>
      <w:r w:rsidR="00014926">
        <w:rPr>
          <w:sz w:val="20"/>
          <w:szCs w:val="20"/>
        </w:rPr>
        <w:t>.</w:t>
      </w:r>
    </w:p>
    <w:p w14:paraId="0C0E5EFC" w14:textId="026A35D7" w:rsidR="00197553" w:rsidRDefault="00957F76"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Pr>
          <w:sz w:val="20"/>
          <w:szCs w:val="20"/>
        </w:rPr>
        <w:t xml:space="preserve">Although there are countless </w:t>
      </w:r>
      <w:r w:rsidR="00632555">
        <w:rPr>
          <w:sz w:val="20"/>
          <w:szCs w:val="20"/>
        </w:rPr>
        <w:t xml:space="preserve">challenges to human development </w:t>
      </w:r>
      <w:r w:rsidR="00795C2D">
        <w:rPr>
          <w:sz w:val="20"/>
          <w:szCs w:val="20"/>
        </w:rPr>
        <w:t>in</w:t>
      </w:r>
      <w:r w:rsidR="007C6AE8">
        <w:rPr>
          <w:sz w:val="20"/>
          <w:szCs w:val="20"/>
        </w:rPr>
        <w:t xml:space="preserve"> the country</w:t>
      </w:r>
      <w:r w:rsidR="004319D8">
        <w:rPr>
          <w:sz w:val="20"/>
          <w:szCs w:val="20"/>
        </w:rPr>
        <w:t xml:space="preserve">, </w:t>
      </w:r>
      <w:r>
        <w:rPr>
          <w:sz w:val="20"/>
          <w:szCs w:val="20"/>
        </w:rPr>
        <w:t>there are many</w:t>
      </w:r>
      <w:r w:rsidR="00632555">
        <w:rPr>
          <w:sz w:val="20"/>
          <w:szCs w:val="20"/>
        </w:rPr>
        <w:t xml:space="preserve"> </w:t>
      </w:r>
      <w:r w:rsidR="002034D6">
        <w:rPr>
          <w:sz w:val="20"/>
          <w:szCs w:val="20"/>
        </w:rPr>
        <w:t xml:space="preserve">opportunities </w:t>
      </w:r>
      <w:r w:rsidR="003957FB">
        <w:rPr>
          <w:sz w:val="20"/>
          <w:szCs w:val="20"/>
        </w:rPr>
        <w:t>in the next four-year period</w:t>
      </w:r>
      <w:r w:rsidR="00D346F2">
        <w:rPr>
          <w:sz w:val="20"/>
          <w:szCs w:val="20"/>
        </w:rPr>
        <w:t xml:space="preserve"> </w:t>
      </w:r>
      <w:r>
        <w:rPr>
          <w:sz w:val="20"/>
          <w:szCs w:val="20"/>
        </w:rPr>
        <w:t>(</w:t>
      </w:r>
      <w:r w:rsidR="006D3C02">
        <w:rPr>
          <w:sz w:val="20"/>
          <w:szCs w:val="20"/>
        </w:rPr>
        <w:t>as outlined in the UNDAF+</w:t>
      </w:r>
      <w:r w:rsidR="00795C2D">
        <w:rPr>
          <w:sz w:val="20"/>
          <w:szCs w:val="20"/>
        </w:rPr>
        <w:t xml:space="preserve"> </w:t>
      </w:r>
      <w:r>
        <w:rPr>
          <w:sz w:val="20"/>
          <w:szCs w:val="20"/>
        </w:rPr>
        <w:t xml:space="preserve">for </w:t>
      </w:r>
      <w:r w:rsidR="006D3C02">
        <w:rPr>
          <w:sz w:val="20"/>
          <w:szCs w:val="20"/>
        </w:rPr>
        <w:t>2018-</w:t>
      </w:r>
      <w:r w:rsidR="00D346F2">
        <w:rPr>
          <w:sz w:val="20"/>
          <w:szCs w:val="20"/>
        </w:rPr>
        <w:t>2021</w:t>
      </w:r>
      <w:r w:rsidR="00A3436E">
        <w:rPr>
          <w:sz w:val="20"/>
          <w:szCs w:val="20"/>
        </w:rPr>
        <w:t>)</w:t>
      </w:r>
      <w:r>
        <w:rPr>
          <w:sz w:val="20"/>
          <w:szCs w:val="20"/>
        </w:rPr>
        <w:t xml:space="preserve">. Within the </w:t>
      </w:r>
      <w:r w:rsidR="00BC159E">
        <w:rPr>
          <w:sz w:val="20"/>
          <w:szCs w:val="20"/>
        </w:rPr>
        <w:t>framework of</w:t>
      </w:r>
      <w:r w:rsidR="002A056A">
        <w:rPr>
          <w:sz w:val="20"/>
          <w:szCs w:val="20"/>
        </w:rPr>
        <w:t xml:space="preserve"> the peace-humanitarian-development nexus</w:t>
      </w:r>
      <w:r>
        <w:rPr>
          <w:sz w:val="20"/>
          <w:szCs w:val="20"/>
        </w:rPr>
        <w:t xml:space="preserve">, UNDP will support </w:t>
      </w:r>
      <w:r w:rsidR="00D346F2">
        <w:rPr>
          <w:sz w:val="20"/>
          <w:szCs w:val="20"/>
        </w:rPr>
        <w:t xml:space="preserve">national institutions to promote peace, security, good governance, rule of law and reconciliation </w:t>
      </w:r>
      <w:r w:rsidR="00632555">
        <w:rPr>
          <w:sz w:val="20"/>
          <w:szCs w:val="20"/>
        </w:rPr>
        <w:t>through advocacy, capacity building, policy dialogue and support</w:t>
      </w:r>
      <w:r>
        <w:rPr>
          <w:sz w:val="20"/>
          <w:szCs w:val="20"/>
        </w:rPr>
        <w:t xml:space="preserve">ing </w:t>
      </w:r>
      <w:r w:rsidR="00D346F2">
        <w:rPr>
          <w:sz w:val="20"/>
          <w:szCs w:val="20"/>
        </w:rPr>
        <w:t xml:space="preserve">institutional </w:t>
      </w:r>
      <w:r w:rsidR="00632555">
        <w:rPr>
          <w:sz w:val="20"/>
          <w:szCs w:val="20"/>
        </w:rPr>
        <w:t>reform</w:t>
      </w:r>
      <w:r w:rsidR="00D346F2">
        <w:rPr>
          <w:sz w:val="20"/>
          <w:szCs w:val="20"/>
        </w:rPr>
        <w:t>s</w:t>
      </w:r>
      <w:r w:rsidR="003957FB">
        <w:rPr>
          <w:sz w:val="20"/>
          <w:szCs w:val="20"/>
        </w:rPr>
        <w:t xml:space="preserve"> </w:t>
      </w:r>
      <w:r w:rsidR="000738C4" w:rsidRPr="000738C4">
        <w:rPr>
          <w:sz w:val="20"/>
          <w:szCs w:val="20"/>
        </w:rPr>
        <w:t>(</w:t>
      </w:r>
      <w:r w:rsidR="000738C4" w:rsidRPr="00053F0A">
        <w:rPr>
          <w:sz w:val="20"/>
          <w:szCs w:val="20"/>
        </w:rPr>
        <w:t>UNDAF+ outcome</w:t>
      </w:r>
      <w:r>
        <w:rPr>
          <w:sz w:val="20"/>
          <w:szCs w:val="20"/>
        </w:rPr>
        <w:t>s</w:t>
      </w:r>
      <w:r w:rsidR="000738C4" w:rsidRPr="00053F0A">
        <w:rPr>
          <w:sz w:val="20"/>
          <w:szCs w:val="20"/>
        </w:rPr>
        <w:t xml:space="preserve"> </w:t>
      </w:r>
      <w:r w:rsidR="000738C4" w:rsidRPr="004B0139">
        <w:rPr>
          <w:sz w:val="20"/>
          <w:szCs w:val="20"/>
        </w:rPr>
        <w:t>1.1</w:t>
      </w:r>
      <w:r w:rsidR="00865C8A">
        <w:rPr>
          <w:sz w:val="20"/>
          <w:szCs w:val="20"/>
        </w:rPr>
        <w:t xml:space="preserve"> and 1.2</w:t>
      </w:r>
      <w:r w:rsidR="000738C4" w:rsidRPr="00053F0A">
        <w:rPr>
          <w:sz w:val="20"/>
          <w:szCs w:val="20"/>
        </w:rPr>
        <w:t>).</w:t>
      </w:r>
      <w:r w:rsidR="00632555">
        <w:rPr>
          <w:sz w:val="20"/>
          <w:szCs w:val="20"/>
        </w:rPr>
        <w:t xml:space="preserve"> UNDP is well placed to</w:t>
      </w:r>
      <w:r w:rsidR="00BC159E">
        <w:rPr>
          <w:sz w:val="20"/>
          <w:szCs w:val="20"/>
        </w:rPr>
        <w:t xml:space="preserve"> reinforce links between peace and development by</w:t>
      </w:r>
      <w:r w:rsidR="00632555">
        <w:rPr>
          <w:sz w:val="20"/>
          <w:szCs w:val="20"/>
        </w:rPr>
        <w:t xml:space="preserve"> build</w:t>
      </w:r>
      <w:r w:rsidR="00BC159E">
        <w:rPr>
          <w:sz w:val="20"/>
          <w:szCs w:val="20"/>
        </w:rPr>
        <w:t>ing</w:t>
      </w:r>
      <w:r w:rsidR="00632555">
        <w:rPr>
          <w:sz w:val="20"/>
          <w:szCs w:val="20"/>
        </w:rPr>
        <w:t xml:space="preserve"> on existing relationships with national institutions</w:t>
      </w:r>
      <w:r w:rsidR="00197553">
        <w:rPr>
          <w:sz w:val="20"/>
          <w:szCs w:val="20"/>
        </w:rPr>
        <w:t xml:space="preserve"> including</w:t>
      </w:r>
      <w:r w:rsidR="002034D6">
        <w:rPr>
          <w:sz w:val="20"/>
          <w:szCs w:val="20"/>
        </w:rPr>
        <w:t xml:space="preserve"> </w:t>
      </w:r>
      <w:r w:rsidR="00197553">
        <w:rPr>
          <w:sz w:val="20"/>
          <w:szCs w:val="20"/>
        </w:rPr>
        <w:t xml:space="preserve">the </w:t>
      </w:r>
      <w:r w:rsidR="007F1EF7">
        <w:rPr>
          <w:sz w:val="20"/>
          <w:szCs w:val="20"/>
        </w:rPr>
        <w:t>E</w:t>
      </w:r>
      <w:r w:rsidR="00197553">
        <w:rPr>
          <w:sz w:val="20"/>
          <w:szCs w:val="20"/>
        </w:rPr>
        <w:t>xecutive</w:t>
      </w:r>
      <w:r>
        <w:rPr>
          <w:sz w:val="20"/>
          <w:szCs w:val="20"/>
        </w:rPr>
        <w:t xml:space="preserve"> </w:t>
      </w:r>
      <w:r w:rsidR="007F1EF7">
        <w:rPr>
          <w:sz w:val="20"/>
          <w:szCs w:val="20"/>
        </w:rPr>
        <w:t>B</w:t>
      </w:r>
      <w:r w:rsidR="00B306A6">
        <w:rPr>
          <w:sz w:val="20"/>
          <w:szCs w:val="20"/>
        </w:rPr>
        <w:t>ranch</w:t>
      </w:r>
      <w:r w:rsidR="00C34DF0">
        <w:rPr>
          <w:sz w:val="20"/>
          <w:szCs w:val="20"/>
        </w:rPr>
        <w:t xml:space="preserve"> of the Presiden</w:t>
      </w:r>
      <w:r w:rsidR="00B306A6">
        <w:rPr>
          <w:sz w:val="20"/>
          <w:szCs w:val="20"/>
        </w:rPr>
        <w:t>cy</w:t>
      </w:r>
      <w:r w:rsidR="00197553">
        <w:rPr>
          <w:sz w:val="20"/>
          <w:szCs w:val="20"/>
        </w:rPr>
        <w:t xml:space="preserve">, </w:t>
      </w:r>
      <w:r w:rsidR="00197553" w:rsidRPr="00435BE7">
        <w:rPr>
          <w:sz w:val="20"/>
          <w:szCs w:val="20"/>
        </w:rPr>
        <w:t>Ministry of Planning</w:t>
      </w:r>
      <w:r w:rsidR="00B66E40">
        <w:rPr>
          <w:sz w:val="20"/>
          <w:szCs w:val="20"/>
        </w:rPr>
        <w:t>,</w:t>
      </w:r>
      <w:r w:rsidR="008D0E98">
        <w:rPr>
          <w:sz w:val="20"/>
          <w:szCs w:val="20"/>
        </w:rPr>
        <w:t xml:space="preserve"> </w:t>
      </w:r>
      <w:r w:rsidR="00197553" w:rsidRPr="00435BE7">
        <w:rPr>
          <w:sz w:val="20"/>
          <w:szCs w:val="20"/>
        </w:rPr>
        <w:t>Ministry of Justice</w:t>
      </w:r>
      <w:r w:rsidR="003731CF">
        <w:rPr>
          <w:sz w:val="20"/>
          <w:szCs w:val="20"/>
        </w:rPr>
        <w:t>,</w:t>
      </w:r>
      <w:r w:rsidR="00197553" w:rsidRPr="00435BE7">
        <w:rPr>
          <w:sz w:val="20"/>
          <w:szCs w:val="20"/>
        </w:rPr>
        <w:t xml:space="preserve"> and the Ministry of Social Affairs</w:t>
      </w:r>
      <w:r>
        <w:rPr>
          <w:sz w:val="20"/>
          <w:szCs w:val="20"/>
        </w:rPr>
        <w:t xml:space="preserve">. UNDP will help strengthen </w:t>
      </w:r>
      <w:r w:rsidR="00D57012">
        <w:rPr>
          <w:sz w:val="20"/>
          <w:szCs w:val="20"/>
        </w:rPr>
        <w:t>core government functions and the</w:t>
      </w:r>
      <w:r w:rsidR="00632555">
        <w:rPr>
          <w:sz w:val="20"/>
          <w:szCs w:val="20"/>
        </w:rPr>
        <w:t xml:space="preserve"> </w:t>
      </w:r>
      <w:r w:rsidR="00D346F2">
        <w:rPr>
          <w:sz w:val="20"/>
          <w:szCs w:val="20"/>
        </w:rPr>
        <w:t xml:space="preserve">redeployment of </w:t>
      </w:r>
      <w:r w:rsidR="00361209">
        <w:rPr>
          <w:sz w:val="20"/>
          <w:szCs w:val="20"/>
        </w:rPr>
        <w:t xml:space="preserve">specific </w:t>
      </w:r>
      <w:r w:rsidR="00190654">
        <w:rPr>
          <w:sz w:val="20"/>
          <w:szCs w:val="20"/>
        </w:rPr>
        <w:t xml:space="preserve">ministries </w:t>
      </w:r>
      <w:r w:rsidR="000738C4">
        <w:rPr>
          <w:sz w:val="20"/>
          <w:szCs w:val="20"/>
        </w:rPr>
        <w:t>for</w:t>
      </w:r>
      <w:r w:rsidR="00D346F2">
        <w:rPr>
          <w:sz w:val="20"/>
          <w:szCs w:val="20"/>
        </w:rPr>
        <w:t xml:space="preserve"> the provision of </w:t>
      </w:r>
      <w:r w:rsidR="00BC159E">
        <w:rPr>
          <w:sz w:val="20"/>
          <w:szCs w:val="20"/>
        </w:rPr>
        <w:t xml:space="preserve">basic </w:t>
      </w:r>
      <w:r w:rsidR="00D346F2">
        <w:rPr>
          <w:sz w:val="20"/>
          <w:szCs w:val="20"/>
        </w:rPr>
        <w:t xml:space="preserve">social services. </w:t>
      </w:r>
    </w:p>
    <w:p w14:paraId="1E5EA09F" w14:textId="50F81F55" w:rsidR="00632555" w:rsidRPr="00435BE7" w:rsidRDefault="004D113D" w:rsidP="00CE68BD">
      <w:pPr>
        <w:pStyle w:val="ListParagraph"/>
        <w:numPr>
          <w:ilvl w:val="0"/>
          <w:numId w:val="13"/>
        </w:numPr>
        <w:tabs>
          <w:tab w:val="clear" w:pos="624"/>
          <w:tab w:val="num" w:pos="1418"/>
          <w:tab w:val="left" w:pos="1800"/>
        </w:tabs>
        <w:ind w:left="1418" w:right="1210" w:firstLine="0"/>
        <w:jc w:val="both"/>
        <w:rPr>
          <w:sz w:val="20"/>
          <w:szCs w:val="20"/>
        </w:rPr>
      </w:pPr>
      <w:r>
        <w:rPr>
          <w:sz w:val="20"/>
          <w:szCs w:val="20"/>
        </w:rPr>
        <w:t>B</w:t>
      </w:r>
      <w:r w:rsidR="00D346F2">
        <w:rPr>
          <w:sz w:val="20"/>
          <w:szCs w:val="20"/>
        </w:rPr>
        <w:t xml:space="preserve">ased on its comparative advantage in promoting </w:t>
      </w:r>
      <w:r w:rsidR="002A056A">
        <w:rPr>
          <w:sz w:val="20"/>
          <w:szCs w:val="20"/>
        </w:rPr>
        <w:t xml:space="preserve">resilience and </w:t>
      </w:r>
      <w:r w:rsidR="006E14CA">
        <w:rPr>
          <w:sz w:val="20"/>
          <w:szCs w:val="20"/>
        </w:rPr>
        <w:t>recovery</w:t>
      </w:r>
      <w:r w:rsidR="00D346F2">
        <w:rPr>
          <w:sz w:val="20"/>
          <w:szCs w:val="20"/>
        </w:rPr>
        <w:t xml:space="preserve"> </w:t>
      </w:r>
      <w:r w:rsidR="005C3BFA">
        <w:rPr>
          <w:sz w:val="20"/>
          <w:szCs w:val="20"/>
        </w:rPr>
        <w:t xml:space="preserve">and </w:t>
      </w:r>
      <w:r w:rsidR="00C34DF0">
        <w:rPr>
          <w:sz w:val="20"/>
          <w:szCs w:val="20"/>
        </w:rPr>
        <w:t>the</w:t>
      </w:r>
      <w:r>
        <w:rPr>
          <w:sz w:val="20"/>
          <w:szCs w:val="20"/>
        </w:rPr>
        <w:t xml:space="preserve"> </w:t>
      </w:r>
      <w:r w:rsidR="005C3BFA">
        <w:rPr>
          <w:sz w:val="20"/>
          <w:szCs w:val="20"/>
        </w:rPr>
        <w:t>“New Way of Working</w:t>
      </w:r>
      <w:r>
        <w:rPr>
          <w:sz w:val="20"/>
          <w:szCs w:val="20"/>
        </w:rPr>
        <w:t>,</w:t>
      </w:r>
      <w:r w:rsidR="005C3BFA">
        <w:rPr>
          <w:sz w:val="20"/>
          <w:szCs w:val="20"/>
        </w:rPr>
        <w:t>”</w:t>
      </w:r>
      <w:r>
        <w:rPr>
          <w:sz w:val="20"/>
          <w:szCs w:val="20"/>
        </w:rPr>
        <w:t xml:space="preserve"> </w:t>
      </w:r>
      <w:r w:rsidR="00197553">
        <w:rPr>
          <w:sz w:val="20"/>
          <w:szCs w:val="20"/>
        </w:rPr>
        <w:t>UNDP is well-placed</w:t>
      </w:r>
      <w:r w:rsidR="00BC159E">
        <w:rPr>
          <w:sz w:val="20"/>
          <w:szCs w:val="20"/>
        </w:rPr>
        <w:t xml:space="preserve"> to </w:t>
      </w:r>
      <w:r>
        <w:rPr>
          <w:sz w:val="20"/>
          <w:szCs w:val="20"/>
        </w:rPr>
        <w:t>strengthen</w:t>
      </w:r>
      <w:r w:rsidR="00BC159E">
        <w:rPr>
          <w:sz w:val="20"/>
          <w:szCs w:val="20"/>
        </w:rPr>
        <w:t xml:space="preserve"> collaboration</w:t>
      </w:r>
      <w:r>
        <w:rPr>
          <w:sz w:val="20"/>
          <w:szCs w:val="20"/>
        </w:rPr>
        <w:t>s</w:t>
      </w:r>
      <w:r w:rsidR="00BC159E">
        <w:rPr>
          <w:sz w:val="20"/>
          <w:szCs w:val="20"/>
        </w:rPr>
        <w:t xml:space="preserve"> between humanitarian and development actors by</w:t>
      </w:r>
      <w:r w:rsidR="00D346F2">
        <w:rPr>
          <w:sz w:val="20"/>
          <w:szCs w:val="20"/>
        </w:rPr>
        <w:t xml:space="preserve"> support</w:t>
      </w:r>
      <w:r w:rsidR="00BC159E">
        <w:rPr>
          <w:sz w:val="20"/>
          <w:szCs w:val="20"/>
        </w:rPr>
        <w:t>ing</w:t>
      </w:r>
      <w:r w:rsidR="00D346F2">
        <w:rPr>
          <w:sz w:val="20"/>
          <w:szCs w:val="20"/>
        </w:rPr>
        <w:t xml:space="preserve"> policy dialogue and reforms to promote transparent </w:t>
      </w:r>
      <w:r w:rsidR="0056219F">
        <w:rPr>
          <w:sz w:val="20"/>
          <w:szCs w:val="20"/>
        </w:rPr>
        <w:t xml:space="preserve">and sustainable </w:t>
      </w:r>
      <w:r w:rsidR="00D346F2">
        <w:rPr>
          <w:sz w:val="20"/>
          <w:szCs w:val="20"/>
        </w:rPr>
        <w:t>management of natural resources</w:t>
      </w:r>
      <w:r w:rsidR="000738C4">
        <w:rPr>
          <w:sz w:val="20"/>
          <w:szCs w:val="20"/>
        </w:rPr>
        <w:t>,</w:t>
      </w:r>
      <w:r w:rsidR="00D346F2">
        <w:rPr>
          <w:sz w:val="20"/>
          <w:szCs w:val="20"/>
        </w:rPr>
        <w:t xml:space="preserve"> </w:t>
      </w:r>
      <w:r w:rsidR="00361209">
        <w:rPr>
          <w:sz w:val="20"/>
          <w:szCs w:val="20"/>
        </w:rPr>
        <w:t>and</w:t>
      </w:r>
      <w:r w:rsidR="00D346F2">
        <w:rPr>
          <w:sz w:val="20"/>
          <w:szCs w:val="20"/>
        </w:rPr>
        <w:t xml:space="preserve"> </w:t>
      </w:r>
      <w:r w:rsidR="00EA20D6">
        <w:rPr>
          <w:sz w:val="20"/>
          <w:szCs w:val="20"/>
        </w:rPr>
        <w:t>green</w:t>
      </w:r>
      <w:r w:rsidR="005C3BFA">
        <w:rPr>
          <w:sz w:val="20"/>
          <w:szCs w:val="20"/>
        </w:rPr>
        <w:t xml:space="preserve"> </w:t>
      </w:r>
      <w:r w:rsidR="00D346F2">
        <w:rPr>
          <w:sz w:val="20"/>
          <w:szCs w:val="20"/>
        </w:rPr>
        <w:t>job creation</w:t>
      </w:r>
      <w:r w:rsidR="003731CF">
        <w:rPr>
          <w:sz w:val="20"/>
          <w:szCs w:val="20"/>
        </w:rPr>
        <w:t>—</w:t>
      </w:r>
      <w:r w:rsidR="00197553" w:rsidRPr="00435BE7">
        <w:rPr>
          <w:sz w:val="20"/>
          <w:szCs w:val="20"/>
        </w:rPr>
        <w:t>especially for returned refugee</w:t>
      </w:r>
      <w:r w:rsidR="00AC632D">
        <w:rPr>
          <w:sz w:val="20"/>
          <w:szCs w:val="20"/>
        </w:rPr>
        <w:t>s,</w:t>
      </w:r>
      <w:r w:rsidR="00197553" w:rsidRPr="00435BE7">
        <w:rPr>
          <w:sz w:val="20"/>
          <w:szCs w:val="20"/>
        </w:rPr>
        <w:t xml:space="preserve"> displaced populations, women and youth</w:t>
      </w:r>
      <w:r w:rsidR="00D346F2">
        <w:rPr>
          <w:sz w:val="20"/>
          <w:szCs w:val="20"/>
        </w:rPr>
        <w:t xml:space="preserve"> </w:t>
      </w:r>
      <w:r w:rsidR="00346649">
        <w:rPr>
          <w:sz w:val="20"/>
          <w:szCs w:val="20"/>
        </w:rPr>
        <w:t>(UNDAF+ outcome</w:t>
      </w:r>
      <w:r w:rsidR="004B0139">
        <w:rPr>
          <w:sz w:val="20"/>
          <w:szCs w:val="20"/>
        </w:rPr>
        <w:t xml:space="preserve"> </w:t>
      </w:r>
      <w:r w:rsidR="00346649" w:rsidRPr="004B0139">
        <w:rPr>
          <w:sz w:val="20"/>
          <w:szCs w:val="20"/>
        </w:rPr>
        <w:t>3.</w:t>
      </w:r>
      <w:r w:rsidR="004B0139" w:rsidRPr="0072627A">
        <w:rPr>
          <w:sz w:val="20"/>
          <w:szCs w:val="20"/>
        </w:rPr>
        <w:t>2</w:t>
      </w:r>
      <w:r w:rsidR="000738C4" w:rsidRPr="000738C4">
        <w:rPr>
          <w:sz w:val="20"/>
          <w:szCs w:val="20"/>
        </w:rPr>
        <w:t>)</w:t>
      </w:r>
      <w:r w:rsidR="003957FB" w:rsidRPr="000738C4">
        <w:rPr>
          <w:sz w:val="20"/>
          <w:szCs w:val="20"/>
        </w:rPr>
        <w:t>.</w:t>
      </w:r>
      <w:r w:rsidR="003957FB">
        <w:rPr>
          <w:sz w:val="20"/>
          <w:szCs w:val="20"/>
        </w:rPr>
        <w:t xml:space="preserve"> </w:t>
      </w:r>
      <w:r w:rsidR="003731CF">
        <w:rPr>
          <w:sz w:val="20"/>
          <w:szCs w:val="20"/>
        </w:rPr>
        <w:t>Assisting</w:t>
      </w:r>
      <w:r w:rsidR="003731CF" w:rsidRPr="00435BE7">
        <w:rPr>
          <w:sz w:val="20"/>
          <w:szCs w:val="20"/>
        </w:rPr>
        <w:t xml:space="preserve"> </w:t>
      </w:r>
      <w:r w:rsidR="00DB17E4" w:rsidRPr="00435BE7">
        <w:rPr>
          <w:sz w:val="20"/>
          <w:szCs w:val="20"/>
        </w:rPr>
        <w:t xml:space="preserve">the </w:t>
      </w:r>
      <w:r w:rsidR="00AC632D">
        <w:rPr>
          <w:sz w:val="20"/>
          <w:szCs w:val="20"/>
        </w:rPr>
        <w:t>g</w:t>
      </w:r>
      <w:r w:rsidR="00DB17E4" w:rsidRPr="00435BE7">
        <w:rPr>
          <w:sz w:val="20"/>
          <w:szCs w:val="20"/>
        </w:rPr>
        <w:t xml:space="preserve">overnment </w:t>
      </w:r>
      <w:r w:rsidR="003731CF">
        <w:rPr>
          <w:sz w:val="20"/>
          <w:szCs w:val="20"/>
        </w:rPr>
        <w:t xml:space="preserve">in </w:t>
      </w:r>
      <w:r w:rsidR="00C34DF0">
        <w:rPr>
          <w:sz w:val="20"/>
          <w:szCs w:val="20"/>
        </w:rPr>
        <w:t>harness</w:t>
      </w:r>
      <w:r w:rsidR="003731CF">
        <w:rPr>
          <w:sz w:val="20"/>
          <w:szCs w:val="20"/>
        </w:rPr>
        <w:t>ing</w:t>
      </w:r>
      <w:r w:rsidR="00DB17E4" w:rsidRPr="00435BE7">
        <w:rPr>
          <w:sz w:val="20"/>
          <w:szCs w:val="20"/>
        </w:rPr>
        <w:t xml:space="preserve"> </w:t>
      </w:r>
      <w:r w:rsidR="00A210E0">
        <w:rPr>
          <w:sz w:val="20"/>
          <w:szCs w:val="20"/>
        </w:rPr>
        <w:t xml:space="preserve">the potential of </w:t>
      </w:r>
      <w:r w:rsidR="00DB17E4" w:rsidRPr="00435BE7">
        <w:rPr>
          <w:sz w:val="20"/>
          <w:szCs w:val="20"/>
        </w:rPr>
        <w:t>natural resource</w:t>
      </w:r>
      <w:r w:rsidR="00A210E0">
        <w:rPr>
          <w:sz w:val="20"/>
          <w:szCs w:val="20"/>
        </w:rPr>
        <w:t>s</w:t>
      </w:r>
      <w:r w:rsidR="00DB17E4" w:rsidRPr="00435BE7">
        <w:rPr>
          <w:sz w:val="20"/>
          <w:szCs w:val="20"/>
        </w:rPr>
        <w:t xml:space="preserve"> and energy </w:t>
      </w:r>
      <w:r w:rsidR="00AC632D">
        <w:rPr>
          <w:sz w:val="20"/>
          <w:szCs w:val="20"/>
        </w:rPr>
        <w:t xml:space="preserve">can </w:t>
      </w:r>
      <w:r w:rsidR="00DB17E4" w:rsidRPr="00435BE7">
        <w:rPr>
          <w:sz w:val="20"/>
          <w:szCs w:val="20"/>
        </w:rPr>
        <w:t xml:space="preserve">drive national revenue </w:t>
      </w:r>
      <w:r w:rsidR="00AC632D">
        <w:rPr>
          <w:sz w:val="20"/>
          <w:szCs w:val="20"/>
        </w:rPr>
        <w:t>upwards and</w:t>
      </w:r>
      <w:r w:rsidR="00AC632D" w:rsidRPr="00435BE7">
        <w:rPr>
          <w:sz w:val="20"/>
          <w:szCs w:val="20"/>
        </w:rPr>
        <w:t xml:space="preserve"> </w:t>
      </w:r>
      <w:r w:rsidR="00DB17E4" w:rsidRPr="00435BE7">
        <w:rPr>
          <w:sz w:val="20"/>
          <w:szCs w:val="20"/>
        </w:rPr>
        <w:t>support the provision of basic social services a</w:t>
      </w:r>
      <w:r w:rsidR="004964D7">
        <w:rPr>
          <w:sz w:val="20"/>
          <w:szCs w:val="20"/>
        </w:rPr>
        <w:t xml:space="preserve">nd </w:t>
      </w:r>
      <w:r w:rsidR="00C970A5">
        <w:rPr>
          <w:sz w:val="20"/>
          <w:szCs w:val="20"/>
        </w:rPr>
        <w:t xml:space="preserve">livelihood </w:t>
      </w:r>
      <w:r w:rsidR="004964D7">
        <w:rPr>
          <w:sz w:val="20"/>
          <w:szCs w:val="20"/>
        </w:rPr>
        <w:t>opportunities</w:t>
      </w:r>
      <w:r w:rsidR="00EA20D6">
        <w:rPr>
          <w:sz w:val="20"/>
          <w:szCs w:val="20"/>
        </w:rPr>
        <w:t>,</w:t>
      </w:r>
      <w:r w:rsidR="006E14CA">
        <w:rPr>
          <w:sz w:val="20"/>
          <w:szCs w:val="20"/>
        </w:rPr>
        <w:t xml:space="preserve"> which</w:t>
      </w:r>
      <w:r w:rsidR="00AC632D">
        <w:rPr>
          <w:sz w:val="20"/>
          <w:szCs w:val="20"/>
        </w:rPr>
        <w:t xml:space="preserve">, </w:t>
      </w:r>
      <w:r w:rsidR="00DB17E4" w:rsidRPr="00435BE7">
        <w:rPr>
          <w:sz w:val="20"/>
          <w:szCs w:val="20"/>
        </w:rPr>
        <w:t xml:space="preserve">in turn </w:t>
      </w:r>
      <w:r w:rsidR="00AC632D">
        <w:rPr>
          <w:sz w:val="20"/>
          <w:szCs w:val="20"/>
        </w:rPr>
        <w:t xml:space="preserve">may </w:t>
      </w:r>
      <w:r w:rsidR="00DB17E4" w:rsidRPr="00435BE7">
        <w:rPr>
          <w:sz w:val="20"/>
          <w:szCs w:val="20"/>
        </w:rPr>
        <w:t>provide durable solutions for the socio-economic reintegration of refugee</w:t>
      </w:r>
      <w:r w:rsidR="00AC632D">
        <w:rPr>
          <w:sz w:val="20"/>
          <w:szCs w:val="20"/>
        </w:rPr>
        <w:t>s</w:t>
      </w:r>
      <w:r w:rsidR="00DB17E4" w:rsidRPr="00435BE7">
        <w:rPr>
          <w:sz w:val="20"/>
          <w:szCs w:val="20"/>
        </w:rPr>
        <w:t>, internally displaced populations, ex-combatants and at-risk youth.</w:t>
      </w:r>
      <w:r w:rsidR="005C3BFA">
        <w:rPr>
          <w:sz w:val="20"/>
          <w:szCs w:val="20"/>
        </w:rPr>
        <w:t xml:space="preserve"> </w:t>
      </w:r>
    </w:p>
    <w:p w14:paraId="7AB91F55" w14:textId="77777777" w:rsidR="00784989" w:rsidRPr="00CE68BD" w:rsidRDefault="00677F8A" w:rsidP="00CE68BD">
      <w:pPr>
        <w:pStyle w:val="Heading2"/>
        <w:numPr>
          <w:ilvl w:val="0"/>
          <w:numId w:val="35"/>
        </w:numPr>
        <w:spacing w:after="120"/>
        <w:ind w:left="1440" w:right="1210" w:hanging="450"/>
        <w:jc w:val="both"/>
        <w:rPr>
          <w:rFonts w:ascii="Times New Roman" w:hAnsi="Times New Roman"/>
          <w:color w:val="000000"/>
          <w:spacing w:val="-3"/>
          <w:sz w:val="24"/>
        </w:rPr>
      </w:pPr>
      <w:r w:rsidRPr="00CE68BD">
        <w:rPr>
          <w:rFonts w:ascii="Times New Roman" w:hAnsi="Times New Roman"/>
          <w:bCs/>
          <w:color w:val="000000"/>
          <w:sz w:val="24"/>
        </w:rPr>
        <w:lastRenderedPageBreak/>
        <w:t>Pro</w:t>
      </w:r>
      <w:r w:rsidR="00CE68BD">
        <w:rPr>
          <w:rFonts w:ascii="Times New Roman" w:hAnsi="Times New Roman"/>
          <w:bCs/>
          <w:color w:val="000000"/>
          <w:sz w:val="24"/>
        </w:rPr>
        <w:t>gramme p</w:t>
      </w:r>
      <w:r w:rsidRPr="00CE68BD">
        <w:rPr>
          <w:rFonts w:ascii="Times New Roman" w:hAnsi="Times New Roman"/>
          <w:bCs/>
          <w:color w:val="000000"/>
          <w:sz w:val="24"/>
        </w:rPr>
        <w:t>riorities</w:t>
      </w:r>
      <w:r w:rsidR="002B6341" w:rsidRPr="00CE68BD">
        <w:rPr>
          <w:rFonts w:ascii="Times New Roman" w:hAnsi="Times New Roman"/>
          <w:bCs/>
          <w:color w:val="000000"/>
          <w:sz w:val="24"/>
        </w:rPr>
        <w:t xml:space="preserve"> </w:t>
      </w:r>
      <w:r w:rsidR="004736BE" w:rsidRPr="00CE68BD">
        <w:rPr>
          <w:rFonts w:ascii="Times New Roman" w:hAnsi="Times New Roman"/>
          <w:bCs/>
          <w:color w:val="000000"/>
          <w:sz w:val="24"/>
        </w:rPr>
        <w:t xml:space="preserve">and </w:t>
      </w:r>
      <w:r w:rsidR="00CE68BD">
        <w:rPr>
          <w:rFonts w:ascii="Times New Roman" w:hAnsi="Times New Roman"/>
          <w:bCs/>
          <w:color w:val="000000"/>
          <w:sz w:val="24"/>
        </w:rPr>
        <w:t>p</w:t>
      </w:r>
      <w:r w:rsidR="002B6341" w:rsidRPr="00CE68BD">
        <w:rPr>
          <w:rFonts w:ascii="Times New Roman" w:hAnsi="Times New Roman"/>
          <w:bCs/>
          <w:color w:val="000000"/>
          <w:sz w:val="24"/>
        </w:rPr>
        <w:t>artnerships</w:t>
      </w:r>
      <w:r w:rsidR="00074DB9" w:rsidRPr="00CE68BD">
        <w:rPr>
          <w:rFonts w:ascii="Times New Roman" w:hAnsi="Times New Roman"/>
          <w:bCs/>
          <w:color w:val="000000"/>
          <w:sz w:val="24"/>
        </w:rPr>
        <w:t xml:space="preserve"> </w:t>
      </w:r>
    </w:p>
    <w:p w14:paraId="2AF40674" w14:textId="28295101" w:rsidR="000D2137" w:rsidRPr="00435BE7" w:rsidRDefault="00784989"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sidRPr="00435BE7">
        <w:rPr>
          <w:sz w:val="20"/>
          <w:szCs w:val="20"/>
        </w:rPr>
        <w:t>In line with national priorities outlined in the RCPCA</w:t>
      </w:r>
      <w:r w:rsidR="00AC632D">
        <w:rPr>
          <w:sz w:val="20"/>
          <w:szCs w:val="20"/>
        </w:rPr>
        <w:t>,</w:t>
      </w:r>
      <w:r w:rsidR="000D2137" w:rsidRPr="00435BE7">
        <w:rPr>
          <w:sz w:val="20"/>
          <w:szCs w:val="20"/>
        </w:rPr>
        <w:t xml:space="preserve"> and capitalizing on </w:t>
      </w:r>
      <w:r w:rsidR="001100E1" w:rsidRPr="00435BE7">
        <w:rPr>
          <w:sz w:val="20"/>
          <w:szCs w:val="20"/>
        </w:rPr>
        <w:t xml:space="preserve">achievements </w:t>
      </w:r>
      <w:r w:rsidR="00AC632D">
        <w:rPr>
          <w:sz w:val="20"/>
          <w:szCs w:val="20"/>
        </w:rPr>
        <w:t>during</w:t>
      </w:r>
      <w:r w:rsidR="00AC632D" w:rsidRPr="00435BE7">
        <w:rPr>
          <w:sz w:val="20"/>
          <w:szCs w:val="20"/>
        </w:rPr>
        <w:t xml:space="preserve"> </w:t>
      </w:r>
      <w:r w:rsidR="001100E1" w:rsidRPr="00435BE7">
        <w:rPr>
          <w:sz w:val="20"/>
          <w:szCs w:val="20"/>
        </w:rPr>
        <w:t>the transition period</w:t>
      </w:r>
      <w:r w:rsidRPr="00435BE7">
        <w:rPr>
          <w:sz w:val="20"/>
          <w:szCs w:val="20"/>
        </w:rPr>
        <w:t xml:space="preserve">, UNDP interventions </w:t>
      </w:r>
      <w:r w:rsidR="00AC632D">
        <w:rPr>
          <w:sz w:val="20"/>
          <w:szCs w:val="20"/>
        </w:rPr>
        <w:t>in</w:t>
      </w:r>
      <w:r w:rsidR="00AC632D" w:rsidRPr="00435BE7">
        <w:rPr>
          <w:sz w:val="20"/>
          <w:szCs w:val="20"/>
        </w:rPr>
        <w:t xml:space="preserve"> </w:t>
      </w:r>
      <w:r w:rsidRPr="00435BE7">
        <w:rPr>
          <w:sz w:val="20"/>
          <w:szCs w:val="20"/>
        </w:rPr>
        <w:t xml:space="preserve">the next cycle will focus on two areas: (i) </w:t>
      </w:r>
      <w:r w:rsidR="00AC632D">
        <w:rPr>
          <w:sz w:val="20"/>
          <w:szCs w:val="20"/>
        </w:rPr>
        <w:t>g</w:t>
      </w:r>
      <w:r w:rsidRPr="00435BE7">
        <w:rPr>
          <w:sz w:val="20"/>
          <w:szCs w:val="20"/>
        </w:rPr>
        <w:t>overnance, peacebuilding and the rule of law</w:t>
      </w:r>
      <w:r w:rsidR="00AC632D">
        <w:rPr>
          <w:sz w:val="20"/>
          <w:szCs w:val="20"/>
        </w:rPr>
        <w:t>,</w:t>
      </w:r>
      <w:r w:rsidRPr="00435BE7">
        <w:rPr>
          <w:sz w:val="20"/>
          <w:szCs w:val="20"/>
        </w:rPr>
        <w:t xml:space="preserve"> and (ii) </w:t>
      </w:r>
      <w:r w:rsidR="00AC632D">
        <w:rPr>
          <w:sz w:val="20"/>
          <w:szCs w:val="20"/>
        </w:rPr>
        <w:t>s</w:t>
      </w:r>
      <w:r w:rsidR="00F84527">
        <w:rPr>
          <w:sz w:val="20"/>
          <w:szCs w:val="20"/>
        </w:rPr>
        <w:t>tabilization</w:t>
      </w:r>
      <w:r w:rsidR="00C06354">
        <w:rPr>
          <w:sz w:val="20"/>
          <w:szCs w:val="20"/>
        </w:rPr>
        <w:t>,</w:t>
      </w:r>
      <w:r w:rsidR="00F84527">
        <w:rPr>
          <w:sz w:val="20"/>
          <w:szCs w:val="20"/>
        </w:rPr>
        <w:t xml:space="preserve"> recovery</w:t>
      </w:r>
      <w:r w:rsidR="00C06354">
        <w:rPr>
          <w:sz w:val="20"/>
          <w:szCs w:val="20"/>
        </w:rPr>
        <w:t xml:space="preserve"> and </w:t>
      </w:r>
      <w:r w:rsidR="00F72337">
        <w:rPr>
          <w:sz w:val="20"/>
          <w:szCs w:val="20"/>
        </w:rPr>
        <w:t>resilience</w:t>
      </w:r>
      <w:r w:rsidR="00EA20D6">
        <w:rPr>
          <w:sz w:val="20"/>
          <w:szCs w:val="20"/>
        </w:rPr>
        <w:t>-</w:t>
      </w:r>
      <w:r w:rsidR="00F72337">
        <w:rPr>
          <w:sz w:val="20"/>
          <w:szCs w:val="20"/>
        </w:rPr>
        <w:t>building</w:t>
      </w:r>
      <w:r w:rsidR="00583DA1">
        <w:rPr>
          <w:sz w:val="20"/>
          <w:szCs w:val="20"/>
        </w:rPr>
        <w:t>.</w:t>
      </w:r>
    </w:p>
    <w:p w14:paraId="6EA84C4E" w14:textId="311969AC" w:rsidR="00784989" w:rsidRPr="00435BE7" w:rsidRDefault="00AC632D" w:rsidP="00CE68BD">
      <w:pPr>
        <w:pStyle w:val="ListParagraph"/>
        <w:numPr>
          <w:ilvl w:val="0"/>
          <w:numId w:val="13"/>
        </w:numPr>
        <w:tabs>
          <w:tab w:val="left" w:pos="1800"/>
        </w:tabs>
        <w:spacing w:after="120"/>
        <w:ind w:left="1418" w:right="1210" w:firstLine="0"/>
        <w:jc w:val="both"/>
        <w:rPr>
          <w:sz w:val="20"/>
          <w:szCs w:val="20"/>
        </w:rPr>
      </w:pPr>
      <w:r>
        <w:rPr>
          <w:sz w:val="20"/>
          <w:szCs w:val="20"/>
        </w:rPr>
        <w:t>Over the next four year period UNDP will promote</w:t>
      </w:r>
      <w:r w:rsidR="00784989" w:rsidRPr="00435BE7">
        <w:rPr>
          <w:sz w:val="20"/>
          <w:szCs w:val="20"/>
        </w:rPr>
        <w:t xml:space="preserve"> better functioning institutions to ensure access to security, justice and reconciliation for all</w:t>
      </w:r>
      <w:r>
        <w:rPr>
          <w:sz w:val="20"/>
          <w:szCs w:val="20"/>
        </w:rPr>
        <w:t xml:space="preserve">. The organization will work with partners to drive </w:t>
      </w:r>
      <w:r w:rsidR="00784989" w:rsidRPr="00435BE7">
        <w:rPr>
          <w:sz w:val="20"/>
          <w:szCs w:val="20"/>
        </w:rPr>
        <w:t>economic growth</w:t>
      </w:r>
      <w:r>
        <w:rPr>
          <w:sz w:val="20"/>
          <w:szCs w:val="20"/>
        </w:rPr>
        <w:t xml:space="preserve"> through the </w:t>
      </w:r>
      <w:r w:rsidR="00784989" w:rsidRPr="00435BE7">
        <w:rPr>
          <w:sz w:val="20"/>
          <w:szCs w:val="20"/>
        </w:rPr>
        <w:t>transparent management of natural resources</w:t>
      </w:r>
      <w:r w:rsidR="00543844">
        <w:rPr>
          <w:sz w:val="20"/>
          <w:szCs w:val="20"/>
        </w:rPr>
        <w:t xml:space="preserve"> </w:t>
      </w:r>
      <w:r w:rsidR="00784989" w:rsidRPr="00435BE7">
        <w:rPr>
          <w:sz w:val="20"/>
          <w:szCs w:val="20"/>
        </w:rPr>
        <w:t xml:space="preserve">in order to </w:t>
      </w:r>
      <w:r w:rsidR="00361209">
        <w:rPr>
          <w:sz w:val="20"/>
          <w:szCs w:val="20"/>
        </w:rPr>
        <w:t xml:space="preserve">improve </w:t>
      </w:r>
      <w:r w:rsidR="0054241E">
        <w:rPr>
          <w:sz w:val="20"/>
          <w:szCs w:val="20"/>
        </w:rPr>
        <w:t>social protection</w:t>
      </w:r>
      <w:r w:rsidR="006A13A0">
        <w:rPr>
          <w:sz w:val="20"/>
          <w:szCs w:val="20"/>
        </w:rPr>
        <w:t xml:space="preserve"> and resilience</w:t>
      </w:r>
      <w:r w:rsidR="00784989" w:rsidRPr="00435BE7">
        <w:rPr>
          <w:sz w:val="20"/>
          <w:szCs w:val="20"/>
        </w:rPr>
        <w:t xml:space="preserve">, particularly </w:t>
      </w:r>
      <w:r w:rsidR="00543844">
        <w:rPr>
          <w:sz w:val="20"/>
          <w:szCs w:val="20"/>
        </w:rPr>
        <w:t xml:space="preserve">for </w:t>
      </w:r>
      <w:r w:rsidR="00784989" w:rsidRPr="00435BE7">
        <w:rPr>
          <w:sz w:val="20"/>
          <w:szCs w:val="20"/>
        </w:rPr>
        <w:t xml:space="preserve">returning </w:t>
      </w:r>
      <w:r>
        <w:rPr>
          <w:sz w:val="20"/>
          <w:szCs w:val="20"/>
        </w:rPr>
        <w:t>refugees and internally displaced people</w:t>
      </w:r>
      <w:r w:rsidR="00784989" w:rsidRPr="00435BE7">
        <w:rPr>
          <w:sz w:val="20"/>
          <w:szCs w:val="20"/>
        </w:rPr>
        <w:t xml:space="preserve">, women and youth. </w:t>
      </w:r>
    </w:p>
    <w:p w14:paraId="49844711" w14:textId="5BA9BAA3" w:rsidR="00784989" w:rsidRPr="00435BE7" w:rsidRDefault="00784989" w:rsidP="00CE68BD">
      <w:pPr>
        <w:pStyle w:val="ListParagraph"/>
        <w:numPr>
          <w:ilvl w:val="0"/>
          <w:numId w:val="13"/>
        </w:numPr>
        <w:tabs>
          <w:tab w:val="left" w:pos="1800"/>
        </w:tabs>
        <w:spacing w:after="120"/>
        <w:ind w:left="1418" w:right="1210" w:firstLine="0"/>
        <w:jc w:val="both"/>
        <w:rPr>
          <w:sz w:val="20"/>
          <w:szCs w:val="20"/>
        </w:rPr>
      </w:pPr>
      <w:r w:rsidRPr="00435BE7">
        <w:rPr>
          <w:sz w:val="20"/>
          <w:szCs w:val="20"/>
        </w:rPr>
        <w:t>The different components of the two priorit</w:t>
      </w:r>
      <w:r w:rsidR="00D07A80">
        <w:rPr>
          <w:sz w:val="20"/>
          <w:szCs w:val="20"/>
        </w:rPr>
        <w:t>y areas</w:t>
      </w:r>
      <w:r w:rsidRPr="00435BE7">
        <w:rPr>
          <w:sz w:val="20"/>
          <w:szCs w:val="20"/>
        </w:rPr>
        <w:t xml:space="preserve"> revolve around the assumption that if democratic and inclusive national institutions </w:t>
      </w:r>
      <w:r w:rsidR="00D07A80">
        <w:rPr>
          <w:sz w:val="20"/>
          <w:szCs w:val="20"/>
        </w:rPr>
        <w:t>can</w:t>
      </w:r>
      <w:r w:rsidRPr="00435BE7">
        <w:rPr>
          <w:sz w:val="20"/>
          <w:szCs w:val="20"/>
        </w:rPr>
        <w:t xml:space="preserve"> strengthen security, equitable access to justice and social cohesion throughout the country</w:t>
      </w:r>
      <w:r w:rsidR="003731CF">
        <w:rPr>
          <w:sz w:val="20"/>
          <w:szCs w:val="20"/>
        </w:rPr>
        <w:t>,</w:t>
      </w:r>
      <w:r w:rsidRPr="00435BE7">
        <w:rPr>
          <w:sz w:val="20"/>
          <w:szCs w:val="20"/>
        </w:rPr>
        <w:t xml:space="preserve"> </w:t>
      </w:r>
      <w:r w:rsidR="006143D3">
        <w:rPr>
          <w:sz w:val="20"/>
          <w:szCs w:val="20"/>
        </w:rPr>
        <w:t xml:space="preserve">and are capable of transparent and accountable management of natural resources, </w:t>
      </w:r>
      <w:r w:rsidRPr="00435BE7">
        <w:rPr>
          <w:sz w:val="20"/>
          <w:szCs w:val="20"/>
        </w:rPr>
        <w:t xml:space="preserve">then the population, including </w:t>
      </w:r>
      <w:r w:rsidR="000D2137" w:rsidRPr="00435BE7">
        <w:rPr>
          <w:sz w:val="20"/>
          <w:szCs w:val="20"/>
        </w:rPr>
        <w:t xml:space="preserve">returnees, </w:t>
      </w:r>
      <w:r w:rsidRPr="00435BE7">
        <w:rPr>
          <w:sz w:val="20"/>
          <w:szCs w:val="20"/>
        </w:rPr>
        <w:t xml:space="preserve">women and youth, will be able to seize economic opportunities that will </w:t>
      </w:r>
      <w:r w:rsidR="00AC0173">
        <w:rPr>
          <w:sz w:val="20"/>
          <w:szCs w:val="20"/>
        </w:rPr>
        <w:t>result in</w:t>
      </w:r>
      <w:r w:rsidR="00AC0173" w:rsidRPr="00435BE7">
        <w:rPr>
          <w:sz w:val="20"/>
          <w:szCs w:val="20"/>
        </w:rPr>
        <w:t xml:space="preserve"> </w:t>
      </w:r>
      <w:r w:rsidRPr="00435BE7">
        <w:rPr>
          <w:sz w:val="20"/>
          <w:szCs w:val="20"/>
        </w:rPr>
        <w:t xml:space="preserve">national resilience and </w:t>
      </w:r>
      <w:r w:rsidR="00F84527">
        <w:rPr>
          <w:sz w:val="20"/>
          <w:szCs w:val="20"/>
        </w:rPr>
        <w:t>recovery</w:t>
      </w:r>
      <w:r w:rsidRPr="00435BE7">
        <w:rPr>
          <w:sz w:val="20"/>
          <w:szCs w:val="20"/>
        </w:rPr>
        <w:t xml:space="preserve">, </w:t>
      </w:r>
      <w:r w:rsidR="00AC0173">
        <w:rPr>
          <w:sz w:val="20"/>
          <w:szCs w:val="20"/>
        </w:rPr>
        <w:t xml:space="preserve">and </w:t>
      </w:r>
      <w:r w:rsidR="000D2137" w:rsidRPr="00435BE7">
        <w:rPr>
          <w:sz w:val="20"/>
          <w:szCs w:val="20"/>
        </w:rPr>
        <w:t>consolidat</w:t>
      </w:r>
      <w:r w:rsidR="00AC0173">
        <w:rPr>
          <w:sz w:val="20"/>
          <w:szCs w:val="20"/>
        </w:rPr>
        <w:t xml:space="preserve">e </w:t>
      </w:r>
      <w:r w:rsidRPr="00435BE7">
        <w:rPr>
          <w:sz w:val="20"/>
          <w:szCs w:val="20"/>
        </w:rPr>
        <w:t>the foundations of lasting peace and socio-economic development.</w:t>
      </w:r>
    </w:p>
    <w:p w14:paraId="72A74564" w14:textId="77777777" w:rsidR="001100E1" w:rsidRPr="006C6258" w:rsidRDefault="001100E1" w:rsidP="00CE68BD">
      <w:pPr>
        <w:tabs>
          <w:tab w:val="left" w:pos="1800"/>
        </w:tabs>
        <w:spacing w:after="120"/>
        <w:ind w:left="1440" w:right="1210"/>
        <w:jc w:val="both"/>
        <w:rPr>
          <w:b/>
          <w:sz w:val="20"/>
          <w:szCs w:val="20"/>
        </w:rPr>
      </w:pPr>
      <w:r w:rsidRPr="006C6258">
        <w:rPr>
          <w:b/>
          <w:sz w:val="20"/>
          <w:szCs w:val="20"/>
        </w:rPr>
        <w:t>Governance, Peacebuilding and the Rule of Law</w:t>
      </w:r>
    </w:p>
    <w:p w14:paraId="161E14F4" w14:textId="00C02C0E" w:rsidR="00784989" w:rsidRPr="00053F0A" w:rsidRDefault="00AC0173"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Pr>
          <w:sz w:val="20"/>
          <w:szCs w:val="20"/>
        </w:rPr>
        <w:t xml:space="preserve">The governance, peacebuilding and rule of law </w:t>
      </w:r>
      <w:r w:rsidR="00622A55">
        <w:rPr>
          <w:sz w:val="20"/>
          <w:szCs w:val="20"/>
        </w:rPr>
        <w:t xml:space="preserve">part </w:t>
      </w:r>
      <w:r w:rsidR="004319D8">
        <w:rPr>
          <w:sz w:val="20"/>
          <w:szCs w:val="20"/>
        </w:rPr>
        <w:t xml:space="preserve">of the programme </w:t>
      </w:r>
      <w:r>
        <w:rPr>
          <w:sz w:val="20"/>
          <w:szCs w:val="20"/>
        </w:rPr>
        <w:t>will</w:t>
      </w:r>
      <w:r w:rsidR="004319D8">
        <w:rPr>
          <w:sz w:val="20"/>
          <w:szCs w:val="20"/>
        </w:rPr>
        <w:t xml:space="preserve"> reinforce existing </w:t>
      </w:r>
      <w:r>
        <w:rPr>
          <w:sz w:val="20"/>
          <w:szCs w:val="20"/>
        </w:rPr>
        <w:t xml:space="preserve">links </w:t>
      </w:r>
      <w:r w:rsidR="004319D8">
        <w:rPr>
          <w:sz w:val="20"/>
          <w:szCs w:val="20"/>
        </w:rPr>
        <w:t>between peace and development initiatives</w:t>
      </w:r>
      <w:r w:rsidR="00314516">
        <w:rPr>
          <w:sz w:val="20"/>
          <w:szCs w:val="20"/>
        </w:rPr>
        <w:t xml:space="preserve"> </w:t>
      </w:r>
      <w:r w:rsidR="004319D8">
        <w:rPr>
          <w:sz w:val="20"/>
          <w:szCs w:val="20"/>
        </w:rPr>
        <w:t xml:space="preserve">by enhancing the capacity of the </w:t>
      </w:r>
      <w:r>
        <w:rPr>
          <w:sz w:val="20"/>
          <w:szCs w:val="20"/>
        </w:rPr>
        <w:t xml:space="preserve">government </w:t>
      </w:r>
      <w:r w:rsidR="004319D8">
        <w:rPr>
          <w:sz w:val="20"/>
          <w:szCs w:val="20"/>
        </w:rPr>
        <w:t xml:space="preserve">to lead ongoing stabilization efforts. </w:t>
      </w:r>
    </w:p>
    <w:p w14:paraId="1B167F6D" w14:textId="2275E0D2" w:rsidR="001100E1" w:rsidRPr="00435BE7" w:rsidRDefault="00AC0173" w:rsidP="00CE68BD">
      <w:pPr>
        <w:pStyle w:val="ListParagraph"/>
        <w:numPr>
          <w:ilvl w:val="0"/>
          <w:numId w:val="13"/>
        </w:numPr>
        <w:tabs>
          <w:tab w:val="left" w:pos="1800"/>
        </w:tabs>
        <w:spacing w:after="120"/>
        <w:ind w:left="1418" w:right="1210" w:firstLine="0"/>
        <w:jc w:val="both"/>
        <w:rPr>
          <w:sz w:val="20"/>
          <w:szCs w:val="20"/>
        </w:rPr>
      </w:pPr>
      <w:r>
        <w:rPr>
          <w:sz w:val="20"/>
          <w:szCs w:val="20"/>
        </w:rPr>
        <w:t>E</w:t>
      </w:r>
      <w:r w:rsidR="004319D8" w:rsidRPr="00435BE7">
        <w:rPr>
          <w:sz w:val="20"/>
          <w:szCs w:val="20"/>
        </w:rPr>
        <w:t xml:space="preserve">nvisaged </w:t>
      </w:r>
      <w:r w:rsidR="001100E1" w:rsidRPr="00435BE7">
        <w:rPr>
          <w:sz w:val="20"/>
          <w:szCs w:val="20"/>
        </w:rPr>
        <w:t xml:space="preserve">interventions </w:t>
      </w:r>
      <w:r>
        <w:rPr>
          <w:sz w:val="20"/>
          <w:szCs w:val="20"/>
        </w:rPr>
        <w:t>will</w:t>
      </w:r>
      <w:r w:rsidR="001100E1" w:rsidRPr="00435BE7">
        <w:rPr>
          <w:sz w:val="20"/>
          <w:szCs w:val="20"/>
        </w:rPr>
        <w:t xml:space="preserve"> promote a peaceful and inclusive society</w:t>
      </w:r>
      <w:r w:rsidR="00ED4D89" w:rsidRPr="00435BE7">
        <w:rPr>
          <w:sz w:val="20"/>
          <w:szCs w:val="20"/>
        </w:rPr>
        <w:t>, ensure access to justice for all</w:t>
      </w:r>
      <w:r w:rsidR="003731CF">
        <w:rPr>
          <w:sz w:val="20"/>
          <w:szCs w:val="20"/>
        </w:rPr>
        <w:t>,</w:t>
      </w:r>
      <w:r w:rsidR="00ED4D89" w:rsidRPr="00435BE7">
        <w:rPr>
          <w:sz w:val="20"/>
          <w:szCs w:val="20"/>
        </w:rPr>
        <w:t xml:space="preserve"> and build effective, transparent and inclusive institutions at all levels </w:t>
      </w:r>
      <w:r w:rsidR="003731CF">
        <w:rPr>
          <w:sz w:val="20"/>
          <w:szCs w:val="20"/>
        </w:rPr>
        <w:t xml:space="preserve">of society </w:t>
      </w:r>
      <w:r w:rsidR="00ED4D89" w:rsidRPr="00435BE7">
        <w:rPr>
          <w:sz w:val="20"/>
          <w:szCs w:val="20"/>
        </w:rPr>
        <w:t>(SDG 16)</w:t>
      </w:r>
      <w:r w:rsidR="0000643B" w:rsidRPr="00435BE7">
        <w:rPr>
          <w:sz w:val="20"/>
          <w:szCs w:val="20"/>
        </w:rPr>
        <w:t>,</w:t>
      </w:r>
      <w:r w:rsidR="00ED4D89" w:rsidRPr="00435BE7">
        <w:rPr>
          <w:sz w:val="20"/>
          <w:szCs w:val="20"/>
        </w:rPr>
        <w:t xml:space="preserve"> while also promoting gender equality (SDG 5)</w:t>
      </w:r>
      <w:r w:rsidR="003731CF">
        <w:rPr>
          <w:sz w:val="20"/>
          <w:szCs w:val="20"/>
        </w:rPr>
        <w:t xml:space="preserve">. The latter </w:t>
      </w:r>
      <w:r w:rsidR="00ED4D89" w:rsidRPr="00435BE7">
        <w:rPr>
          <w:sz w:val="20"/>
          <w:szCs w:val="20"/>
        </w:rPr>
        <w:t xml:space="preserve">corresponds to </w:t>
      </w:r>
      <w:r w:rsidR="003731CF">
        <w:rPr>
          <w:sz w:val="20"/>
          <w:szCs w:val="20"/>
        </w:rPr>
        <w:t>P</w:t>
      </w:r>
      <w:r w:rsidR="00ED4D89" w:rsidRPr="00435BE7">
        <w:rPr>
          <w:sz w:val="20"/>
          <w:szCs w:val="20"/>
        </w:rPr>
        <w:t xml:space="preserve">illar 1 </w:t>
      </w:r>
      <w:r w:rsidR="006143D3">
        <w:rPr>
          <w:sz w:val="20"/>
          <w:szCs w:val="20"/>
        </w:rPr>
        <w:t xml:space="preserve">on peace, security and reconciliation </w:t>
      </w:r>
      <w:r w:rsidR="00E3278D" w:rsidRPr="00435BE7">
        <w:rPr>
          <w:sz w:val="20"/>
          <w:szCs w:val="20"/>
        </w:rPr>
        <w:t xml:space="preserve">and parts of </w:t>
      </w:r>
      <w:r w:rsidR="003731CF">
        <w:rPr>
          <w:sz w:val="20"/>
          <w:szCs w:val="20"/>
        </w:rPr>
        <w:t>P</w:t>
      </w:r>
      <w:r w:rsidR="00E3278D" w:rsidRPr="00435BE7">
        <w:rPr>
          <w:sz w:val="20"/>
          <w:szCs w:val="20"/>
        </w:rPr>
        <w:t xml:space="preserve">illar 2 </w:t>
      </w:r>
      <w:r w:rsidR="006143D3">
        <w:rPr>
          <w:sz w:val="20"/>
          <w:szCs w:val="20"/>
        </w:rPr>
        <w:t xml:space="preserve">on the renewal of the social contract between the state and </w:t>
      </w:r>
      <w:r w:rsidR="003731CF">
        <w:rPr>
          <w:sz w:val="20"/>
          <w:szCs w:val="20"/>
        </w:rPr>
        <w:t>citizens as outlined in</w:t>
      </w:r>
      <w:r w:rsidR="006143D3" w:rsidRPr="00435BE7">
        <w:rPr>
          <w:sz w:val="20"/>
          <w:szCs w:val="20"/>
        </w:rPr>
        <w:t xml:space="preserve"> t</w:t>
      </w:r>
      <w:r w:rsidR="006143D3">
        <w:rPr>
          <w:sz w:val="20"/>
          <w:szCs w:val="20"/>
        </w:rPr>
        <w:t>he RCPCA</w:t>
      </w:r>
      <w:r>
        <w:rPr>
          <w:sz w:val="20"/>
          <w:szCs w:val="20"/>
        </w:rPr>
        <w:t xml:space="preserve">. </w:t>
      </w:r>
    </w:p>
    <w:p w14:paraId="49234792" w14:textId="780764FD" w:rsidR="00ED4D89" w:rsidRPr="00435BE7" w:rsidRDefault="00AC0173" w:rsidP="00CE68BD">
      <w:pPr>
        <w:pStyle w:val="ListParagraph"/>
        <w:numPr>
          <w:ilvl w:val="0"/>
          <w:numId w:val="13"/>
        </w:numPr>
        <w:tabs>
          <w:tab w:val="left" w:pos="1800"/>
        </w:tabs>
        <w:spacing w:after="120"/>
        <w:ind w:left="1418" w:right="1210" w:firstLine="0"/>
        <w:jc w:val="both"/>
        <w:rPr>
          <w:sz w:val="20"/>
          <w:szCs w:val="20"/>
        </w:rPr>
      </w:pPr>
      <w:r>
        <w:rPr>
          <w:sz w:val="20"/>
          <w:szCs w:val="20"/>
        </w:rPr>
        <w:t>UNDP will provide</w:t>
      </w:r>
      <w:r w:rsidR="00684055" w:rsidRPr="00435BE7">
        <w:rPr>
          <w:sz w:val="20"/>
          <w:szCs w:val="20"/>
        </w:rPr>
        <w:t xml:space="preserve"> support </w:t>
      </w:r>
      <w:r>
        <w:rPr>
          <w:sz w:val="20"/>
          <w:szCs w:val="20"/>
        </w:rPr>
        <w:t>in improving</w:t>
      </w:r>
      <w:r w:rsidR="00684055" w:rsidRPr="00435BE7">
        <w:rPr>
          <w:sz w:val="20"/>
          <w:szCs w:val="20"/>
        </w:rPr>
        <w:t xml:space="preserve">: (i) </w:t>
      </w:r>
      <w:r>
        <w:rPr>
          <w:sz w:val="20"/>
          <w:szCs w:val="20"/>
        </w:rPr>
        <w:t xml:space="preserve">citizen </w:t>
      </w:r>
      <w:r w:rsidR="00684055" w:rsidRPr="00435BE7">
        <w:rPr>
          <w:sz w:val="20"/>
          <w:szCs w:val="20"/>
        </w:rPr>
        <w:t>a</w:t>
      </w:r>
      <w:r w:rsidR="00160305">
        <w:rPr>
          <w:sz w:val="20"/>
          <w:szCs w:val="20"/>
        </w:rPr>
        <w:t>ccess to justice,</w:t>
      </w:r>
      <w:r w:rsidR="00611FE1">
        <w:rPr>
          <w:sz w:val="20"/>
          <w:szCs w:val="20"/>
        </w:rPr>
        <w:t xml:space="preserve"> </w:t>
      </w:r>
      <w:r w:rsidR="00ED4D89" w:rsidRPr="00435BE7">
        <w:rPr>
          <w:sz w:val="20"/>
          <w:szCs w:val="20"/>
        </w:rPr>
        <w:t>security</w:t>
      </w:r>
      <w:r w:rsidR="00160305">
        <w:rPr>
          <w:sz w:val="20"/>
          <w:szCs w:val="20"/>
        </w:rPr>
        <w:t>,</w:t>
      </w:r>
      <w:r w:rsidR="00ED4D89" w:rsidRPr="00435BE7">
        <w:rPr>
          <w:sz w:val="20"/>
          <w:szCs w:val="20"/>
        </w:rPr>
        <w:t xml:space="preserve"> human rights</w:t>
      </w:r>
      <w:r w:rsidR="00160305" w:rsidRPr="00160305">
        <w:rPr>
          <w:sz w:val="20"/>
          <w:szCs w:val="20"/>
        </w:rPr>
        <w:t xml:space="preserve"> </w:t>
      </w:r>
      <w:r w:rsidR="00160305">
        <w:rPr>
          <w:sz w:val="20"/>
          <w:szCs w:val="20"/>
        </w:rPr>
        <w:t>and reconciliation</w:t>
      </w:r>
      <w:r>
        <w:rPr>
          <w:sz w:val="20"/>
          <w:szCs w:val="20"/>
        </w:rPr>
        <w:t>;</w:t>
      </w:r>
      <w:r w:rsidR="00ED4D89" w:rsidRPr="00435BE7">
        <w:rPr>
          <w:sz w:val="20"/>
          <w:szCs w:val="20"/>
        </w:rPr>
        <w:t xml:space="preserve"> (ii) </w:t>
      </w:r>
      <w:r w:rsidR="006453D9">
        <w:rPr>
          <w:sz w:val="20"/>
          <w:szCs w:val="20"/>
        </w:rPr>
        <w:t xml:space="preserve">local </w:t>
      </w:r>
      <w:r w:rsidR="00ED4D89" w:rsidRPr="00435BE7">
        <w:rPr>
          <w:sz w:val="20"/>
          <w:szCs w:val="20"/>
        </w:rPr>
        <w:t>governa</w:t>
      </w:r>
      <w:r w:rsidR="006453D9">
        <w:rPr>
          <w:sz w:val="20"/>
          <w:szCs w:val="20"/>
        </w:rPr>
        <w:t>nce and development including elections</w:t>
      </w:r>
      <w:r>
        <w:rPr>
          <w:sz w:val="20"/>
          <w:szCs w:val="20"/>
        </w:rPr>
        <w:t>;</w:t>
      </w:r>
      <w:r w:rsidR="006453D9">
        <w:rPr>
          <w:sz w:val="20"/>
          <w:szCs w:val="20"/>
        </w:rPr>
        <w:t xml:space="preserve"> </w:t>
      </w:r>
      <w:r w:rsidR="00ED4D89" w:rsidRPr="00435BE7">
        <w:rPr>
          <w:sz w:val="20"/>
          <w:szCs w:val="20"/>
        </w:rPr>
        <w:t xml:space="preserve">(iii) accountability, transparency and </w:t>
      </w:r>
      <w:r>
        <w:rPr>
          <w:sz w:val="20"/>
          <w:szCs w:val="20"/>
        </w:rPr>
        <w:t>anti-</w:t>
      </w:r>
      <w:r w:rsidR="00E3278D" w:rsidRPr="00435BE7">
        <w:rPr>
          <w:sz w:val="20"/>
          <w:szCs w:val="20"/>
        </w:rPr>
        <w:t>corruption</w:t>
      </w:r>
      <w:r>
        <w:rPr>
          <w:sz w:val="20"/>
          <w:szCs w:val="20"/>
        </w:rPr>
        <w:t xml:space="preserve"> efforts</w:t>
      </w:r>
      <w:r w:rsidR="001616CF" w:rsidRPr="00435BE7">
        <w:rPr>
          <w:sz w:val="20"/>
          <w:szCs w:val="20"/>
        </w:rPr>
        <w:t>,</w:t>
      </w:r>
      <w:r w:rsidR="006A126E">
        <w:rPr>
          <w:sz w:val="20"/>
          <w:szCs w:val="20"/>
        </w:rPr>
        <w:t xml:space="preserve"> and (iv) </w:t>
      </w:r>
      <w:r w:rsidR="001616CF" w:rsidRPr="00435BE7">
        <w:rPr>
          <w:sz w:val="20"/>
          <w:szCs w:val="20"/>
        </w:rPr>
        <w:t xml:space="preserve">national </w:t>
      </w:r>
      <w:r w:rsidR="00ED4D89" w:rsidRPr="00435BE7">
        <w:rPr>
          <w:sz w:val="20"/>
          <w:szCs w:val="20"/>
        </w:rPr>
        <w:t>strategic planning, economic development and aid effectiveness.</w:t>
      </w:r>
    </w:p>
    <w:p w14:paraId="697D971C" w14:textId="3594FED0" w:rsidR="00ED4D89" w:rsidRDefault="00AC0173" w:rsidP="00CE68BD">
      <w:pPr>
        <w:pStyle w:val="ListParagraph"/>
        <w:numPr>
          <w:ilvl w:val="0"/>
          <w:numId w:val="13"/>
        </w:numPr>
        <w:tabs>
          <w:tab w:val="left" w:pos="1800"/>
        </w:tabs>
        <w:spacing w:after="120"/>
        <w:ind w:left="1418" w:right="1210" w:firstLine="0"/>
        <w:jc w:val="both"/>
        <w:rPr>
          <w:sz w:val="20"/>
          <w:szCs w:val="20"/>
        </w:rPr>
      </w:pPr>
      <w:r>
        <w:rPr>
          <w:sz w:val="20"/>
          <w:szCs w:val="20"/>
        </w:rPr>
        <w:t>W</w:t>
      </w:r>
      <w:r w:rsidR="006A126E">
        <w:rPr>
          <w:sz w:val="20"/>
          <w:szCs w:val="20"/>
        </w:rPr>
        <w:t xml:space="preserve">ithin the framework of the Global Focal Point for justice, police and corrections, </w:t>
      </w:r>
      <w:r w:rsidR="000578D5" w:rsidRPr="00435BE7">
        <w:rPr>
          <w:sz w:val="20"/>
          <w:szCs w:val="20"/>
        </w:rPr>
        <w:t>and in partnership with donors including the</w:t>
      </w:r>
      <w:r w:rsidR="006A126E">
        <w:rPr>
          <w:sz w:val="20"/>
          <w:szCs w:val="20"/>
        </w:rPr>
        <w:t xml:space="preserve"> </w:t>
      </w:r>
      <w:r>
        <w:rPr>
          <w:sz w:val="20"/>
          <w:szCs w:val="20"/>
        </w:rPr>
        <w:t xml:space="preserve">government of the </w:t>
      </w:r>
      <w:r w:rsidR="006A126E">
        <w:rPr>
          <w:sz w:val="20"/>
          <w:szCs w:val="20"/>
        </w:rPr>
        <w:t>United States</w:t>
      </w:r>
      <w:r>
        <w:rPr>
          <w:sz w:val="20"/>
          <w:szCs w:val="20"/>
        </w:rPr>
        <w:t xml:space="preserve"> of America</w:t>
      </w:r>
      <w:r w:rsidR="000578D5" w:rsidRPr="00435BE7">
        <w:rPr>
          <w:sz w:val="20"/>
          <w:szCs w:val="20"/>
        </w:rPr>
        <w:t xml:space="preserve">, UNDP will </w:t>
      </w:r>
      <w:r w:rsidR="00361209">
        <w:rPr>
          <w:sz w:val="20"/>
          <w:szCs w:val="20"/>
        </w:rPr>
        <w:t>improve</w:t>
      </w:r>
      <w:r w:rsidR="00FA7574" w:rsidRPr="00435BE7">
        <w:rPr>
          <w:sz w:val="20"/>
          <w:szCs w:val="20"/>
        </w:rPr>
        <w:t xml:space="preserve"> population access to institutions </w:t>
      </w:r>
      <w:r w:rsidR="00FB45E9">
        <w:rPr>
          <w:sz w:val="20"/>
          <w:szCs w:val="20"/>
        </w:rPr>
        <w:t>that promote</w:t>
      </w:r>
      <w:r w:rsidR="00FA7574" w:rsidRPr="00435BE7">
        <w:rPr>
          <w:sz w:val="20"/>
          <w:szCs w:val="20"/>
        </w:rPr>
        <w:t xml:space="preserve"> the rule of law </w:t>
      </w:r>
      <w:r w:rsidR="00FB45E9">
        <w:rPr>
          <w:sz w:val="20"/>
          <w:szCs w:val="20"/>
        </w:rPr>
        <w:t>and</w:t>
      </w:r>
      <w:r w:rsidR="00FB45E9" w:rsidRPr="00435BE7">
        <w:rPr>
          <w:sz w:val="20"/>
          <w:szCs w:val="20"/>
        </w:rPr>
        <w:t xml:space="preserve"> </w:t>
      </w:r>
      <w:r w:rsidR="00FA7574" w:rsidRPr="00435BE7">
        <w:rPr>
          <w:sz w:val="20"/>
          <w:szCs w:val="20"/>
        </w:rPr>
        <w:t xml:space="preserve">ensure </w:t>
      </w:r>
      <w:r w:rsidR="006143D3">
        <w:rPr>
          <w:sz w:val="20"/>
          <w:szCs w:val="20"/>
        </w:rPr>
        <w:t>citizens</w:t>
      </w:r>
      <w:r w:rsidR="00FB45E9">
        <w:rPr>
          <w:sz w:val="20"/>
          <w:szCs w:val="20"/>
        </w:rPr>
        <w:t xml:space="preserve"> have </w:t>
      </w:r>
      <w:r w:rsidR="00FA7574" w:rsidRPr="00435BE7">
        <w:rPr>
          <w:sz w:val="20"/>
          <w:szCs w:val="20"/>
        </w:rPr>
        <w:t>protection from human rights violations</w:t>
      </w:r>
      <w:r w:rsidR="00FB45E9">
        <w:rPr>
          <w:sz w:val="20"/>
          <w:szCs w:val="20"/>
        </w:rPr>
        <w:t xml:space="preserve">. </w:t>
      </w:r>
      <w:r w:rsidR="00980C4E">
        <w:rPr>
          <w:sz w:val="20"/>
          <w:szCs w:val="20"/>
        </w:rPr>
        <w:t>UNDP will encourage</w:t>
      </w:r>
      <w:r w:rsidR="00980C4E" w:rsidRPr="00435BE7">
        <w:rPr>
          <w:sz w:val="20"/>
          <w:szCs w:val="20"/>
        </w:rPr>
        <w:t xml:space="preserve"> reconciliation </w:t>
      </w:r>
      <w:r w:rsidR="00980C4E">
        <w:rPr>
          <w:sz w:val="20"/>
          <w:szCs w:val="20"/>
        </w:rPr>
        <w:t xml:space="preserve">efforts by supporting the national peace architecture through introducing a service-delivery approach in rule of law and human rights institutions that ensure social protection mechanisms exist for the most vulnerable populations. </w:t>
      </w:r>
      <w:r w:rsidR="00FA7574" w:rsidRPr="00435BE7">
        <w:rPr>
          <w:sz w:val="20"/>
          <w:szCs w:val="20"/>
        </w:rPr>
        <w:t>By providing support</w:t>
      </w:r>
      <w:r w:rsidR="00C40BFC">
        <w:rPr>
          <w:sz w:val="20"/>
          <w:szCs w:val="20"/>
        </w:rPr>
        <w:t xml:space="preserve"> to</w:t>
      </w:r>
      <w:r w:rsidR="00FA7574" w:rsidRPr="00435BE7">
        <w:rPr>
          <w:sz w:val="20"/>
          <w:szCs w:val="20"/>
        </w:rPr>
        <w:t xml:space="preserve"> </w:t>
      </w:r>
      <w:r w:rsidR="00974BCE">
        <w:rPr>
          <w:sz w:val="20"/>
          <w:szCs w:val="20"/>
        </w:rPr>
        <w:t xml:space="preserve">the </w:t>
      </w:r>
      <w:r w:rsidR="00FA7574" w:rsidRPr="00435BE7">
        <w:rPr>
          <w:sz w:val="20"/>
          <w:szCs w:val="20"/>
        </w:rPr>
        <w:t>justice</w:t>
      </w:r>
      <w:r w:rsidR="00974BCE">
        <w:rPr>
          <w:sz w:val="20"/>
          <w:szCs w:val="20"/>
        </w:rPr>
        <w:t xml:space="preserve"> and </w:t>
      </w:r>
      <w:r w:rsidR="00FA7574" w:rsidRPr="00435BE7">
        <w:rPr>
          <w:sz w:val="20"/>
          <w:szCs w:val="20"/>
        </w:rPr>
        <w:t>security sector</w:t>
      </w:r>
      <w:r w:rsidR="00974BCE">
        <w:rPr>
          <w:sz w:val="20"/>
          <w:szCs w:val="20"/>
        </w:rPr>
        <w:t>s</w:t>
      </w:r>
      <w:r w:rsidR="004177E4">
        <w:rPr>
          <w:sz w:val="20"/>
          <w:szCs w:val="20"/>
        </w:rPr>
        <w:t xml:space="preserve">, </w:t>
      </w:r>
      <w:r w:rsidR="00974BCE">
        <w:rPr>
          <w:sz w:val="20"/>
          <w:szCs w:val="20"/>
        </w:rPr>
        <w:t xml:space="preserve">and </w:t>
      </w:r>
      <w:r w:rsidR="00FA7574" w:rsidRPr="00435BE7">
        <w:rPr>
          <w:sz w:val="20"/>
          <w:szCs w:val="20"/>
        </w:rPr>
        <w:t>human rights</w:t>
      </w:r>
      <w:r w:rsidR="00160305">
        <w:rPr>
          <w:sz w:val="20"/>
          <w:szCs w:val="20"/>
        </w:rPr>
        <w:t xml:space="preserve"> and reconciliation</w:t>
      </w:r>
      <w:r w:rsidR="00FA7574" w:rsidRPr="00435BE7">
        <w:rPr>
          <w:sz w:val="20"/>
          <w:szCs w:val="20"/>
        </w:rPr>
        <w:t xml:space="preserve"> </w:t>
      </w:r>
      <w:r w:rsidR="00A21684" w:rsidRPr="00435BE7">
        <w:rPr>
          <w:sz w:val="20"/>
          <w:szCs w:val="20"/>
        </w:rPr>
        <w:t>institutions</w:t>
      </w:r>
      <w:r w:rsidR="00C40BFC">
        <w:rPr>
          <w:sz w:val="20"/>
          <w:szCs w:val="20"/>
        </w:rPr>
        <w:t>—</w:t>
      </w:r>
      <w:r w:rsidR="00A21684" w:rsidRPr="00435BE7">
        <w:rPr>
          <w:sz w:val="20"/>
          <w:szCs w:val="20"/>
        </w:rPr>
        <w:t>including the newly established Special Criminal Court</w:t>
      </w:r>
      <w:r w:rsidR="00FA7574" w:rsidRPr="00435BE7">
        <w:rPr>
          <w:sz w:val="20"/>
          <w:szCs w:val="20"/>
        </w:rPr>
        <w:t xml:space="preserve"> in partnership with MINUSCA</w:t>
      </w:r>
      <w:r w:rsidR="00C40BFC">
        <w:rPr>
          <w:sz w:val="20"/>
          <w:szCs w:val="20"/>
        </w:rPr>
        <w:t>—</w:t>
      </w:r>
      <w:r w:rsidR="00FA7574" w:rsidRPr="00435BE7">
        <w:rPr>
          <w:sz w:val="20"/>
          <w:szCs w:val="20"/>
        </w:rPr>
        <w:t xml:space="preserve">UNDP will continue </w:t>
      </w:r>
      <w:r w:rsidR="00C40BFC">
        <w:rPr>
          <w:sz w:val="20"/>
          <w:szCs w:val="20"/>
        </w:rPr>
        <w:t>to</w:t>
      </w:r>
      <w:r w:rsidR="00C40BFC" w:rsidRPr="00435BE7">
        <w:rPr>
          <w:sz w:val="20"/>
          <w:szCs w:val="20"/>
        </w:rPr>
        <w:t xml:space="preserve"> </w:t>
      </w:r>
      <w:r w:rsidR="00C40BFC">
        <w:rPr>
          <w:sz w:val="20"/>
          <w:szCs w:val="20"/>
        </w:rPr>
        <w:t>restore</w:t>
      </w:r>
      <w:r w:rsidR="00FA7574" w:rsidRPr="00435BE7">
        <w:rPr>
          <w:sz w:val="20"/>
          <w:szCs w:val="20"/>
        </w:rPr>
        <w:t xml:space="preserve"> </w:t>
      </w:r>
      <w:r w:rsidR="00A21684" w:rsidRPr="00435BE7">
        <w:rPr>
          <w:sz w:val="20"/>
          <w:szCs w:val="20"/>
        </w:rPr>
        <w:t>state</w:t>
      </w:r>
      <w:r w:rsidR="000578D5" w:rsidRPr="00435BE7">
        <w:rPr>
          <w:sz w:val="20"/>
          <w:szCs w:val="20"/>
        </w:rPr>
        <w:t xml:space="preserve"> authority</w:t>
      </w:r>
      <w:r w:rsidR="00FA7574" w:rsidRPr="00435BE7">
        <w:rPr>
          <w:sz w:val="20"/>
          <w:szCs w:val="20"/>
        </w:rPr>
        <w:t xml:space="preserve"> </w:t>
      </w:r>
      <w:r w:rsidR="000578D5" w:rsidRPr="00435BE7">
        <w:rPr>
          <w:sz w:val="20"/>
          <w:szCs w:val="20"/>
        </w:rPr>
        <w:t>and curb widespread impunity</w:t>
      </w:r>
      <w:r w:rsidR="00FA7574" w:rsidRPr="00435BE7">
        <w:rPr>
          <w:sz w:val="20"/>
          <w:szCs w:val="20"/>
        </w:rPr>
        <w:t>.</w:t>
      </w:r>
      <w:r w:rsidR="000578D5" w:rsidRPr="00435BE7">
        <w:rPr>
          <w:sz w:val="20"/>
          <w:szCs w:val="20"/>
        </w:rPr>
        <w:t xml:space="preserve"> </w:t>
      </w:r>
    </w:p>
    <w:p w14:paraId="121AFCAB" w14:textId="2F09AA09" w:rsidR="006A126E" w:rsidRPr="004964D7" w:rsidRDefault="00FA7574" w:rsidP="00CE68BD">
      <w:pPr>
        <w:pStyle w:val="ListParagraph"/>
        <w:numPr>
          <w:ilvl w:val="0"/>
          <w:numId w:val="13"/>
        </w:numPr>
        <w:tabs>
          <w:tab w:val="left" w:pos="1800"/>
        </w:tabs>
        <w:spacing w:after="120"/>
        <w:ind w:left="1418" w:right="1210" w:firstLine="0"/>
        <w:jc w:val="both"/>
        <w:rPr>
          <w:sz w:val="20"/>
          <w:szCs w:val="20"/>
        </w:rPr>
      </w:pPr>
      <w:r w:rsidRPr="004964D7">
        <w:rPr>
          <w:sz w:val="20"/>
          <w:szCs w:val="20"/>
        </w:rPr>
        <w:t xml:space="preserve">In the area of governance and local development, </w:t>
      </w:r>
      <w:r w:rsidR="000578D5" w:rsidRPr="004964D7">
        <w:rPr>
          <w:sz w:val="20"/>
          <w:szCs w:val="20"/>
        </w:rPr>
        <w:t>UNDP will</w:t>
      </w:r>
      <w:r w:rsidRPr="004964D7">
        <w:rPr>
          <w:sz w:val="20"/>
          <w:szCs w:val="20"/>
        </w:rPr>
        <w:t xml:space="preserve"> equip public institutions with</w:t>
      </w:r>
      <w:r w:rsidR="0000643B" w:rsidRPr="004964D7">
        <w:rPr>
          <w:sz w:val="20"/>
          <w:szCs w:val="20"/>
        </w:rPr>
        <w:t xml:space="preserve"> normative capacities, policies and</w:t>
      </w:r>
      <w:r w:rsidRPr="004964D7">
        <w:rPr>
          <w:sz w:val="20"/>
          <w:szCs w:val="20"/>
        </w:rPr>
        <w:t xml:space="preserve"> mechanisms that favour the effective provision of services to the population </w:t>
      </w:r>
      <w:r w:rsidR="00C40BFC">
        <w:rPr>
          <w:sz w:val="20"/>
          <w:szCs w:val="20"/>
        </w:rPr>
        <w:t>and</w:t>
      </w:r>
      <w:r w:rsidRPr="004964D7">
        <w:rPr>
          <w:sz w:val="20"/>
          <w:szCs w:val="20"/>
        </w:rPr>
        <w:t xml:space="preserve"> promote their participation in decision-making</w:t>
      </w:r>
      <w:r w:rsidR="00A21684" w:rsidRPr="004964D7">
        <w:rPr>
          <w:sz w:val="20"/>
          <w:szCs w:val="20"/>
        </w:rPr>
        <w:t xml:space="preserve"> proces</w:t>
      </w:r>
      <w:r w:rsidRPr="004964D7">
        <w:rPr>
          <w:sz w:val="20"/>
          <w:szCs w:val="20"/>
        </w:rPr>
        <w:t xml:space="preserve">ses </w:t>
      </w:r>
      <w:r w:rsidR="00087A3E" w:rsidRPr="004964D7">
        <w:rPr>
          <w:sz w:val="20"/>
          <w:szCs w:val="20"/>
        </w:rPr>
        <w:t>throughout the country</w:t>
      </w:r>
      <w:r w:rsidR="00DF0A39">
        <w:rPr>
          <w:sz w:val="20"/>
          <w:szCs w:val="20"/>
        </w:rPr>
        <w:t>. Parliament</w:t>
      </w:r>
      <w:r w:rsidR="00087A3E" w:rsidRPr="004964D7">
        <w:rPr>
          <w:sz w:val="20"/>
          <w:szCs w:val="20"/>
        </w:rPr>
        <w:t xml:space="preserve">, </w:t>
      </w:r>
      <w:r w:rsidR="00974BCE">
        <w:rPr>
          <w:sz w:val="20"/>
          <w:szCs w:val="20"/>
        </w:rPr>
        <w:t xml:space="preserve">the </w:t>
      </w:r>
      <w:r w:rsidR="00087A3E" w:rsidRPr="004964D7">
        <w:rPr>
          <w:sz w:val="20"/>
          <w:szCs w:val="20"/>
        </w:rPr>
        <w:t>Ministry of Interior</w:t>
      </w:r>
      <w:r w:rsidR="00C40BFC">
        <w:rPr>
          <w:sz w:val="20"/>
          <w:szCs w:val="20"/>
        </w:rPr>
        <w:t xml:space="preserve">, and local </w:t>
      </w:r>
      <w:r w:rsidR="00087A3E" w:rsidRPr="004964D7">
        <w:rPr>
          <w:sz w:val="20"/>
          <w:szCs w:val="20"/>
        </w:rPr>
        <w:t>municipal</w:t>
      </w:r>
      <w:r w:rsidR="000C06FA">
        <w:rPr>
          <w:sz w:val="20"/>
          <w:szCs w:val="20"/>
        </w:rPr>
        <w:t>ities</w:t>
      </w:r>
      <w:r w:rsidR="0036700F">
        <w:rPr>
          <w:sz w:val="20"/>
          <w:szCs w:val="20"/>
        </w:rPr>
        <w:t xml:space="preserve"> </w:t>
      </w:r>
      <w:r w:rsidR="00087A3E" w:rsidRPr="004964D7">
        <w:rPr>
          <w:sz w:val="20"/>
          <w:szCs w:val="20"/>
        </w:rPr>
        <w:t xml:space="preserve">will </w:t>
      </w:r>
      <w:r w:rsidR="00C40BFC">
        <w:rPr>
          <w:sz w:val="20"/>
          <w:szCs w:val="20"/>
        </w:rPr>
        <w:t>receive support so they can</w:t>
      </w:r>
      <w:r w:rsidR="00087A3E" w:rsidRPr="004964D7">
        <w:rPr>
          <w:sz w:val="20"/>
          <w:szCs w:val="20"/>
        </w:rPr>
        <w:t xml:space="preserve"> perform their functions effectively, </w:t>
      </w:r>
      <w:r w:rsidR="00974BCE">
        <w:rPr>
          <w:sz w:val="20"/>
          <w:szCs w:val="20"/>
        </w:rPr>
        <w:t>particularly on</w:t>
      </w:r>
      <w:r w:rsidR="00C40BFC">
        <w:rPr>
          <w:sz w:val="20"/>
          <w:szCs w:val="20"/>
        </w:rPr>
        <w:t xml:space="preserve"> </w:t>
      </w:r>
      <w:r w:rsidR="00087A3E" w:rsidRPr="004964D7">
        <w:rPr>
          <w:sz w:val="20"/>
          <w:szCs w:val="20"/>
        </w:rPr>
        <w:t>gender mainstreaming under the gender parity law</w:t>
      </w:r>
      <w:r w:rsidR="000578D5" w:rsidRPr="004964D7">
        <w:rPr>
          <w:sz w:val="20"/>
          <w:szCs w:val="20"/>
        </w:rPr>
        <w:t>. UNDP will provide support</w:t>
      </w:r>
      <w:r w:rsidR="00087A3E" w:rsidRPr="004964D7">
        <w:rPr>
          <w:sz w:val="20"/>
          <w:szCs w:val="20"/>
        </w:rPr>
        <w:t xml:space="preserve"> within the overall framework of decentralization based on the </w:t>
      </w:r>
      <w:r w:rsidR="006453D9">
        <w:rPr>
          <w:sz w:val="20"/>
          <w:szCs w:val="20"/>
        </w:rPr>
        <w:t>proposed</w:t>
      </w:r>
      <w:r w:rsidR="00087A3E" w:rsidRPr="004964D7">
        <w:rPr>
          <w:sz w:val="20"/>
          <w:szCs w:val="20"/>
        </w:rPr>
        <w:t xml:space="preserve"> code of territorial administration</w:t>
      </w:r>
      <w:r w:rsidR="00DE58CA" w:rsidRPr="004964D7">
        <w:rPr>
          <w:sz w:val="20"/>
          <w:szCs w:val="20"/>
        </w:rPr>
        <w:t>,</w:t>
      </w:r>
      <w:r w:rsidR="00160305">
        <w:rPr>
          <w:sz w:val="20"/>
          <w:szCs w:val="20"/>
        </w:rPr>
        <w:t xml:space="preserve"> which will </w:t>
      </w:r>
      <w:r w:rsidR="00C40BFC">
        <w:rPr>
          <w:sz w:val="20"/>
          <w:szCs w:val="20"/>
        </w:rPr>
        <w:t>strengthen the</w:t>
      </w:r>
      <w:r w:rsidR="00DE58CA" w:rsidRPr="004964D7">
        <w:rPr>
          <w:sz w:val="20"/>
          <w:szCs w:val="20"/>
        </w:rPr>
        <w:t xml:space="preserve"> </w:t>
      </w:r>
      <w:r w:rsidR="00426235">
        <w:rPr>
          <w:sz w:val="20"/>
          <w:szCs w:val="20"/>
        </w:rPr>
        <w:t xml:space="preserve">institutional </w:t>
      </w:r>
      <w:r w:rsidR="00DE58CA" w:rsidRPr="004964D7">
        <w:rPr>
          <w:sz w:val="20"/>
          <w:szCs w:val="20"/>
        </w:rPr>
        <w:t xml:space="preserve">foundation for </w:t>
      </w:r>
      <w:r w:rsidR="009524B9">
        <w:rPr>
          <w:sz w:val="20"/>
          <w:szCs w:val="20"/>
        </w:rPr>
        <w:t xml:space="preserve">continued </w:t>
      </w:r>
      <w:r w:rsidR="00DE58CA" w:rsidRPr="004964D7">
        <w:rPr>
          <w:sz w:val="20"/>
          <w:szCs w:val="20"/>
        </w:rPr>
        <w:t>electoral cycle support</w:t>
      </w:r>
      <w:r w:rsidR="00160305">
        <w:rPr>
          <w:sz w:val="20"/>
          <w:szCs w:val="20"/>
        </w:rPr>
        <w:t xml:space="preserve">, </w:t>
      </w:r>
      <w:r w:rsidR="006453D9">
        <w:rPr>
          <w:sz w:val="20"/>
          <w:szCs w:val="20"/>
        </w:rPr>
        <w:t>including</w:t>
      </w:r>
      <w:r w:rsidR="00885845" w:rsidRPr="004964D7">
        <w:rPr>
          <w:sz w:val="20"/>
          <w:szCs w:val="20"/>
        </w:rPr>
        <w:t xml:space="preserve"> municipal elections</w:t>
      </w:r>
      <w:r w:rsidR="00DE58CA" w:rsidRPr="004964D7">
        <w:rPr>
          <w:sz w:val="20"/>
          <w:szCs w:val="20"/>
        </w:rPr>
        <w:t>.</w:t>
      </w:r>
      <w:r w:rsidR="0036700F">
        <w:rPr>
          <w:sz w:val="20"/>
          <w:szCs w:val="20"/>
        </w:rPr>
        <w:t xml:space="preserve"> </w:t>
      </w:r>
    </w:p>
    <w:p w14:paraId="305BEA63" w14:textId="6A3D6629" w:rsidR="00085DFB" w:rsidRPr="00435BE7" w:rsidRDefault="00085DFB" w:rsidP="00CE68BD">
      <w:pPr>
        <w:pStyle w:val="ListParagraph"/>
        <w:numPr>
          <w:ilvl w:val="0"/>
          <w:numId w:val="13"/>
        </w:numPr>
        <w:tabs>
          <w:tab w:val="left" w:pos="1800"/>
        </w:tabs>
        <w:spacing w:after="120"/>
        <w:ind w:left="1418" w:right="1210" w:firstLine="0"/>
        <w:jc w:val="both"/>
        <w:rPr>
          <w:sz w:val="20"/>
          <w:szCs w:val="20"/>
        </w:rPr>
      </w:pPr>
      <w:r w:rsidRPr="00435BE7">
        <w:rPr>
          <w:sz w:val="20"/>
          <w:szCs w:val="20"/>
        </w:rPr>
        <w:lastRenderedPageBreak/>
        <w:t xml:space="preserve">UNDP will work with the </w:t>
      </w:r>
      <w:r w:rsidR="00C40BFC">
        <w:rPr>
          <w:sz w:val="20"/>
          <w:szCs w:val="20"/>
        </w:rPr>
        <w:t>e</w:t>
      </w:r>
      <w:r w:rsidR="000578D5" w:rsidRPr="00435BE7">
        <w:rPr>
          <w:sz w:val="20"/>
          <w:szCs w:val="20"/>
        </w:rPr>
        <w:t>xecutive</w:t>
      </w:r>
      <w:r w:rsidR="0000643B" w:rsidRPr="00435BE7">
        <w:rPr>
          <w:sz w:val="20"/>
          <w:szCs w:val="20"/>
        </w:rPr>
        <w:t xml:space="preserve"> branch</w:t>
      </w:r>
      <w:r w:rsidR="00C40BFC">
        <w:rPr>
          <w:sz w:val="20"/>
          <w:szCs w:val="20"/>
        </w:rPr>
        <w:t xml:space="preserve"> of the government</w:t>
      </w:r>
      <w:r w:rsidR="00974BCE">
        <w:rPr>
          <w:sz w:val="20"/>
          <w:szCs w:val="20"/>
        </w:rPr>
        <w:t>—</w:t>
      </w:r>
      <w:r w:rsidR="009524B9">
        <w:rPr>
          <w:sz w:val="20"/>
          <w:szCs w:val="20"/>
        </w:rPr>
        <w:t xml:space="preserve">especially </w:t>
      </w:r>
      <w:r w:rsidR="00C40BFC">
        <w:rPr>
          <w:sz w:val="20"/>
          <w:szCs w:val="20"/>
        </w:rPr>
        <w:t>the</w:t>
      </w:r>
      <w:r w:rsidR="0000643B" w:rsidRPr="00435BE7">
        <w:rPr>
          <w:sz w:val="20"/>
          <w:szCs w:val="20"/>
        </w:rPr>
        <w:t xml:space="preserve"> </w:t>
      </w:r>
      <w:r w:rsidRPr="00435BE7">
        <w:rPr>
          <w:sz w:val="20"/>
          <w:szCs w:val="20"/>
        </w:rPr>
        <w:t>newly establish</w:t>
      </w:r>
      <w:r w:rsidR="000578D5" w:rsidRPr="00435BE7">
        <w:rPr>
          <w:sz w:val="20"/>
          <w:szCs w:val="20"/>
        </w:rPr>
        <w:t>ed</w:t>
      </w:r>
      <w:r w:rsidRPr="00435BE7">
        <w:rPr>
          <w:sz w:val="20"/>
          <w:szCs w:val="20"/>
        </w:rPr>
        <w:t xml:space="preserve"> High Authority on Good Governance</w:t>
      </w:r>
      <w:r w:rsidR="00306018">
        <w:rPr>
          <w:sz w:val="20"/>
          <w:szCs w:val="20"/>
        </w:rPr>
        <w:t xml:space="preserve"> and the National Committee on the Fight against Corruption</w:t>
      </w:r>
      <w:r w:rsidR="00974BCE">
        <w:rPr>
          <w:sz w:val="20"/>
          <w:szCs w:val="20"/>
        </w:rPr>
        <w:t>—</w:t>
      </w:r>
      <w:r w:rsidRPr="00435BE7">
        <w:rPr>
          <w:sz w:val="20"/>
          <w:szCs w:val="20"/>
        </w:rPr>
        <w:t>to promote the implementation of anti-corruption mechanisms supported by civil society and media</w:t>
      </w:r>
      <w:r w:rsidR="00974BCE">
        <w:rPr>
          <w:sz w:val="20"/>
          <w:szCs w:val="20"/>
        </w:rPr>
        <w:t xml:space="preserve">. This includes </w:t>
      </w:r>
      <w:r w:rsidRPr="00435BE7">
        <w:rPr>
          <w:sz w:val="20"/>
          <w:szCs w:val="20"/>
        </w:rPr>
        <w:t>the management of natural resources.</w:t>
      </w:r>
      <w:r w:rsidR="00D57012">
        <w:rPr>
          <w:sz w:val="20"/>
          <w:szCs w:val="20"/>
        </w:rPr>
        <w:t xml:space="preserve"> </w:t>
      </w:r>
      <w:r w:rsidR="00D57012" w:rsidRPr="00D57012">
        <w:rPr>
          <w:sz w:val="20"/>
          <w:szCs w:val="20"/>
        </w:rPr>
        <w:t>UNDP will support the reinforcement of core government functions</w:t>
      </w:r>
      <w:r w:rsidR="00D57012">
        <w:rPr>
          <w:sz w:val="20"/>
          <w:szCs w:val="20"/>
        </w:rPr>
        <w:t xml:space="preserve"> at the center of the </w:t>
      </w:r>
      <w:r w:rsidR="00C40BFC">
        <w:rPr>
          <w:sz w:val="20"/>
          <w:szCs w:val="20"/>
        </w:rPr>
        <w:t>e</w:t>
      </w:r>
      <w:r w:rsidR="00D57012">
        <w:rPr>
          <w:sz w:val="20"/>
          <w:szCs w:val="20"/>
        </w:rPr>
        <w:t>xecutive branch</w:t>
      </w:r>
      <w:r w:rsidR="00D57012" w:rsidRPr="00D57012">
        <w:rPr>
          <w:sz w:val="20"/>
          <w:szCs w:val="20"/>
        </w:rPr>
        <w:t xml:space="preserve"> </w:t>
      </w:r>
      <w:r w:rsidR="00D57012">
        <w:rPr>
          <w:sz w:val="20"/>
          <w:szCs w:val="20"/>
        </w:rPr>
        <w:t>to ensure prioritization and accountability on commitments to</w:t>
      </w:r>
      <w:r w:rsidR="004F5936">
        <w:rPr>
          <w:sz w:val="20"/>
          <w:szCs w:val="20"/>
        </w:rPr>
        <w:t xml:space="preserve"> </w:t>
      </w:r>
      <w:r w:rsidR="00D57012">
        <w:rPr>
          <w:sz w:val="20"/>
          <w:szCs w:val="20"/>
        </w:rPr>
        <w:t>citizen</w:t>
      </w:r>
      <w:r w:rsidR="004F5936">
        <w:rPr>
          <w:sz w:val="20"/>
          <w:szCs w:val="20"/>
        </w:rPr>
        <w:t>s</w:t>
      </w:r>
      <w:r w:rsidR="00D57012">
        <w:rPr>
          <w:sz w:val="20"/>
          <w:szCs w:val="20"/>
        </w:rPr>
        <w:t>.</w:t>
      </w:r>
    </w:p>
    <w:p w14:paraId="513BAFA1" w14:textId="3AC83493" w:rsidR="000578D5" w:rsidRPr="00435BE7" w:rsidRDefault="00C40BFC" w:rsidP="00CE68BD">
      <w:pPr>
        <w:pStyle w:val="ListParagraph"/>
        <w:numPr>
          <w:ilvl w:val="0"/>
          <w:numId w:val="13"/>
        </w:numPr>
        <w:tabs>
          <w:tab w:val="left" w:pos="1800"/>
        </w:tabs>
        <w:spacing w:after="120"/>
        <w:ind w:left="1418" w:right="1210" w:firstLine="0"/>
        <w:jc w:val="both"/>
        <w:rPr>
          <w:sz w:val="20"/>
          <w:szCs w:val="20"/>
        </w:rPr>
      </w:pPr>
      <w:r>
        <w:rPr>
          <w:sz w:val="20"/>
          <w:szCs w:val="20"/>
        </w:rPr>
        <w:t>In</w:t>
      </w:r>
      <w:r w:rsidR="00592849">
        <w:rPr>
          <w:sz w:val="20"/>
          <w:szCs w:val="20"/>
        </w:rPr>
        <w:t xml:space="preserve"> the area of aid coordination and building on </w:t>
      </w:r>
      <w:r w:rsidR="007C6AE8">
        <w:rPr>
          <w:sz w:val="20"/>
          <w:szCs w:val="20"/>
        </w:rPr>
        <w:t xml:space="preserve">the country’s </w:t>
      </w:r>
      <w:r w:rsidR="00592849">
        <w:rPr>
          <w:sz w:val="20"/>
          <w:szCs w:val="20"/>
        </w:rPr>
        <w:t xml:space="preserve">membership in the International Aid Transparency Initiative (IATI) and the New Deal G7+ group, </w:t>
      </w:r>
      <w:r w:rsidR="000578D5" w:rsidRPr="00435BE7">
        <w:rPr>
          <w:sz w:val="20"/>
          <w:szCs w:val="20"/>
        </w:rPr>
        <w:t>UNDP</w:t>
      </w:r>
      <w:r w:rsidR="00616B53" w:rsidRPr="00435BE7">
        <w:rPr>
          <w:sz w:val="20"/>
          <w:szCs w:val="20"/>
        </w:rPr>
        <w:t xml:space="preserve"> in partnership with the European Union and World Bank,</w:t>
      </w:r>
      <w:r w:rsidR="000578D5" w:rsidRPr="00435BE7">
        <w:rPr>
          <w:sz w:val="20"/>
          <w:szCs w:val="20"/>
        </w:rPr>
        <w:t xml:space="preserve"> will continue </w:t>
      </w:r>
      <w:r>
        <w:rPr>
          <w:sz w:val="20"/>
          <w:szCs w:val="20"/>
        </w:rPr>
        <w:t>to</w:t>
      </w:r>
      <w:r w:rsidR="000578D5" w:rsidRPr="00435BE7">
        <w:rPr>
          <w:sz w:val="20"/>
          <w:szCs w:val="20"/>
        </w:rPr>
        <w:t xml:space="preserve"> support the implementation of the </w:t>
      </w:r>
      <w:r w:rsidR="0054089F">
        <w:rPr>
          <w:sz w:val="20"/>
          <w:szCs w:val="20"/>
        </w:rPr>
        <w:t>RCPCA</w:t>
      </w:r>
      <w:r w:rsidR="000578D5" w:rsidRPr="00435BE7">
        <w:rPr>
          <w:sz w:val="20"/>
          <w:szCs w:val="20"/>
        </w:rPr>
        <w:t xml:space="preserve"> and </w:t>
      </w:r>
      <w:r w:rsidR="00835916">
        <w:rPr>
          <w:sz w:val="20"/>
          <w:szCs w:val="20"/>
        </w:rPr>
        <w:t>P</w:t>
      </w:r>
      <w:r w:rsidR="000578D5" w:rsidRPr="00435BE7">
        <w:rPr>
          <w:sz w:val="20"/>
          <w:szCs w:val="20"/>
        </w:rPr>
        <w:t xml:space="preserve">ermanent </w:t>
      </w:r>
      <w:r w:rsidR="00835916">
        <w:rPr>
          <w:sz w:val="20"/>
          <w:szCs w:val="20"/>
        </w:rPr>
        <w:t>S</w:t>
      </w:r>
      <w:r w:rsidR="000578D5" w:rsidRPr="00435BE7">
        <w:rPr>
          <w:sz w:val="20"/>
          <w:szCs w:val="20"/>
        </w:rPr>
        <w:t>ecretariat</w:t>
      </w:r>
      <w:r w:rsidR="00974BCE">
        <w:rPr>
          <w:sz w:val="20"/>
          <w:szCs w:val="20"/>
        </w:rPr>
        <w:t xml:space="preserve"> that was</w:t>
      </w:r>
      <w:r w:rsidR="000578D5" w:rsidRPr="00435BE7">
        <w:rPr>
          <w:sz w:val="20"/>
          <w:szCs w:val="20"/>
        </w:rPr>
        <w:t xml:space="preserve"> established to coordinate </w:t>
      </w:r>
      <w:r w:rsidR="00974BCE">
        <w:rPr>
          <w:sz w:val="20"/>
          <w:szCs w:val="20"/>
        </w:rPr>
        <w:t>implementation</w:t>
      </w:r>
      <w:r>
        <w:rPr>
          <w:sz w:val="20"/>
          <w:szCs w:val="20"/>
        </w:rPr>
        <w:t xml:space="preserve">. This will involve strengthening </w:t>
      </w:r>
      <w:r w:rsidR="000578D5" w:rsidRPr="00435BE7">
        <w:rPr>
          <w:sz w:val="20"/>
          <w:szCs w:val="20"/>
        </w:rPr>
        <w:t xml:space="preserve">national capacities </w:t>
      </w:r>
      <w:r>
        <w:rPr>
          <w:sz w:val="20"/>
          <w:szCs w:val="20"/>
        </w:rPr>
        <w:t>on</w:t>
      </w:r>
      <w:r w:rsidRPr="00435BE7">
        <w:rPr>
          <w:sz w:val="20"/>
          <w:szCs w:val="20"/>
        </w:rPr>
        <w:t xml:space="preserve"> </w:t>
      </w:r>
      <w:r w:rsidR="000578D5" w:rsidRPr="00435BE7">
        <w:rPr>
          <w:sz w:val="20"/>
          <w:szCs w:val="20"/>
        </w:rPr>
        <w:t>strategic planning, coordination</w:t>
      </w:r>
      <w:r w:rsidR="0000643B" w:rsidRPr="00435BE7">
        <w:rPr>
          <w:sz w:val="20"/>
          <w:szCs w:val="20"/>
        </w:rPr>
        <w:t>, monitoring and evaluation</w:t>
      </w:r>
      <w:r>
        <w:rPr>
          <w:sz w:val="20"/>
          <w:szCs w:val="20"/>
        </w:rPr>
        <w:t>,</w:t>
      </w:r>
      <w:r w:rsidR="000578D5" w:rsidRPr="00435BE7">
        <w:rPr>
          <w:sz w:val="20"/>
          <w:szCs w:val="20"/>
        </w:rPr>
        <w:t xml:space="preserve"> and </w:t>
      </w:r>
      <w:r w:rsidR="00D17B82">
        <w:rPr>
          <w:sz w:val="20"/>
          <w:szCs w:val="20"/>
        </w:rPr>
        <w:t xml:space="preserve">aid </w:t>
      </w:r>
      <w:r w:rsidR="000578D5" w:rsidRPr="00435BE7">
        <w:rPr>
          <w:sz w:val="20"/>
          <w:szCs w:val="20"/>
        </w:rPr>
        <w:t>management.</w:t>
      </w:r>
      <w:r w:rsidR="00592849">
        <w:rPr>
          <w:sz w:val="20"/>
          <w:szCs w:val="20"/>
        </w:rPr>
        <w:t xml:space="preserve"> </w:t>
      </w:r>
      <w:r w:rsidR="00974BCE">
        <w:rPr>
          <w:sz w:val="20"/>
          <w:szCs w:val="20"/>
        </w:rPr>
        <w:t>Alongside this action</w:t>
      </w:r>
      <w:r w:rsidR="00885845">
        <w:rPr>
          <w:sz w:val="20"/>
          <w:szCs w:val="20"/>
        </w:rPr>
        <w:t>, UNDP will</w:t>
      </w:r>
      <w:r w:rsidR="00B306A6">
        <w:rPr>
          <w:sz w:val="20"/>
          <w:szCs w:val="20"/>
        </w:rPr>
        <w:t xml:space="preserve"> continue to</w:t>
      </w:r>
      <w:r w:rsidR="00885845">
        <w:rPr>
          <w:sz w:val="20"/>
          <w:szCs w:val="20"/>
        </w:rPr>
        <w:t xml:space="preserve"> support </w:t>
      </w:r>
      <w:r>
        <w:rPr>
          <w:sz w:val="20"/>
          <w:szCs w:val="20"/>
        </w:rPr>
        <w:t>g</w:t>
      </w:r>
      <w:r w:rsidR="00592849">
        <w:rPr>
          <w:sz w:val="20"/>
          <w:szCs w:val="20"/>
        </w:rPr>
        <w:t>overnment institutions responsi</w:t>
      </w:r>
      <w:r w:rsidR="005E2AC3">
        <w:rPr>
          <w:sz w:val="20"/>
          <w:szCs w:val="20"/>
        </w:rPr>
        <w:t xml:space="preserve">ble for development cooperation, namely </w:t>
      </w:r>
      <w:r w:rsidR="00592849">
        <w:rPr>
          <w:sz w:val="20"/>
          <w:szCs w:val="20"/>
        </w:rPr>
        <w:t>the Ministry of Planning</w:t>
      </w:r>
      <w:r w:rsidR="00B306A6">
        <w:rPr>
          <w:sz w:val="20"/>
          <w:szCs w:val="20"/>
        </w:rPr>
        <w:t>,</w:t>
      </w:r>
      <w:r w:rsidR="00592849">
        <w:rPr>
          <w:sz w:val="20"/>
          <w:szCs w:val="20"/>
        </w:rPr>
        <w:t xml:space="preserve"> </w:t>
      </w:r>
      <w:r>
        <w:rPr>
          <w:sz w:val="20"/>
          <w:szCs w:val="20"/>
        </w:rPr>
        <w:t xml:space="preserve">on improving </w:t>
      </w:r>
      <w:r w:rsidR="00F62513">
        <w:rPr>
          <w:sz w:val="20"/>
          <w:szCs w:val="20"/>
        </w:rPr>
        <w:t>transparency</w:t>
      </w:r>
      <w:r w:rsidR="008E21ED">
        <w:rPr>
          <w:sz w:val="20"/>
          <w:szCs w:val="20"/>
        </w:rPr>
        <w:t xml:space="preserve">, </w:t>
      </w:r>
      <w:r w:rsidR="00F62513">
        <w:rPr>
          <w:sz w:val="20"/>
          <w:szCs w:val="20"/>
        </w:rPr>
        <w:t>accountability</w:t>
      </w:r>
      <w:r w:rsidR="005E2AC3">
        <w:rPr>
          <w:sz w:val="20"/>
          <w:szCs w:val="20"/>
        </w:rPr>
        <w:t xml:space="preserve"> </w:t>
      </w:r>
      <w:r w:rsidR="008E21ED">
        <w:rPr>
          <w:sz w:val="20"/>
          <w:szCs w:val="20"/>
        </w:rPr>
        <w:t>and</w:t>
      </w:r>
      <w:r w:rsidR="005E2AC3">
        <w:rPr>
          <w:sz w:val="20"/>
          <w:szCs w:val="20"/>
        </w:rPr>
        <w:t xml:space="preserve"> information management</w:t>
      </w:r>
      <w:r w:rsidR="00F62513">
        <w:rPr>
          <w:sz w:val="20"/>
          <w:szCs w:val="20"/>
        </w:rPr>
        <w:t xml:space="preserve">. </w:t>
      </w:r>
    </w:p>
    <w:p w14:paraId="79CDA141" w14:textId="3B3F0700" w:rsidR="00616B53" w:rsidRPr="00435BE7" w:rsidRDefault="00C40BFC" w:rsidP="00CE68BD">
      <w:pPr>
        <w:pStyle w:val="ListParagraph"/>
        <w:numPr>
          <w:ilvl w:val="0"/>
          <w:numId w:val="13"/>
        </w:numPr>
        <w:tabs>
          <w:tab w:val="left" w:pos="1800"/>
        </w:tabs>
        <w:spacing w:after="120"/>
        <w:ind w:left="1418" w:right="1210" w:firstLine="0"/>
        <w:jc w:val="both"/>
        <w:rPr>
          <w:sz w:val="20"/>
          <w:szCs w:val="20"/>
        </w:rPr>
      </w:pPr>
      <w:r>
        <w:rPr>
          <w:sz w:val="20"/>
          <w:szCs w:val="20"/>
        </w:rPr>
        <w:t>T</w:t>
      </w:r>
      <w:r w:rsidR="00C45E50" w:rsidRPr="00435BE7">
        <w:rPr>
          <w:sz w:val="20"/>
          <w:szCs w:val="20"/>
        </w:rPr>
        <w:t xml:space="preserve">o achieve expected results, strategies will </w:t>
      </w:r>
      <w:r w:rsidR="00974BCE">
        <w:rPr>
          <w:sz w:val="20"/>
          <w:szCs w:val="20"/>
        </w:rPr>
        <w:t>focus on</w:t>
      </w:r>
      <w:r w:rsidR="00C45E50" w:rsidRPr="00435BE7">
        <w:rPr>
          <w:sz w:val="20"/>
          <w:szCs w:val="20"/>
        </w:rPr>
        <w:t xml:space="preserve"> building </w:t>
      </w:r>
      <w:r>
        <w:rPr>
          <w:sz w:val="20"/>
          <w:szCs w:val="20"/>
        </w:rPr>
        <w:t xml:space="preserve">the capacity </w:t>
      </w:r>
      <w:r w:rsidR="00C45E50" w:rsidRPr="00435BE7">
        <w:rPr>
          <w:sz w:val="20"/>
          <w:szCs w:val="20"/>
        </w:rPr>
        <w:t xml:space="preserve">of democratic governance institutions through policy </w:t>
      </w:r>
      <w:r w:rsidR="00974BCE" w:rsidRPr="00435BE7">
        <w:rPr>
          <w:sz w:val="20"/>
          <w:szCs w:val="20"/>
        </w:rPr>
        <w:t>guidance</w:t>
      </w:r>
      <w:r w:rsidR="00C45E50" w:rsidRPr="00435BE7">
        <w:rPr>
          <w:sz w:val="20"/>
          <w:szCs w:val="20"/>
        </w:rPr>
        <w:t>, research and advocacy</w:t>
      </w:r>
      <w:r>
        <w:rPr>
          <w:sz w:val="20"/>
          <w:szCs w:val="20"/>
        </w:rPr>
        <w:t>,</w:t>
      </w:r>
      <w:r w:rsidR="00C45E50" w:rsidRPr="00435BE7">
        <w:rPr>
          <w:sz w:val="20"/>
          <w:szCs w:val="20"/>
        </w:rPr>
        <w:t xml:space="preserve"> </w:t>
      </w:r>
      <w:r w:rsidR="0000643B" w:rsidRPr="00435BE7">
        <w:rPr>
          <w:sz w:val="20"/>
          <w:szCs w:val="20"/>
        </w:rPr>
        <w:t xml:space="preserve">and </w:t>
      </w:r>
      <w:r w:rsidR="004319D8">
        <w:rPr>
          <w:sz w:val="20"/>
          <w:szCs w:val="20"/>
        </w:rPr>
        <w:t>disseminat</w:t>
      </w:r>
      <w:r>
        <w:rPr>
          <w:sz w:val="20"/>
          <w:szCs w:val="20"/>
        </w:rPr>
        <w:t xml:space="preserve">ing </w:t>
      </w:r>
      <w:r w:rsidR="004319D8">
        <w:rPr>
          <w:sz w:val="20"/>
          <w:szCs w:val="20"/>
        </w:rPr>
        <w:t>tools and good</w:t>
      </w:r>
      <w:r w:rsidR="00C45E50" w:rsidRPr="00435BE7">
        <w:rPr>
          <w:sz w:val="20"/>
          <w:szCs w:val="20"/>
        </w:rPr>
        <w:t xml:space="preserve"> practices on public accountability</w:t>
      </w:r>
      <w:r w:rsidR="005E2AC3">
        <w:rPr>
          <w:sz w:val="20"/>
          <w:szCs w:val="20"/>
        </w:rPr>
        <w:t xml:space="preserve"> </w:t>
      </w:r>
      <w:r>
        <w:rPr>
          <w:sz w:val="20"/>
          <w:szCs w:val="20"/>
        </w:rPr>
        <w:t>and</w:t>
      </w:r>
      <w:r w:rsidR="00592849">
        <w:rPr>
          <w:sz w:val="20"/>
          <w:szCs w:val="20"/>
        </w:rPr>
        <w:t xml:space="preserve"> aid management</w:t>
      </w:r>
      <w:r w:rsidR="00C45E50" w:rsidRPr="00435BE7">
        <w:rPr>
          <w:sz w:val="20"/>
          <w:szCs w:val="20"/>
        </w:rPr>
        <w:t>.</w:t>
      </w:r>
      <w:r w:rsidR="00426235">
        <w:rPr>
          <w:sz w:val="20"/>
          <w:szCs w:val="20"/>
        </w:rPr>
        <w:t xml:space="preserve"> </w:t>
      </w:r>
      <w:r>
        <w:rPr>
          <w:sz w:val="20"/>
          <w:szCs w:val="20"/>
        </w:rPr>
        <w:t>T</w:t>
      </w:r>
      <w:r w:rsidR="00616B53" w:rsidRPr="00435BE7">
        <w:rPr>
          <w:sz w:val="20"/>
          <w:szCs w:val="20"/>
        </w:rPr>
        <w:t>his part of the programme will be linked with existing partnership</w:t>
      </w:r>
      <w:r w:rsidR="00B306A6">
        <w:rPr>
          <w:sz w:val="20"/>
          <w:szCs w:val="20"/>
        </w:rPr>
        <w:t>s</w:t>
      </w:r>
      <w:r w:rsidR="00616B53" w:rsidRPr="00435BE7">
        <w:rPr>
          <w:sz w:val="20"/>
          <w:szCs w:val="20"/>
        </w:rPr>
        <w:t xml:space="preserve"> established under the previous programme cycle with</w:t>
      </w:r>
      <w:r w:rsidR="00800996">
        <w:rPr>
          <w:sz w:val="20"/>
          <w:szCs w:val="20"/>
        </w:rPr>
        <w:t xml:space="preserve"> MINUSCA in the areas of justice, reconciliation and elections</w:t>
      </w:r>
      <w:r w:rsidR="00974BCE">
        <w:rPr>
          <w:sz w:val="20"/>
          <w:szCs w:val="20"/>
        </w:rPr>
        <w:t>,</w:t>
      </w:r>
      <w:r w:rsidR="00800996">
        <w:rPr>
          <w:sz w:val="20"/>
          <w:szCs w:val="20"/>
        </w:rPr>
        <w:t xml:space="preserve"> as well as</w:t>
      </w:r>
      <w:r w:rsidR="00616B53" w:rsidRPr="00435BE7">
        <w:rPr>
          <w:sz w:val="20"/>
          <w:szCs w:val="20"/>
        </w:rPr>
        <w:t xml:space="preserve"> </w:t>
      </w:r>
      <w:r w:rsidR="009B7459" w:rsidRPr="00435BE7">
        <w:rPr>
          <w:sz w:val="20"/>
          <w:szCs w:val="20"/>
        </w:rPr>
        <w:t>with other U</w:t>
      </w:r>
      <w:r>
        <w:rPr>
          <w:sz w:val="20"/>
          <w:szCs w:val="20"/>
        </w:rPr>
        <w:t xml:space="preserve">nited </w:t>
      </w:r>
      <w:r w:rsidR="009B7459" w:rsidRPr="00435BE7">
        <w:rPr>
          <w:sz w:val="20"/>
          <w:szCs w:val="20"/>
        </w:rPr>
        <w:t>N</w:t>
      </w:r>
      <w:r>
        <w:rPr>
          <w:sz w:val="20"/>
          <w:szCs w:val="20"/>
        </w:rPr>
        <w:t>ations</w:t>
      </w:r>
      <w:r w:rsidR="009B7459" w:rsidRPr="00435BE7">
        <w:rPr>
          <w:sz w:val="20"/>
          <w:szCs w:val="20"/>
        </w:rPr>
        <w:t xml:space="preserve"> actors including the Peacebuilding Fund (PBF), United Nations Volunteer (UNV) programme, the United Nations Entity for Gender Equality and the Empowerment of Women (UN</w:t>
      </w:r>
      <w:r>
        <w:rPr>
          <w:sz w:val="20"/>
          <w:szCs w:val="20"/>
        </w:rPr>
        <w:t xml:space="preserve"> </w:t>
      </w:r>
      <w:r w:rsidR="009B7459" w:rsidRPr="00435BE7">
        <w:rPr>
          <w:sz w:val="20"/>
          <w:szCs w:val="20"/>
        </w:rPr>
        <w:t xml:space="preserve">Women), </w:t>
      </w:r>
      <w:r>
        <w:rPr>
          <w:sz w:val="20"/>
          <w:szCs w:val="20"/>
        </w:rPr>
        <w:t xml:space="preserve">and </w:t>
      </w:r>
      <w:r w:rsidR="009B7459" w:rsidRPr="00435BE7">
        <w:rPr>
          <w:sz w:val="20"/>
          <w:szCs w:val="20"/>
        </w:rPr>
        <w:t xml:space="preserve">the Team of Experts on the Rule of Law and Sexual Violence in </w:t>
      </w:r>
      <w:r w:rsidR="009B7459">
        <w:rPr>
          <w:sz w:val="20"/>
          <w:szCs w:val="20"/>
        </w:rPr>
        <w:t>Conflict. UNDP will continue to engage</w:t>
      </w:r>
      <w:r w:rsidR="009B7459" w:rsidRPr="00435BE7">
        <w:rPr>
          <w:sz w:val="20"/>
          <w:szCs w:val="20"/>
        </w:rPr>
        <w:t xml:space="preserve"> </w:t>
      </w:r>
      <w:r w:rsidR="009B7459">
        <w:rPr>
          <w:sz w:val="20"/>
          <w:szCs w:val="20"/>
        </w:rPr>
        <w:t xml:space="preserve">with </w:t>
      </w:r>
      <w:r w:rsidR="00616B53" w:rsidRPr="00435BE7">
        <w:rPr>
          <w:sz w:val="20"/>
          <w:szCs w:val="20"/>
        </w:rPr>
        <w:t>multilateral institutions including the E</w:t>
      </w:r>
      <w:r>
        <w:rPr>
          <w:sz w:val="20"/>
          <w:szCs w:val="20"/>
        </w:rPr>
        <w:t xml:space="preserve">uropean </w:t>
      </w:r>
      <w:r w:rsidR="002350B9">
        <w:rPr>
          <w:sz w:val="20"/>
          <w:szCs w:val="20"/>
        </w:rPr>
        <w:t>U</w:t>
      </w:r>
      <w:r>
        <w:rPr>
          <w:sz w:val="20"/>
          <w:szCs w:val="20"/>
        </w:rPr>
        <w:t>nion</w:t>
      </w:r>
      <w:r w:rsidR="00616B53" w:rsidRPr="00435BE7">
        <w:rPr>
          <w:sz w:val="20"/>
          <w:szCs w:val="20"/>
        </w:rPr>
        <w:t xml:space="preserve">, </w:t>
      </w:r>
      <w:r w:rsidR="002350B9">
        <w:rPr>
          <w:sz w:val="20"/>
          <w:szCs w:val="20"/>
        </w:rPr>
        <w:t>W</w:t>
      </w:r>
      <w:r>
        <w:rPr>
          <w:sz w:val="20"/>
          <w:szCs w:val="20"/>
        </w:rPr>
        <w:t xml:space="preserve">orld </w:t>
      </w:r>
      <w:r w:rsidR="002350B9">
        <w:rPr>
          <w:sz w:val="20"/>
          <w:szCs w:val="20"/>
        </w:rPr>
        <w:t>B</w:t>
      </w:r>
      <w:r>
        <w:rPr>
          <w:sz w:val="20"/>
          <w:szCs w:val="20"/>
        </w:rPr>
        <w:t>an</w:t>
      </w:r>
      <w:r w:rsidR="00B306A6">
        <w:rPr>
          <w:sz w:val="20"/>
          <w:szCs w:val="20"/>
        </w:rPr>
        <w:t>k</w:t>
      </w:r>
      <w:r w:rsidR="004969CC">
        <w:rPr>
          <w:sz w:val="20"/>
          <w:szCs w:val="20"/>
        </w:rPr>
        <w:t xml:space="preserve">, </w:t>
      </w:r>
      <w:r w:rsidR="002350B9">
        <w:rPr>
          <w:sz w:val="20"/>
          <w:szCs w:val="20"/>
        </w:rPr>
        <w:t>African Union</w:t>
      </w:r>
      <w:r w:rsidR="002641B2">
        <w:rPr>
          <w:sz w:val="20"/>
          <w:szCs w:val="20"/>
        </w:rPr>
        <w:t>,</w:t>
      </w:r>
      <w:r w:rsidR="00616B53" w:rsidRPr="00435BE7">
        <w:rPr>
          <w:sz w:val="20"/>
          <w:szCs w:val="20"/>
        </w:rPr>
        <w:t xml:space="preserve"> </w:t>
      </w:r>
      <w:r w:rsidR="005E2AC3">
        <w:rPr>
          <w:sz w:val="20"/>
          <w:szCs w:val="20"/>
        </w:rPr>
        <w:t xml:space="preserve">and </w:t>
      </w:r>
      <w:r w:rsidR="00616B53" w:rsidRPr="00435BE7">
        <w:rPr>
          <w:sz w:val="20"/>
          <w:szCs w:val="20"/>
        </w:rPr>
        <w:t xml:space="preserve">bilateral actors such as the </w:t>
      </w:r>
      <w:r w:rsidR="002641B2">
        <w:rPr>
          <w:sz w:val="20"/>
          <w:szCs w:val="20"/>
        </w:rPr>
        <w:t xml:space="preserve">governments of the </w:t>
      </w:r>
      <w:r w:rsidR="00616B53" w:rsidRPr="00435BE7">
        <w:rPr>
          <w:sz w:val="20"/>
          <w:szCs w:val="20"/>
        </w:rPr>
        <w:t>United States</w:t>
      </w:r>
      <w:r w:rsidR="002641B2">
        <w:rPr>
          <w:sz w:val="20"/>
          <w:szCs w:val="20"/>
        </w:rPr>
        <w:t xml:space="preserve"> of America</w:t>
      </w:r>
      <w:r w:rsidR="00160305">
        <w:rPr>
          <w:sz w:val="20"/>
          <w:szCs w:val="20"/>
        </w:rPr>
        <w:t>, Netherlands, Denmark and France</w:t>
      </w:r>
      <w:r w:rsidR="00616B53" w:rsidRPr="00435BE7">
        <w:rPr>
          <w:sz w:val="20"/>
          <w:szCs w:val="20"/>
        </w:rPr>
        <w:t>.</w:t>
      </w:r>
    </w:p>
    <w:p w14:paraId="60B03EC9" w14:textId="77777777" w:rsidR="00784989" w:rsidRPr="006C6258" w:rsidRDefault="00C06354" w:rsidP="00CE68BD">
      <w:pPr>
        <w:pStyle w:val="ListParagraph"/>
        <w:tabs>
          <w:tab w:val="left" w:pos="1800"/>
        </w:tabs>
        <w:spacing w:after="120"/>
        <w:ind w:left="1440" w:right="1210"/>
        <w:contextualSpacing/>
        <w:jc w:val="both"/>
        <w:rPr>
          <w:b/>
          <w:sz w:val="20"/>
          <w:szCs w:val="20"/>
        </w:rPr>
      </w:pPr>
      <w:r w:rsidRPr="00E35863">
        <w:rPr>
          <w:b/>
          <w:sz w:val="20"/>
          <w:szCs w:val="20"/>
        </w:rPr>
        <w:t>S</w:t>
      </w:r>
      <w:r w:rsidR="00F84527" w:rsidRPr="006D0E74">
        <w:rPr>
          <w:b/>
          <w:sz w:val="20"/>
          <w:szCs w:val="20"/>
        </w:rPr>
        <w:t>tabilization</w:t>
      </w:r>
      <w:r w:rsidRPr="006D0E74">
        <w:rPr>
          <w:b/>
          <w:sz w:val="20"/>
          <w:szCs w:val="20"/>
        </w:rPr>
        <w:t>,</w:t>
      </w:r>
      <w:r w:rsidR="00F84527" w:rsidRPr="006D0E74">
        <w:rPr>
          <w:b/>
          <w:sz w:val="20"/>
          <w:szCs w:val="20"/>
        </w:rPr>
        <w:t xml:space="preserve"> recovery</w:t>
      </w:r>
      <w:r w:rsidRPr="006D0E74">
        <w:rPr>
          <w:b/>
          <w:sz w:val="20"/>
          <w:szCs w:val="20"/>
        </w:rPr>
        <w:t xml:space="preserve"> and </w:t>
      </w:r>
      <w:r w:rsidR="00BE6992" w:rsidRPr="006D0E74">
        <w:rPr>
          <w:b/>
          <w:sz w:val="20"/>
          <w:szCs w:val="20"/>
        </w:rPr>
        <w:t>resilience</w:t>
      </w:r>
      <w:r w:rsidR="008C02F3" w:rsidRPr="006D0E74">
        <w:rPr>
          <w:b/>
          <w:sz w:val="20"/>
          <w:szCs w:val="20"/>
        </w:rPr>
        <w:t>-</w:t>
      </w:r>
      <w:r w:rsidR="00BE6992" w:rsidRPr="00E35863">
        <w:rPr>
          <w:b/>
          <w:sz w:val="20"/>
          <w:szCs w:val="20"/>
        </w:rPr>
        <w:t>building</w:t>
      </w:r>
      <w:r w:rsidR="00BE6992">
        <w:rPr>
          <w:b/>
          <w:sz w:val="20"/>
          <w:szCs w:val="20"/>
        </w:rPr>
        <w:t xml:space="preserve"> </w:t>
      </w:r>
    </w:p>
    <w:p w14:paraId="64658EBE" w14:textId="77777777" w:rsidR="001100E1" w:rsidRPr="00CE68BD" w:rsidRDefault="001100E1" w:rsidP="00CE68BD">
      <w:pPr>
        <w:pStyle w:val="ListParagraph"/>
        <w:tabs>
          <w:tab w:val="left" w:pos="1800"/>
        </w:tabs>
        <w:ind w:left="1418" w:right="1210"/>
        <w:jc w:val="both"/>
        <w:rPr>
          <w:sz w:val="12"/>
          <w:szCs w:val="12"/>
        </w:rPr>
      </w:pPr>
    </w:p>
    <w:p w14:paraId="2721F42E" w14:textId="6FB931BC" w:rsidR="00784989" w:rsidRPr="00435BE7" w:rsidRDefault="00C40BFC"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Pr>
          <w:sz w:val="20"/>
          <w:szCs w:val="20"/>
        </w:rPr>
        <w:t>P</w:t>
      </w:r>
      <w:r w:rsidR="00ED4D89" w:rsidRPr="00435BE7">
        <w:rPr>
          <w:sz w:val="20"/>
          <w:szCs w:val="20"/>
        </w:rPr>
        <w:t xml:space="preserve">rospects for </w:t>
      </w:r>
      <w:r w:rsidR="00306018">
        <w:rPr>
          <w:sz w:val="20"/>
          <w:szCs w:val="20"/>
        </w:rPr>
        <w:t>stabilization and recovery</w:t>
      </w:r>
      <w:r w:rsidR="00ED4D89" w:rsidRPr="00435BE7">
        <w:rPr>
          <w:sz w:val="20"/>
          <w:szCs w:val="20"/>
        </w:rPr>
        <w:t xml:space="preserve"> </w:t>
      </w:r>
      <w:r w:rsidR="006E14CA">
        <w:rPr>
          <w:sz w:val="20"/>
          <w:szCs w:val="20"/>
        </w:rPr>
        <w:t>at the local level</w:t>
      </w:r>
      <w:r w:rsidR="00ED4D89" w:rsidRPr="00435BE7">
        <w:rPr>
          <w:sz w:val="20"/>
          <w:szCs w:val="20"/>
        </w:rPr>
        <w:t xml:space="preserve"> are inextricably linked to</w:t>
      </w:r>
      <w:r w:rsidR="00306018">
        <w:rPr>
          <w:sz w:val="20"/>
          <w:szCs w:val="20"/>
        </w:rPr>
        <w:t xml:space="preserve"> </w:t>
      </w:r>
      <w:r w:rsidR="00D17B82">
        <w:rPr>
          <w:sz w:val="20"/>
          <w:szCs w:val="20"/>
        </w:rPr>
        <w:t>resilience-</w:t>
      </w:r>
      <w:r w:rsidR="00306018">
        <w:rPr>
          <w:sz w:val="20"/>
          <w:szCs w:val="20"/>
        </w:rPr>
        <w:t>building</w:t>
      </w:r>
      <w:r w:rsidR="00210AC4">
        <w:rPr>
          <w:sz w:val="20"/>
          <w:szCs w:val="20"/>
        </w:rPr>
        <w:t xml:space="preserve">, </w:t>
      </w:r>
      <w:r w:rsidR="00ED4D89" w:rsidRPr="00435BE7">
        <w:rPr>
          <w:sz w:val="20"/>
          <w:szCs w:val="20"/>
        </w:rPr>
        <w:t>the promotion of green</w:t>
      </w:r>
      <w:r>
        <w:rPr>
          <w:sz w:val="20"/>
          <w:szCs w:val="20"/>
        </w:rPr>
        <w:t>-</w:t>
      </w:r>
      <w:r w:rsidR="00C06354">
        <w:rPr>
          <w:sz w:val="20"/>
          <w:szCs w:val="20"/>
        </w:rPr>
        <w:t>growth</w:t>
      </w:r>
      <w:r w:rsidR="00C06354" w:rsidRPr="00435BE7">
        <w:rPr>
          <w:sz w:val="20"/>
          <w:szCs w:val="20"/>
        </w:rPr>
        <w:t xml:space="preserve"> </w:t>
      </w:r>
      <w:r w:rsidR="00C06354">
        <w:rPr>
          <w:sz w:val="20"/>
          <w:szCs w:val="20"/>
        </w:rPr>
        <w:t>based</w:t>
      </w:r>
      <w:r w:rsidR="004319D8">
        <w:rPr>
          <w:sz w:val="20"/>
          <w:szCs w:val="20"/>
        </w:rPr>
        <w:t xml:space="preserve"> on</w:t>
      </w:r>
      <w:r w:rsidR="00F62513">
        <w:rPr>
          <w:sz w:val="20"/>
          <w:szCs w:val="20"/>
        </w:rPr>
        <w:t xml:space="preserve"> improving e</w:t>
      </w:r>
      <w:r w:rsidR="00160305">
        <w:rPr>
          <w:sz w:val="20"/>
          <w:szCs w:val="20"/>
        </w:rPr>
        <w:t>nergy efficiency</w:t>
      </w:r>
      <w:r>
        <w:rPr>
          <w:sz w:val="20"/>
          <w:szCs w:val="20"/>
        </w:rPr>
        <w:t>,</w:t>
      </w:r>
      <w:r w:rsidR="00160305">
        <w:rPr>
          <w:sz w:val="20"/>
          <w:szCs w:val="20"/>
        </w:rPr>
        <w:t xml:space="preserve"> and </w:t>
      </w:r>
      <w:r>
        <w:rPr>
          <w:sz w:val="20"/>
          <w:szCs w:val="20"/>
        </w:rPr>
        <w:t xml:space="preserve">the </w:t>
      </w:r>
      <w:r w:rsidR="00160305">
        <w:rPr>
          <w:sz w:val="20"/>
          <w:szCs w:val="20"/>
        </w:rPr>
        <w:t>sustainable and transparent</w:t>
      </w:r>
      <w:r w:rsidR="00F62513">
        <w:rPr>
          <w:sz w:val="20"/>
          <w:szCs w:val="20"/>
        </w:rPr>
        <w:t xml:space="preserve"> </w:t>
      </w:r>
      <w:r w:rsidR="00ED4D89" w:rsidRPr="00435BE7">
        <w:rPr>
          <w:sz w:val="20"/>
          <w:szCs w:val="20"/>
        </w:rPr>
        <w:t>management of</w:t>
      </w:r>
      <w:r w:rsidR="00F62513">
        <w:rPr>
          <w:sz w:val="20"/>
          <w:szCs w:val="20"/>
        </w:rPr>
        <w:t xml:space="preserve"> agricultural, </w:t>
      </w:r>
      <w:r w:rsidR="00ED4D89" w:rsidRPr="00435BE7">
        <w:rPr>
          <w:sz w:val="20"/>
          <w:szCs w:val="20"/>
        </w:rPr>
        <w:t xml:space="preserve">forest and mineral resources. </w:t>
      </w:r>
    </w:p>
    <w:p w14:paraId="5CA1446D" w14:textId="1C750D06" w:rsidR="00E3278D" w:rsidRPr="00435BE7" w:rsidRDefault="00C40BFC"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Pr>
          <w:sz w:val="20"/>
          <w:szCs w:val="20"/>
        </w:rPr>
        <w:t>Under this</w:t>
      </w:r>
      <w:r w:rsidRPr="00435BE7">
        <w:rPr>
          <w:sz w:val="20"/>
          <w:szCs w:val="20"/>
        </w:rPr>
        <w:t xml:space="preserve"> </w:t>
      </w:r>
      <w:r w:rsidR="00E3278D" w:rsidRPr="00435BE7">
        <w:rPr>
          <w:sz w:val="20"/>
          <w:szCs w:val="20"/>
        </w:rPr>
        <w:t xml:space="preserve">priority area </w:t>
      </w:r>
      <w:r>
        <w:rPr>
          <w:sz w:val="20"/>
          <w:szCs w:val="20"/>
        </w:rPr>
        <w:t>UNDP will</w:t>
      </w:r>
      <w:r w:rsidR="00E3278D" w:rsidRPr="00435BE7">
        <w:rPr>
          <w:sz w:val="20"/>
          <w:szCs w:val="20"/>
        </w:rPr>
        <w:t xml:space="preserve"> promote</w:t>
      </w:r>
      <w:r w:rsidR="00210AC4">
        <w:rPr>
          <w:sz w:val="20"/>
          <w:szCs w:val="20"/>
        </w:rPr>
        <w:t>:</w:t>
      </w:r>
      <w:r w:rsidR="00E3278D" w:rsidRPr="00435BE7">
        <w:rPr>
          <w:sz w:val="20"/>
          <w:szCs w:val="20"/>
        </w:rPr>
        <w:t xml:space="preserve"> sustainable</w:t>
      </w:r>
      <w:r>
        <w:rPr>
          <w:sz w:val="20"/>
          <w:szCs w:val="20"/>
        </w:rPr>
        <w:t xml:space="preserve"> and</w:t>
      </w:r>
      <w:r w:rsidR="00E3278D" w:rsidRPr="00435BE7">
        <w:rPr>
          <w:sz w:val="20"/>
          <w:szCs w:val="20"/>
        </w:rPr>
        <w:t xml:space="preserve"> inclusive economic growth</w:t>
      </w:r>
      <w:r>
        <w:rPr>
          <w:sz w:val="20"/>
          <w:szCs w:val="20"/>
        </w:rPr>
        <w:t>;</w:t>
      </w:r>
      <w:r w:rsidR="00E3278D" w:rsidRPr="00435BE7">
        <w:rPr>
          <w:sz w:val="20"/>
          <w:szCs w:val="20"/>
        </w:rPr>
        <w:t xml:space="preserve"> productive and decent work for all (SDG 8)</w:t>
      </w:r>
      <w:r>
        <w:rPr>
          <w:sz w:val="20"/>
          <w:szCs w:val="20"/>
        </w:rPr>
        <w:t>;</w:t>
      </w:r>
      <w:r w:rsidR="00E3278D" w:rsidRPr="00435BE7">
        <w:rPr>
          <w:sz w:val="20"/>
          <w:szCs w:val="20"/>
        </w:rPr>
        <w:t xml:space="preserve"> fight</w:t>
      </w:r>
      <w:r>
        <w:rPr>
          <w:sz w:val="20"/>
          <w:szCs w:val="20"/>
        </w:rPr>
        <w:t>ing</w:t>
      </w:r>
      <w:r w:rsidR="00E3278D" w:rsidRPr="00435BE7">
        <w:rPr>
          <w:sz w:val="20"/>
          <w:szCs w:val="20"/>
        </w:rPr>
        <w:t xml:space="preserve"> poverty </w:t>
      </w:r>
      <w:r w:rsidR="00F62513">
        <w:rPr>
          <w:sz w:val="20"/>
          <w:szCs w:val="20"/>
        </w:rPr>
        <w:t>(SDG 1)</w:t>
      </w:r>
      <w:r>
        <w:rPr>
          <w:sz w:val="20"/>
          <w:szCs w:val="20"/>
        </w:rPr>
        <w:t xml:space="preserve">; </w:t>
      </w:r>
      <w:r w:rsidR="00F62513">
        <w:rPr>
          <w:sz w:val="20"/>
          <w:szCs w:val="20"/>
        </w:rPr>
        <w:t>redu</w:t>
      </w:r>
      <w:r>
        <w:rPr>
          <w:sz w:val="20"/>
          <w:szCs w:val="20"/>
        </w:rPr>
        <w:t>c</w:t>
      </w:r>
      <w:r w:rsidR="00210AC4">
        <w:rPr>
          <w:sz w:val="20"/>
          <w:szCs w:val="20"/>
        </w:rPr>
        <w:t>ing</w:t>
      </w:r>
      <w:r>
        <w:rPr>
          <w:sz w:val="20"/>
          <w:szCs w:val="20"/>
        </w:rPr>
        <w:t xml:space="preserve"> </w:t>
      </w:r>
      <w:r w:rsidR="00F62513">
        <w:rPr>
          <w:sz w:val="20"/>
          <w:szCs w:val="20"/>
        </w:rPr>
        <w:t>inequalities (SDG</w:t>
      </w:r>
      <w:r w:rsidR="00E3278D" w:rsidRPr="00435BE7">
        <w:rPr>
          <w:sz w:val="20"/>
          <w:szCs w:val="20"/>
        </w:rPr>
        <w:t xml:space="preserve"> 10)</w:t>
      </w:r>
      <w:r>
        <w:rPr>
          <w:sz w:val="20"/>
          <w:szCs w:val="20"/>
        </w:rPr>
        <w:t>,</w:t>
      </w:r>
      <w:r w:rsidR="00E3278D" w:rsidRPr="00435BE7">
        <w:rPr>
          <w:sz w:val="20"/>
          <w:szCs w:val="20"/>
        </w:rPr>
        <w:t xml:space="preserve"> and</w:t>
      </w:r>
      <w:r>
        <w:rPr>
          <w:sz w:val="20"/>
          <w:szCs w:val="20"/>
        </w:rPr>
        <w:t xml:space="preserve"> the </w:t>
      </w:r>
      <w:r w:rsidR="00E3278D" w:rsidRPr="00435BE7">
        <w:rPr>
          <w:sz w:val="20"/>
          <w:szCs w:val="20"/>
        </w:rPr>
        <w:t>protect</w:t>
      </w:r>
      <w:r>
        <w:rPr>
          <w:sz w:val="20"/>
          <w:szCs w:val="20"/>
        </w:rPr>
        <w:t>ion</w:t>
      </w:r>
      <w:r w:rsidR="00E3278D" w:rsidRPr="00435BE7">
        <w:rPr>
          <w:sz w:val="20"/>
          <w:szCs w:val="20"/>
        </w:rPr>
        <w:t>, restor</w:t>
      </w:r>
      <w:r>
        <w:rPr>
          <w:sz w:val="20"/>
          <w:szCs w:val="20"/>
        </w:rPr>
        <w:t>ation</w:t>
      </w:r>
      <w:r w:rsidR="00E3278D" w:rsidRPr="00435BE7">
        <w:rPr>
          <w:sz w:val="20"/>
          <w:szCs w:val="20"/>
        </w:rPr>
        <w:t xml:space="preserve"> and promot</w:t>
      </w:r>
      <w:r>
        <w:rPr>
          <w:sz w:val="20"/>
          <w:szCs w:val="20"/>
        </w:rPr>
        <w:t>ion of</w:t>
      </w:r>
      <w:r w:rsidR="00E3278D" w:rsidRPr="00435BE7">
        <w:rPr>
          <w:sz w:val="20"/>
          <w:szCs w:val="20"/>
        </w:rPr>
        <w:t xml:space="preserve"> the management of terrestrial ecosystems (SDG 15)</w:t>
      </w:r>
      <w:r>
        <w:rPr>
          <w:sz w:val="20"/>
          <w:szCs w:val="20"/>
        </w:rPr>
        <w:t>.</w:t>
      </w:r>
      <w:r>
        <w:rPr>
          <w:rStyle w:val="FootnoteReference"/>
          <w:sz w:val="20"/>
          <w:szCs w:val="20"/>
        </w:rPr>
        <w:footnoteReference w:id="18"/>
      </w:r>
      <w:r>
        <w:rPr>
          <w:sz w:val="20"/>
          <w:szCs w:val="20"/>
        </w:rPr>
        <w:t xml:space="preserve"> C</w:t>
      </w:r>
      <w:r w:rsidR="00E3278D" w:rsidRPr="00435BE7">
        <w:rPr>
          <w:sz w:val="20"/>
          <w:szCs w:val="20"/>
        </w:rPr>
        <w:t>ombined</w:t>
      </w:r>
      <w:r>
        <w:rPr>
          <w:sz w:val="20"/>
          <w:szCs w:val="20"/>
        </w:rPr>
        <w:t xml:space="preserve">, these components </w:t>
      </w:r>
      <w:r w:rsidR="00E3278D" w:rsidRPr="00435BE7">
        <w:rPr>
          <w:sz w:val="20"/>
          <w:szCs w:val="20"/>
        </w:rPr>
        <w:t xml:space="preserve">correspond to </w:t>
      </w:r>
      <w:r>
        <w:rPr>
          <w:sz w:val="20"/>
          <w:szCs w:val="20"/>
        </w:rPr>
        <w:t>P</w:t>
      </w:r>
      <w:r w:rsidR="00E3278D" w:rsidRPr="00435BE7">
        <w:rPr>
          <w:sz w:val="20"/>
          <w:szCs w:val="20"/>
        </w:rPr>
        <w:t>illar 3 of the national recovery and peace</w:t>
      </w:r>
      <w:r w:rsidR="00D17B82">
        <w:rPr>
          <w:sz w:val="20"/>
          <w:szCs w:val="20"/>
        </w:rPr>
        <w:t>building</w:t>
      </w:r>
      <w:r w:rsidR="00E3278D" w:rsidRPr="00435BE7">
        <w:rPr>
          <w:sz w:val="20"/>
          <w:szCs w:val="20"/>
        </w:rPr>
        <w:t xml:space="preserve"> plan on economic recovery and the revitalization of productive sectors.</w:t>
      </w:r>
    </w:p>
    <w:p w14:paraId="31CB00E2" w14:textId="0F2D9778" w:rsidR="00E3278D" w:rsidRPr="00435BE7" w:rsidRDefault="006C786D"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Pr>
          <w:sz w:val="20"/>
          <w:szCs w:val="20"/>
        </w:rPr>
        <w:t>To achieve this</w:t>
      </w:r>
      <w:r w:rsidRPr="00435BE7">
        <w:rPr>
          <w:sz w:val="20"/>
          <w:szCs w:val="20"/>
        </w:rPr>
        <w:t xml:space="preserve"> objective </w:t>
      </w:r>
      <w:r>
        <w:rPr>
          <w:sz w:val="20"/>
          <w:szCs w:val="20"/>
        </w:rPr>
        <w:t xml:space="preserve">UNDP will </w:t>
      </w:r>
      <w:r w:rsidRPr="00435BE7">
        <w:rPr>
          <w:sz w:val="20"/>
          <w:szCs w:val="20"/>
        </w:rPr>
        <w:t>support</w:t>
      </w:r>
      <w:r>
        <w:rPr>
          <w:sz w:val="20"/>
          <w:szCs w:val="20"/>
        </w:rPr>
        <w:t xml:space="preserve"> the</w:t>
      </w:r>
      <w:r w:rsidRPr="00435BE7">
        <w:rPr>
          <w:sz w:val="20"/>
          <w:szCs w:val="20"/>
        </w:rPr>
        <w:t xml:space="preserve">: </w:t>
      </w:r>
      <w:r>
        <w:rPr>
          <w:sz w:val="20"/>
          <w:szCs w:val="20"/>
        </w:rPr>
        <w:t xml:space="preserve">(i) promotion of green growth through agriculture, forestry, mining and energy, (ii) sustainable and transparent </w:t>
      </w:r>
      <w:r w:rsidRPr="00435BE7">
        <w:rPr>
          <w:sz w:val="20"/>
          <w:szCs w:val="20"/>
        </w:rPr>
        <w:t xml:space="preserve">management of </w:t>
      </w:r>
      <w:r>
        <w:rPr>
          <w:sz w:val="20"/>
          <w:szCs w:val="20"/>
        </w:rPr>
        <w:t xml:space="preserve">the extractive industries, and </w:t>
      </w:r>
      <w:r w:rsidRPr="00435BE7">
        <w:rPr>
          <w:sz w:val="20"/>
          <w:szCs w:val="20"/>
        </w:rPr>
        <w:t>(</w:t>
      </w:r>
      <w:r>
        <w:rPr>
          <w:sz w:val="20"/>
          <w:szCs w:val="20"/>
        </w:rPr>
        <w:t>ii</w:t>
      </w:r>
      <w:r w:rsidRPr="00435BE7">
        <w:rPr>
          <w:sz w:val="20"/>
          <w:szCs w:val="20"/>
        </w:rPr>
        <w:t>i) resilience-building, rehabilitation a</w:t>
      </w:r>
      <w:r>
        <w:rPr>
          <w:sz w:val="20"/>
          <w:szCs w:val="20"/>
        </w:rPr>
        <w:t>nd stabilization of communities through livelihoods and employment generation.</w:t>
      </w:r>
      <w:r w:rsidRPr="00435BE7">
        <w:rPr>
          <w:sz w:val="20"/>
          <w:szCs w:val="20"/>
        </w:rPr>
        <w:t xml:space="preserve"> </w:t>
      </w:r>
    </w:p>
    <w:p w14:paraId="53EDBE89" w14:textId="3CB3A509" w:rsidR="004F4EB1" w:rsidRPr="00EF4ADB" w:rsidRDefault="002A39B6"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Pr>
          <w:sz w:val="20"/>
          <w:szCs w:val="20"/>
        </w:rPr>
        <w:t>To</w:t>
      </w:r>
      <w:r w:rsidR="004F4EB1" w:rsidRPr="00435BE7">
        <w:rPr>
          <w:sz w:val="20"/>
          <w:szCs w:val="20"/>
        </w:rPr>
        <w:t xml:space="preserve"> promot</w:t>
      </w:r>
      <w:r>
        <w:rPr>
          <w:sz w:val="20"/>
          <w:szCs w:val="20"/>
        </w:rPr>
        <w:t>e</w:t>
      </w:r>
      <w:r w:rsidR="004F4EB1" w:rsidRPr="00435BE7">
        <w:rPr>
          <w:sz w:val="20"/>
          <w:szCs w:val="20"/>
        </w:rPr>
        <w:t xml:space="preserve"> a green economy UNDP</w:t>
      </w:r>
      <w:r w:rsidR="00210AC4">
        <w:rPr>
          <w:sz w:val="20"/>
          <w:szCs w:val="20"/>
        </w:rPr>
        <w:t>,</w:t>
      </w:r>
      <w:r w:rsidR="00705FEA">
        <w:rPr>
          <w:sz w:val="20"/>
          <w:szCs w:val="20"/>
        </w:rPr>
        <w:t xml:space="preserve"> with support from</w:t>
      </w:r>
      <w:r w:rsidR="004F4EB1" w:rsidRPr="00435BE7">
        <w:rPr>
          <w:sz w:val="20"/>
          <w:szCs w:val="20"/>
        </w:rPr>
        <w:t xml:space="preserve"> </w:t>
      </w:r>
      <w:r>
        <w:rPr>
          <w:sz w:val="20"/>
          <w:szCs w:val="20"/>
        </w:rPr>
        <w:t>the</w:t>
      </w:r>
      <w:r w:rsidR="004F4EB1" w:rsidRPr="00435BE7">
        <w:rPr>
          <w:sz w:val="20"/>
          <w:szCs w:val="20"/>
        </w:rPr>
        <w:t xml:space="preserve"> Global Environment Facility (GEF) and the Green Climate Fund (GCF)</w:t>
      </w:r>
      <w:r w:rsidR="00210AC4">
        <w:rPr>
          <w:sz w:val="20"/>
          <w:szCs w:val="20"/>
        </w:rPr>
        <w:t>,</w:t>
      </w:r>
      <w:r w:rsidR="004F4EB1" w:rsidRPr="00435BE7">
        <w:rPr>
          <w:sz w:val="20"/>
          <w:szCs w:val="20"/>
        </w:rPr>
        <w:t xml:space="preserve"> will </w:t>
      </w:r>
      <w:r>
        <w:rPr>
          <w:sz w:val="20"/>
          <w:szCs w:val="20"/>
        </w:rPr>
        <w:t>help integrate</w:t>
      </w:r>
      <w:r w:rsidR="004F4EB1" w:rsidRPr="00435BE7">
        <w:rPr>
          <w:sz w:val="20"/>
          <w:szCs w:val="20"/>
        </w:rPr>
        <w:t xml:space="preserve"> environmental issues into </w:t>
      </w:r>
      <w:r>
        <w:rPr>
          <w:sz w:val="20"/>
          <w:szCs w:val="20"/>
        </w:rPr>
        <w:t>g</w:t>
      </w:r>
      <w:r w:rsidR="004F4EB1" w:rsidRPr="00435BE7">
        <w:rPr>
          <w:sz w:val="20"/>
          <w:szCs w:val="20"/>
        </w:rPr>
        <w:t xml:space="preserve">overnment sectoral debates and policies, </w:t>
      </w:r>
      <w:r>
        <w:rPr>
          <w:sz w:val="20"/>
          <w:szCs w:val="20"/>
        </w:rPr>
        <w:t>as well as</w:t>
      </w:r>
      <w:r w:rsidRPr="00435BE7">
        <w:rPr>
          <w:sz w:val="20"/>
          <w:szCs w:val="20"/>
        </w:rPr>
        <w:t xml:space="preserve"> </w:t>
      </w:r>
      <w:r w:rsidR="004F4EB1" w:rsidRPr="00435BE7">
        <w:rPr>
          <w:sz w:val="20"/>
          <w:szCs w:val="20"/>
        </w:rPr>
        <w:t>the strategies of public and private institutions</w:t>
      </w:r>
      <w:r>
        <w:rPr>
          <w:sz w:val="20"/>
          <w:szCs w:val="20"/>
        </w:rPr>
        <w:t xml:space="preserve">. In addition, UNDP will </w:t>
      </w:r>
      <w:r w:rsidR="004F4EB1" w:rsidRPr="00435BE7">
        <w:rPr>
          <w:sz w:val="20"/>
          <w:szCs w:val="20"/>
        </w:rPr>
        <w:t xml:space="preserve">support the establishment of green economies at the local level through the sustainable management of ecosystems, including </w:t>
      </w:r>
      <w:r w:rsidR="004F4EB1">
        <w:rPr>
          <w:sz w:val="20"/>
          <w:szCs w:val="20"/>
        </w:rPr>
        <w:t>forests</w:t>
      </w:r>
      <w:r>
        <w:rPr>
          <w:sz w:val="20"/>
          <w:szCs w:val="20"/>
        </w:rPr>
        <w:t>, and provide technical expertise</w:t>
      </w:r>
      <w:r w:rsidR="004F4EB1">
        <w:rPr>
          <w:sz w:val="20"/>
          <w:szCs w:val="20"/>
        </w:rPr>
        <w:t xml:space="preserve"> </w:t>
      </w:r>
      <w:r>
        <w:rPr>
          <w:sz w:val="20"/>
          <w:szCs w:val="20"/>
        </w:rPr>
        <w:t>on ways to</w:t>
      </w:r>
      <w:r w:rsidR="00EF4ADB">
        <w:rPr>
          <w:sz w:val="20"/>
          <w:szCs w:val="20"/>
        </w:rPr>
        <w:t xml:space="preserve"> protect, restore and promote the sustainable use of territorial ecosystems</w:t>
      </w:r>
      <w:r>
        <w:rPr>
          <w:sz w:val="20"/>
          <w:szCs w:val="20"/>
        </w:rPr>
        <w:t xml:space="preserve">. The latter will include methods to </w:t>
      </w:r>
      <w:r w:rsidR="00EF4ADB">
        <w:rPr>
          <w:sz w:val="20"/>
          <w:szCs w:val="20"/>
        </w:rPr>
        <w:t>sustainably manage forests</w:t>
      </w:r>
      <w:r>
        <w:rPr>
          <w:sz w:val="20"/>
          <w:szCs w:val="20"/>
        </w:rPr>
        <w:t xml:space="preserve">, </w:t>
      </w:r>
      <w:r w:rsidR="00EF4ADB">
        <w:rPr>
          <w:sz w:val="20"/>
          <w:szCs w:val="20"/>
        </w:rPr>
        <w:t xml:space="preserve">halt </w:t>
      </w:r>
      <w:r w:rsidR="00EF4ADB">
        <w:rPr>
          <w:sz w:val="20"/>
          <w:szCs w:val="20"/>
        </w:rPr>
        <w:lastRenderedPageBreak/>
        <w:t xml:space="preserve">the loss of biodiversity, </w:t>
      </w:r>
      <w:r>
        <w:rPr>
          <w:sz w:val="20"/>
          <w:szCs w:val="20"/>
        </w:rPr>
        <w:t>and create</w:t>
      </w:r>
      <w:r w:rsidR="00EF4ADB">
        <w:rPr>
          <w:sz w:val="20"/>
          <w:szCs w:val="20"/>
        </w:rPr>
        <w:t xml:space="preserve"> sustainable livelihood opportunities</w:t>
      </w:r>
      <w:r w:rsidR="00306018">
        <w:rPr>
          <w:sz w:val="20"/>
          <w:szCs w:val="20"/>
        </w:rPr>
        <w:t xml:space="preserve"> for the most vulnerable</w:t>
      </w:r>
      <w:r>
        <w:rPr>
          <w:sz w:val="20"/>
          <w:szCs w:val="20"/>
        </w:rPr>
        <w:t xml:space="preserve"> citizens</w:t>
      </w:r>
      <w:r w:rsidR="00EF4ADB">
        <w:rPr>
          <w:sz w:val="20"/>
          <w:szCs w:val="20"/>
        </w:rPr>
        <w:t xml:space="preserve">. </w:t>
      </w:r>
    </w:p>
    <w:p w14:paraId="62B35ED7" w14:textId="52CF2B60" w:rsidR="00EF4ADB" w:rsidRPr="00EF4ADB" w:rsidRDefault="00470E0E"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Pr>
          <w:sz w:val="20"/>
          <w:szCs w:val="20"/>
        </w:rPr>
        <w:t>To improve</w:t>
      </w:r>
      <w:r w:rsidRPr="00435BE7">
        <w:rPr>
          <w:sz w:val="20"/>
          <w:szCs w:val="20"/>
        </w:rPr>
        <w:t xml:space="preserve"> </w:t>
      </w:r>
      <w:r w:rsidR="00EF4ADB" w:rsidRPr="00435BE7">
        <w:rPr>
          <w:sz w:val="20"/>
          <w:szCs w:val="20"/>
        </w:rPr>
        <w:t>management of natural resourc</w:t>
      </w:r>
      <w:r w:rsidR="00D57402">
        <w:rPr>
          <w:sz w:val="20"/>
          <w:szCs w:val="20"/>
        </w:rPr>
        <w:t xml:space="preserve">es </w:t>
      </w:r>
      <w:r>
        <w:rPr>
          <w:sz w:val="20"/>
          <w:szCs w:val="20"/>
        </w:rPr>
        <w:t xml:space="preserve">in </w:t>
      </w:r>
      <w:r w:rsidR="00D57402">
        <w:rPr>
          <w:sz w:val="20"/>
          <w:szCs w:val="20"/>
        </w:rPr>
        <w:t>the extractive sector</w:t>
      </w:r>
      <w:r w:rsidR="00EF4ADB" w:rsidRPr="00435BE7">
        <w:rPr>
          <w:sz w:val="20"/>
          <w:szCs w:val="20"/>
        </w:rPr>
        <w:t>, UNDP</w:t>
      </w:r>
      <w:r w:rsidR="00D57402">
        <w:rPr>
          <w:sz w:val="20"/>
          <w:szCs w:val="20"/>
        </w:rPr>
        <w:t xml:space="preserve"> will work with the Ministry of Environment</w:t>
      </w:r>
      <w:r>
        <w:rPr>
          <w:sz w:val="20"/>
          <w:szCs w:val="20"/>
        </w:rPr>
        <w:t>;</w:t>
      </w:r>
      <w:r w:rsidR="005E2AC3">
        <w:rPr>
          <w:sz w:val="20"/>
          <w:szCs w:val="20"/>
        </w:rPr>
        <w:t xml:space="preserve"> Ministry of Mines</w:t>
      </w:r>
      <w:r>
        <w:rPr>
          <w:sz w:val="20"/>
          <w:szCs w:val="20"/>
        </w:rPr>
        <w:t>;</w:t>
      </w:r>
      <w:r w:rsidR="005E2AC3">
        <w:rPr>
          <w:sz w:val="20"/>
          <w:szCs w:val="20"/>
        </w:rPr>
        <w:t xml:space="preserve"> Ministry of Finance</w:t>
      </w:r>
      <w:r>
        <w:rPr>
          <w:sz w:val="20"/>
          <w:szCs w:val="20"/>
        </w:rPr>
        <w:t>;</w:t>
      </w:r>
      <w:r w:rsidR="00D57402">
        <w:rPr>
          <w:sz w:val="20"/>
          <w:szCs w:val="20"/>
        </w:rPr>
        <w:t xml:space="preserve"> High Authority on Good Governance</w:t>
      </w:r>
      <w:r>
        <w:rPr>
          <w:sz w:val="20"/>
          <w:szCs w:val="20"/>
        </w:rPr>
        <w:t>,</w:t>
      </w:r>
      <w:r w:rsidR="00306018">
        <w:rPr>
          <w:sz w:val="20"/>
          <w:szCs w:val="20"/>
        </w:rPr>
        <w:t xml:space="preserve"> and the National Committee on the Fight </w:t>
      </w:r>
      <w:r w:rsidR="00210AC4">
        <w:rPr>
          <w:sz w:val="20"/>
          <w:szCs w:val="20"/>
        </w:rPr>
        <w:t>A</w:t>
      </w:r>
      <w:r w:rsidR="00306018">
        <w:rPr>
          <w:sz w:val="20"/>
          <w:szCs w:val="20"/>
        </w:rPr>
        <w:t>gainst Corruption</w:t>
      </w:r>
      <w:r w:rsidR="00EF4ADB" w:rsidRPr="00435BE7">
        <w:rPr>
          <w:sz w:val="20"/>
          <w:szCs w:val="20"/>
        </w:rPr>
        <w:t xml:space="preserve"> to improve the governance and sustainable</w:t>
      </w:r>
      <w:r w:rsidR="007E64FC">
        <w:rPr>
          <w:sz w:val="20"/>
          <w:szCs w:val="20"/>
        </w:rPr>
        <w:t xml:space="preserve"> management of forest and mineral</w:t>
      </w:r>
      <w:r w:rsidR="00EF4ADB" w:rsidRPr="00435BE7">
        <w:rPr>
          <w:sz w:val="20"/>
          <w:szCs w:val="20"/>
        </w:rPr>
        <w:t xml:space="preserve"> resources </w:t>
      </w:r>
      <w:r>
        <w:rPr>
          <w:sz w:val="20"/>
          <w:szCs w:val="20"/>
        </w:rPr>
        <w:t>by</w:t>
      </w:r>
      <w:r w:rsidR="00EF4ADB" w:rsidRPr="00435BE7">
        <w:rPr>
          <w:sz w:val="20"/>
          <w:szCs w:val="20"/>
        </w:rPr>
        <w:t xml:space="preserve"> increasing transparency</w:t>
      </w:r>
      <w:r>
        <w:rPr>
          <w:sz w:val="20"/>
          <w:szCs w:val="20"/>
        </w:rPr>
        <w:t xml:space="preserve">, </w:t>
      </w:r>
      <w:r w:rsidR="007E64FC">
        <w:rPr>
          <w:sz w:val="20"/>
          <w:szCs w:val="20"/>
        </w:rPr>
        <w:t>reducing corr</w:t>
      </w:r>
      <w:r w:rsidR="00D25051">
        <w:rPr>
          <w:sz w:val="20"/>
          <w:szCs w:val="20"/>
        </w:rPr>
        <w:t>upt</w:t>
      </w:r>
      <w:r w:rsidR="007E64FC">
        <w:rPr>
          <w:sz w:val="20"/>
          <w:szCs w:val="20"/>
        </w:rPr>
        <w:t>ion</w:t>
      </w:r>
      <w:r w:rsidR="00EF4ADB" w:rsidRPr="00435BE7">
        <w:rPr>
          <w:sz w:val="20"/>
          <w:szCs w:val="20"/>
        </w:rPr>
        <w:t xml:space="preserve"> in each sector, </w:t>
      </w:r>
      <w:r>
        <w:rPr>
          <w:sz w:val="20"/>
          <w:szCs w:val="20"/>
        </w:rPr>
        <w:t>and</w:t>
      </w:r>
      <w:r w:rsidR="00EF4ADB" w:rsidRPr="00435BE7">
        <w:rPr>
          <w:sz w:val="20"/>
          <w:szCs w:val="20"/>
        </w:rPr>
        <w:t xml:space="preserve"> increasing state revenues</w:t>
      </w:r>
      <w:r w:rsidR="00D57402">
        <w:rPr>
          <w:sz w:val="20"/>
          <w:szCs w:val="20"/>
        </w:rPr>
        <w:t xml:space="preserve">. These efforts </w:t>
      </w:r>
      <w:r>
        <w:rPr>
          <w:sz w:val="20"/>
          <w:szCs w:val="20"/>
        </w:rPr>
        <w:t>are linked</w:t>
      </w:r>
      <w:r w:rsidR="00EF4ADB" w:rsidRPr="00435BE7">
        <w:rPr>
          <w:sz w:val="20"/>
          <w:szCs w:val="20"/>
        </w:rPr>
        <w:t xml:space="preserve"> to </w:t>
      </w:r>
      <w:r>
        <w:rPr>
          <w:sz w:val="20"/>
          <w:szCs w:val="20"/>
        </w:rPr>
        <w:t xml:space="preserve">national plan </w:t>
      </w:r>
      <w:r w:rsidR="00EF4ADB" w:rsidRPr="00435BE7">
        <w:rPr>
          <w:sz w:val="20"/>
          <w:szCs w:val="20"/>
        </w:rPr>
        <w:t xml:space="preserve">objectives </w:t>
      </w:r>
      <w:r>
        <w:rPr>
          <w:sz w:val="20"/>
          <w:szCs w:val="20"/>
        </w:rPr>
        <w:t>on</w:t>
      </w:r>
      <w:r w:rsidRPr="00435BE7">
        <w:rPr>
          <w:sz w:val="20"/>
          <w:szCs w:val="20"/>
        </w:rPr>
        <w:t xml:space="preserve"> </w:t>
      </w:r>
      <w:r w:rsidR="00EF4ADB" w:rsidRPr="00435BE7">
        <w:rPr>
          <w:sz w:val="20"/>
          <w:szCs w:val="20"/>
        </w:rPr>
        <w:t>transparency in public affairs and anti-corruption measures</w:t>
      </w:r>
      <w:r w:rsidR="00584D2F">
        <w:rPr>
          <w:sz w:val="20"/>
          <w:szCs w:val="20"/>
        </w:rPr>
        <w:t>, and</w:t>
      </w:r>
      <w:r w:rsidR="00705FEA">
        <w:rPr>
          <w:sz w:val="20"/>
          <w:szCs w:val="20"/>
        </w:rPr>
        <w:t xml:space="preserve"> </w:t>
      </w:r>
      <w:r w:rsidR="00584D2F">
        <w:rPr>
          <w:sz w:val="20"/>
          <w:szCs w:val="20"/>
        </w:rPr>
        <w:t xml:space="preserve">draw </w:t>
      </w:r>
      <w:r w:rsidR="00705FEA">
        <w:rPr>
          <w:sz w:val="20"/>
          <w:szCs w:val="20"/>
        </w:rPr>
        <w:t xml:space="preserve">lessons from </w:t>
      </w:r>
      <w:r w:rsidR="00584D2F">
        <w:rPr>
          <w:sz w:val="20"/>
          <w:szCs w:val="20"/>
        </w:rPr>
        <w:t>the</w:t>
      </w:r>
      <w:r w:rsidR="00705FEA">
        <w:rPr>
          <w:sz w:val="20"/>
          <w:szCs w:val="20"/>
        </w:rPr>
        <w:t xml:space="preserve"> anarchic and opaque exploitation of forest and mineral resources</w:t>
      </w:r>
      <w:r w:rsidR="00584D2F">
        <w:rPr>
          <w:sz w:val="20"/>
          <w:szCs w:val="20"/>
        </w:rPr>
        <w:t>, which are</w:t>
      </w:r>
      <w:r w:rsidR="00705FEA">
        <w:rPr>
          <w:sz w:val="20"/>
          <w:szCs w:val="20"/>
        </w:rPr>
        <w:t xml:space="preserve"> drivers of conflict</w:t>
      </w:r>
      <w:r w:rsidR="00EF4ADB" w:rsidRPr="00435BE7">
        <w:rPr>
          <w:sz w:val="20"/>
          <w:szCs w:val="20"/>
        </w:rPr>
        <w:t>.</w:t>
      </w:r>
      <w:r w:rsidR="00EF4ADB">
        <w:rPr>
          <w:sz w:val="20"/>
          <w:szCs w:val="20"/>
        </w:rPr>
        <w:t xml:space="preserve"> </w:t>
      </w:r>
    </w:p>
    <w:p w14:paraId="164A4C7A" w14:textId="70BFEB4C" w:rsidR="00616B53" w:rsidRPr="00435BE7" w:rsidRDefault="006C786D"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Pr>
          <w:sz w:val="20"/>
          <w:szCs w:val="20"/>
        </w:rPr>
        <w:t>Building on resilience, recovery and stabilization efforts within the ongoing humanitarian response,</w:t>
      </w:r>
      <w:r w:rsidRPr="00435BE7">
        <w:rPr>
          <w:sz w:val="20"/>
          <w:szCs w:val="20"/>
        </w:rPr>
        <w:t xml:space="preserve"> UNDP </w:t>
      </w:r>
      <w:r w:rsidR="00705FEA">
        <w:rPr>
          <w:sz w:val="20"/>
          <w:szCs w:val="20"/>
        </w:rPr>
        <w:t>will work</w:t>
      </w:r>
      <w:r>
        <w:rPr>
          <w:sz w:val="20"/>
          <w:szCs w:val="20"/>
        </w:rPr>
        <w:t xml:space="preserve"> with other</w:t>
      </w:r>
      <w:r w:rsidRPr="00435BE7">
        <w:rPr>
          <w:sz w:val="20"/>
          <w:szCs w:val="20"/>
        </w:rPr>
        <w:t xml:space="preserve"> </w:t>
      </w:r>
      <w:r>
        <w:rPr>
          <w:sz w:val="20"/>
          <w:szCs w:val="20"/>
        </w:rPr>
        <w:t>United Nations organizations</w:t>
      </w:r>
      <w:r w:rsidRPr="00435BE7">
        <w:rPr>
          <w:sz w:val="20"/>
          <w:szCs w:val="20"/>
        </w:rPr>
        <w:t xml:space="preserve"> to rehabilitate the socio-economic infrastructure of communities hosting displaced persons, </w:t>
      </w:r>
      <w:r w:rsidR="00D84C2E">
        <w:rPr>
          <w:sz w:val="20"/>
          <w:szCs w:val="20"/>
        </w:rPr>
        <w:t>returnees</w:t>
      </w:r>
      <w:r>
        <w:rPr>
          <w:sz w:val="20"/>
          <w:szCs w:val="20"/>
        </w:rPr>
        <w:t>,</w:t>
      </w:r>
      <w:r w:rsidRPr="00435BE7">
        <w:rPr>
          <w:sz w:val="20"/>
          <w:szCs w:val="20"/>
        </w:rPr>
        <w:t xml:space="preserve"> ex-combatants and youth-at-risk</w:t>
      </w:r>
      <w:r>
        <w:rPr>
          <w:sz w:val="20"/>
          <w:szCs w:val="20"/>
        </w:rPr>
        <w:t xml:space="preserve">. </w:t>
      </w:r>
      <w:r w:rsidR="00470E0E">
        <w:rPr>
          <w:sz w:val="20"/>
          <w:szCs w:val="20"/>
        </w:rPr>
        <w:t>This collaboration will</w:t>
      </w:r>
      <w:r w:rsidR="00705FEA">
        <w:rPr>
          <w:sz w:val="20"/>
          <w:szCs w:val="20"/>
        </w:rPr>
        <w:t xml:space="preserve"> </w:t>
      </w:r>
      <w:r w:rsidR="00470E0E">
        <w:rPr>
          <w:sz w:val="20"/>
          <w:szCs w:val="20"/>
        </w:rPr>
        <w:t>i</w:t>
      </w:r>
      <w:r w:rsidR="00616B53" w:rsidRPr="00435BE7">
        <w:rPr>
          <w:sz w:val="20"/>
          <w:szCs w:val="20"/>
        </w:rPr>
        <w:t xml:space="preserve">ncrease access </w:t>
      </w:r>
      <w:r w:rsidR="00470E0E">
        <w:rPr>
          <w:sz w:val="20"/>
          <w:szCs w:val="20"/>
        </w:rPr>
        <w:t xml:space="preserve">to temporary and </w:t>
      </w:r>
      <w:r w:rsidR="00317663">
        <w:rPr>
          <w:sz w:val="20"/>
          <w:szCs w:val="20"/>
        </w:rPr>
        <w:t>long</w:t>
      </w:r>
      <w:r w:rsidR="00703E3B">
        <w:rPr>
          <w:sz w:val="20"/>
          <w:szCs w:val="20"/>
        </w:rPr>
        <w:t>er</w:t>
      </w:r>
      <w:r w:rsidR="00317663">
        <w:rPr>
          <w:sz w:val="20"/>
          <w:szCs w:val="20"/>
        </w:rPr>
        <w:t xml:space="preserve"> term </w:t>
      </w:r>
      <w:r w:rsidR="00BA716C" w:rsidRPr="00435BE7">
        <w:rPr>
          <w:sz w:val="20"/>
          <w:szCs w:val="20"/>
        </w:rPr>
        <w:t>employment opportunities</w:t>
      </w:r>
      <w:r w:rsidR="00470E0E">
        <w:rPr>
          <w:sz w:val="20"/>
          <w:szCs w:val="20"/>
        </w:rPr>
        <w:t xml:space="preserve"> for women and youth</w:t>
      </w:r>
      <w:r w:rsidR="00EF4ADB">
        <w:rPr>
          <w:sz w:val="20"/>
          <w:szCs w:val="20"/>
        </w:rPr>
        <w:t xml:space="preserve"> </w:t>
      </w:r>
      <w:r w:rsidR="00470E0E">
        <w:rPr>
          <w:sz w:val="20"/>
          <w:szCs w:val="20"/>
        </w:rPr>
        <w:t>(</w:t>
      </w:r>
      <w:r w:rsidR="00EF4ADB">
        <w:rPr>
          <w:sz w:val="20"/>
          <w:szCs w:val="20"/>
        </w:rPr>
        <w:t>inc</w:t>
      </w:r>
      <w:r w:rsidR="00D57402">
        <w:rPr>
          <w:sz w:val="20"/>
          <w:szCs w:val="20"/>
        </w:rPr>
        <w:t xml:space="preserve">luding </w:t>
      </w:r>
      <w:r w:rsidR="00470E0E">
        <w:rPr>
          <w:sz w:val="20"/>
          <w:szCs w:val="20"/>
        </w:rPr>
        <w:t xml:space="preserve">the </w:t>
      </w:r>
      <w:r w:rsidR="00D57402">
        <w:rPr>
          <w:sz w:val="20"/>
          <w:szCs w:val="20"/>
        </w:rPr>
        <w:t>agro-forestry</w:t>
      </w:r>
      <w:r w:rsidR="00470E0E">
        <w:rPr>
          <w:sz w:val="20"/>
          <w:szCs w:val="20"/>
        </w:rPr>
        <w:t xml:space="preserve"> sector),</w:t>
      </w:r>
      <w:r w:rsidR="00BA716C" w:rsidRPr="00435BE7">
        <w:rPr>
          <w:sz w:val="20"/>
          <w:szCs w:val="20"/>
        </w:rPr>
        <w:t xml:space="preserve"> and </w:t>
      </w:r>
      <w:r w:rsidR="00361209">
        <w:rPr>
          <w:sz w:val="20"/>
          <w:szCs w:val="20"/>
        </w:rPr>
        <w:t xml:space="preserve">further develop </w:t>
      </w:r>
      <w:r w:rsidR="00B5202E">
        <w:rPr>
          <w:sz w:val="20"/>
          <w:szCs w:val="20"/>
        </w:rPr>
        <w:t xml:space="preserve">social protection </w:t>
      </w:r>
      <w:r w:rsidR="00361209">
        <w:rPr>
          <w:sz w:val="20"/>
          <w:szCs w:val="20"/>
        </w:rPr>
        <w:t>programmes that</w:t>
      </w:r>
      <w:r w:rsidR="00470E0E">
        <w:rPr>
          <w:sz w:val="20"/>
          <w:szCs w:val="20"/>
        </w:rPr>
        <w:t xml:space="preserve"> </w:t>
      </w:r>
      <w:r w:rsidR="00BA716C" w:rsidRPr="00435BE7">
        <w:rPr>
          <w:sz w:val="20"/>
          <w:szCs w:val="20"/>
        </w:rPr>
        <w:t>strengthen communit</w:t>
      </w:r>
      <w:r w:rsidR="00470E0E">
        <w:rPr>
          <w:sz w:val="20"/>
          <w:szCs w:val="20"/>
        </w:rPr>
        <w:t>y</w:t>
      </w:r>
      <w:r w:rsidR="00BA716C" w:rsidRPr="00435BE7">
        <w:rPr>
          <w:sz w:val="20"/>
          <w:szCs w:val="20"/>
        </w:rPr>
        <w:t xml:space="preserve"> resilience </w:t>
      </w:r>
      <w:r w:rsidR="00470E0E">
        <w:rPr>
          <w:sz w:val="20"/>
          <w:szCs w:val="20"/>
        </w:rPr>
        <w:t>during times of</w:t>
      </w:r>
      <w:r w:rsidR="00470E0E" w:rsidRPr="00435BE7">
        <w:rPr>
          <w:sz w:val="20"/>
          <w:szCs w:val="20"/>
        </w:rPr>
        <w:t xml:space="preserve"> </w:t>
      </w:r>
      <w:r w:rsidR="00BA716C" w:rsidRPr="00435BE7">
        <w:rPr>
          <w:sz w:val="20"/>
          <w:szCs w:val="20"/>
        </w:rPr>
        <w:t>insecurity and renewed violence.</w:t>
      </w:r>
      <w:r w:rsidR="00C417E2" w:rsidRPr="00435BE7">
        <w:rPr>
          <w:sz w:val="20"/>
          <w:szCs w:val="20"/>
        </w:rPr>
        <w:t xml:space="preserve"> </w:t>
      </w:r>
      <w:r w:rsidR="00703E3B">
        <w:rPr>
          <w:sz w:val="20"/>
          <w:szCs w:val="20"/>
        </w:rPr>
        <w:t>UNDP will work with micro-finance institut</w:t>
      </w:r>
      <w:r w:rsidR="00800996">
        <w:rPr>
          <w:sz w:val="20"/>
          <w:szCs w:val="20"/>
        </w:rPr>
        <w:t>ions and communit</w:t>
      </w:r>
      <w:r w:rsidR="00470E0E">
        <w:rPr>
          <w:sz w:val="20"/>
          <w:szCs w:val="20"/>
        </w:rPr>
        <w:t>y leaders</w:t>
      </w:r>
      <w:r w:rsidR="00800996">
        <w:rPr>
          <w:sz w:val="20"/>
          <w:szCs w:val="20"/>
        </w:rPr>
        <w:t xml:space="preserve"> to promote </w:t>
      </w:r>
      <w:r w:rsidR="00703E3B">
        <w:rPr>
          <w:sz w:val="20"/>
          <w:szCs w:val="20"/>
        </w:rPr>
        <w:t xml:space="preserve">savings networks that stabilize livelihoods and </w:t>
      </w:r>
      <w:r w:rsidR="00AE06DD">
        <w:rPr>
          <w:sz w:val="20"/>
          <w:szCs w:val="20"/>
        </w:rPr>
        <w:t>secure</w:t>
      </w:r>
      <w:r w:rsidR="00703E3B">
        <w:rPr>
          <w:sz w:val="20"/>
          <w:szCs w:val="20"/>
        </w:rPr>
        <w:t xml:space="preserve"> household revenues</w:t>
      </w:r>
      <w:r w:rsidR="007B4AC8">
        <w:rPr>
          <w:sz w:val="20"/>
          <w:szCs w:val="20"/>
        </w:rPr>
        <w:t xml:space="preserve"> for local development</w:t>
      </w:r>
      <w:r w:rsidR="00703E3B">
        <w:rPr>
          <w:sz w:val="20"/>
          <w:szCs w:val="20"/>
        </w:rPr>
        <w:t xml:space="preserve">. </w:t>
      </w:r>
      <w:r w:rsidR="00C417E2" w:rsidRPr="00435BE7">
        <w:rPr>
          <w:sz w:val="20"/>
          <w:szCs w:val="20"/>
        </w:rPr>
        <w:t xml:space="preserve">The assumption </w:t>
      </w:r>
      <w:r w:rsidR="00470E0E">
        <w:rPr>
          <w:sz w:val="20"/>
          <w:szCs w:val="20"/>
        </w:rPr>
        <w:t>underlying</w:t>
      </w:r>
      <w:r w:rsidR="00C417E2" w:rsidRPr="00435BE7">
        <w:rPr>
          <w:sz w:val="20"/>
          <w:szCs w:val="20"/>
        </w:rPr>
        <w:t xml:space="preserve"> this intervention </w:t>
      </w:r>
      <w:r w:rsidR="00470E0E">
        <w:rPr>
          <w:sz w:val="20"/>
          <w:szCs w:val="20"/>
        </w:rPr>
        <w:t xml:space="preserve">is </w:t>
      </w:r>
      <w:r w:rsidR="00C417E2" w:rsidRPr="00435BE7">
        <w:rPr>
          <w:sz w:val="20"/>
          <w:szCs w:val="20"/>
        </w:rPr>
        <w:t xml:space="preserve">based on </w:t>
      </w:r>
      <w:r w:rsidR="00470E0E">
        <w:rPr>
          <w:sz w:val="20"/>
          <w:szCs w:val="20"/>
        </w:rPr>
        <w:t xml:space="preserve">evidence generated from </w:t>
      </w:r>
      <w:r w:rsidR="00C417E2" w:rsidRPr="00435BE7">
        <w:rPr>
          <w:sz w:val="20"/>
          <w:szCs w:val="20"/>
        </w:rPr>
        <w:t xml:space="preserve">UNDP </w:t>
      </w:r>
      <w:r w:rsidR="001935FD">
        <w:rPr>
          <w:sz w:val="20"/>
          <w:szCs w:val="20"/>
        </w:rPr>
        <w:t>responses</w:t>
      </w:r>
      <w:r w:rsidR="001935FD" w:rsidRPr="00435BE7">
        <w:rPr>
          <w:sz w:val="20"/>
          <w:szCs w:val="20"/>
        </w:rPr>
        <w:t xml:space="preserve"> </w:t>
      </w:r>
      <w:r w:rsidR="00C417E2" w:rsidRPr="00435BE7">
        <w:rPr>
          <w:sz w:val="20"/>
          <w:szCs w:val="20"/>
        </w:rPr>
        <w:t xml:space="preserve">in other post-conflict </w:t>
      </w:r>
      <w:r w:rsidR="00470E0E">
        <w:rPr>
          <w:sz w:val="20"/>
          <w:szCs w:val="20"/>
        </w:rPr>
        <w:t>settings, where</w:t>
      </w:r>
      <w:r w:rsidR="00470E0E" w:rsidRPr="00435BE7">
        <w:rPr>
          <w:sz w:val="20"/>
          <w:szCs w:val="20"/>
        </w:rPr>
        <w:t xml:space="preserve"> </w:t>
      </w:r>
      <w:r w:rsidR="00C417E2" w:rsidRPr="00435BE7">
        <w:rPr>
          <w:sz w:val="20"/>
          <w:szCs w:val="20"/>
        </w:rPr>
        <w:t>livelihood support play</w:t>
      </w:r>
      <w:r w:rsidR="00470E0E">
        <w:rPr>
          <w:sz w:val="20"/>
          <w:szCs w:val="20"/>
        </w:rPr>
        <w:t>s</w:t>
      </w:r>
      <w:r w:rsidR="00C417E2" w:rsidRPr="00435BE7">
        <w:rPr>
          <w:sz w:val="20"/>
          <w:szCs w:val="20"/>
        </w:rPr>
        <w:t xml:space="preserve"> a</w:t>
      </w:r>
      <w:r w:rsidR="00470E0E">
        <w:rPr>
          <w:sz w:val="20"/>
          <w:szCs w:val="20"/>
        </w:rPr>
        <w:t>n important</w:t>
      </w:r>
      <w:r w:rsidR="00C417E2" w:rsidRPr="00435BE7">
        <w:rPr>
          <w:sz w:val="20"/>
          <w:szCs w:val="20"/>
        </w:rPr>
        <w:t xml:space="preserve"> role </w:t>
      </w:r>
      <w:r w:rsidR="00470E0E">
        <w:rPr>
          <w:sz w:val="20"/>
          <w:szCs w:val="20"/>
        </w:rPr>
        <w:t>in</w:t>
      </w:r>
      <w:r w:rsidR="00470E0E" w:rsidRPr="00435BE7">
        <w:rPr>
          <w:sz w:val="20"/>
          <w:szCs w:val="20"/>
        </w:rPr>
        <w:t xml:space="preserve"> </w:t>
      </w:r>
      <w:r w:rsidR="00C417E2" w:rsidRPr="00435BE7">
        <w:rPr>
          <w:sz w:val="20"/>
          <w:szCs w:val="20"/>
        </w:rPr>
        <w:t>community stabilization by providing income to conflict</w:t>
      </w:r>
      <w:r w:rsidR="00FE1ECA">
        <w:rPr>
          <w:sz w:val="20"/>
          <w:szCs w:val="20"/>
        </w:rPr>
        <w:t>-</w:t>
      </w:r>
      <w:r w:rsidR="00C417E2" w:rsidRPr="00435BE7">
        <w:rPr>
          <w:sz w:val="20"/>
          <w:szCs w:val="20"/>
        </w:rPr>
        <w:t xml:space="preserve">affected </w:t>
      </w:r>
      <w:r w:rsidR="00BB2F19" w:rsidRPr="00435BE7">
        <w:rPr>
          <w:sz w:val="20"/>
          <w:szCs w:val="20"/>
        </w:rPr>
        <w:t>communities</w:t>
      </w:r>
      <w:r w:rsidR="00C417E2" w:rsidRPr="00435BE7">
        <w:rPr>
          <w:sz w:val="20"/>
          <w:szCs w:val="20"/>
        </w:rPr>
        <w:t xml:space="preserve"> </w:t>
      </w:r>
      <w:r w:rsidR="00470E0E">
        <w:rPr>
          <w:sz w:val="20"/>
          <w:szCs w:val="20"/>
        </w:rPr>
        <w:t>and</w:t>
      </w:r>
      <w:r w:rsidR="00C417E2" w:rsidRPr="00435BE7">
        <w:rPr>
          <w:sz w:val="20"/>
          <w:szCs w:val="20"/>
        </w:rPr>
        <w:t xml:space="preserve"> reconstruction</w:t>
      </w:r>
      <w:r w:rsidR="0000643B" w:rsidRPr="00435BE7">
        <w:rPr>
          <w:sz w:val="20"/>
          <w:szCs w:val="20"/>
        </w:rPr>
        <w:t xml:space="preserve"> initiatives</w:t>
      </w:r>
      <w:r w:rsidR="00C417E2" w:rsidRPr="00435BE7">
        <w:rPr>
          <w:sz w:val="20"/>
          <w:szCs w:val="20"/>
        </w:rPr>
        <w:t xml:space="preserve"> </w:t>
      </w:r>
      <w:r w:rsidR="0000643B" w:rsidRPr="00435BE7">
        <w:rPr>
          <w:sz w:val="20"/>
          <w:szCs w:val="20"/>
        </w:rPr>
        <w:t>that create</w:t>
      </w:r>
      <w:r w:rsidR="00C417E2" w:rsidRPr="00435BE7">
        <w:rPr>
          <w:sz w:val="20"/>
          <w:szCs w:val="20"/>
        </w:rPr>
        <w:t xml:space="preserve"> </w:t>
      </w:r>
      <w:r w:rsidR="00BB2F19" w:rsidRPr="00435BE7">
        <w:rPr>
          <w:sz w:val="20"/>
          <w:szCs w:val="20"/>
        </w:rPr>
        <w:t>civic engagement</w:t>
      </w:r>
      <w:r w:rsidR="00470E0E">
        <w:rPr>
          <w:sz w:val="20"/>
          <w:szCs w:val="20"/>
        </w:rPr>
        <w:t xml:space="preserve">, </w:t>
      </w:r>
      <w:r w:rsidR="00C417E2" w:rsidRPr="00435BE7">
        <w:rPr>
          <w:sz w:val="20"/>
          <w:szCs w:val="20"/>
        </w:rPr>
        <w:t>build social cohesion</w:t>
      </w:r>
      <w:r w:rsidR="00BB2F19" w:rsidRPr="00435BE7">
        <w:rPr>
          <w:sz w:val="20"/>
          <w:szCs w:val="20"/>
        </w:rPr>
        <w:t xml:space="preserve"> and </w:t>
      </w:r>
      <w:r w:rsidR="00470E0E">
        <w:rPr>
          <w:sz w:val="20"/>
          <w:szCs w:val="20"/>
        </w:rPr>
        <w:t>improve</w:t>
      </w:r>
      <w:r w:rsidR="00470E0E" w:rsidRPr="00435BE7">
        <w:rPr>
          <w:sz w:val="20"/>
          <w:szCs w:val="20"/>
        </w:rPr>
        <w:t xml:space="preserve"> </w:t>
      </w:r>
      <w:r w:rsidR="00BB2F19" w:rsidRPr="00435BE7">
        <w:rPr>
          <w:sz w:val="20"/>
          <w:szCs w:val="20"/>
        </w:rPr>
        <w:t>human security</w:t>
      </w:r>
      <w:r w:rsidR="00C417E2" w:rsidRPr="00435BE7">
        <w:rPr>
          <w:sz w:val="20"/>
          <w:szCs w:val="20"/>
        </w:rPr>
        <w:t xml:space="preserve">. </w:t>
      </w:r>
    </w:p>
    <w:p w14:paraId="3B64AD27" w14:textId="7ECCC580" w:rsidR="00510EA6" w:rsidRDefault="00510EA6"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sidRPr="00435BE7">
        <w:rPr>
          <w:sz w:val="20"/>
          <w:szCs w:val="20"/>
        </w:rPr>
        <w:t xml:space="preserve">In the </w:t>
      </w:r>
      <w:r w:rsidR="00BF4AA7">
        <w:rPr>
          <w:sz w:val="20"/>
          <w:szCs w:val="20"/>
        </w:rPr>
        <w:t>country</w:t>
      </w:r>
      <w:r w:rsidRPr="00435BE7">
        <w:rPr>
          <w:sz w:val="20"/>
          <w:szCs w:val="20"/>
        </w:rPr>
        <w:t xml:space="preserve"> exclusion and discrimination </w:t>
      </w:r>
      <w:r w:rsidR="00470E0E">
        <w:rPr>
          <w:sz w:val="20"/>
          <w:szCs w:val="20"/>
        </w:rPr>
        <w:t>is a</w:t>
      </w:r>
      <w:r w:rsidRPr="00435BE7">
        <w:rPr>
          <w:sz w:val="20"/>
          <w:szCs w:val="20"/>
        </w:rPr>
        <w:t xml:space="preserve"> trigger for violence. </w:t>
      </w:r>
      <w:r w:rsidR="00470E0E">
        <w:rPr>
          <w:sz w:val="20"/>
          <w:szCs w:val="20"/>
        </w:rPr>
        <w:t>To</w:t>
      </w:r>
      <w:r w:rsidR="004964D7" w:rsidRPr="00435BE7">
        <w:rPr>
          <w:sz w:val="20"/>
          <w:szCs w:val="20"/>
        </w:rPr>
        <w:t xml:space="preserve"> support transformative and measurable changes in gender equality and women’s empowerment, </w:t>
      </w:r>
      <w:r w:rsidR="00470E0E">
        <w:rPr>
          <w:sz w:val="20"/>
          <w:szCs w:val="20"/>
        </w:rPr>
        <w:t xml:space="preserve">UNDP </w:t>
      </w:r>
      <w:r w:rsidR="004964D7" w:rsidRPr="00435BE7">
        <w:rPr>
          <w:sz w:val="20"/>
          <w:szCs w:val="20"/>
        </w:rPr>
        <w:t>interventions will be based on inclusive approach</w:t>
      </w:r>
      <w:r w:rsidR="00470E0E">
        <w:rPr>
          <w:sz w:val="20"/>
          <w:szCs w:val="20"/>
        </w:rPr>
        <w:t>es that</w:t>
      </w:r>
      <w:r w:rsidR="004964D7" w:rsidRPr="00435BE7">
        <w:rPr>
          <w:sz w:val="20"/>
          <w:szCs w:val="20"/>
        </w:rPr>
        <w:t xml:space="preserve"> </w:t>
      </w:r>
      <w:r w:rsidR="00470E0E" w:rsidRPr="00435BE7">
        <w:rPr>
          <w:sz w:val="20"/>
          <w:szCs w:val="20"/>
        </w:rPr>
        <w:t>tak</w:t>
      </w:r>
      <w:r w:rsidR="00470E0E">
        <w:rPr>
          <w:sz w:val="20"/>
          <w:szCs w:val="20"/>
        </w:rPr>
        <w:t>e</w:t>
      </w:r>
      <w:r w:rsidR="00470E0E" w:rsidRPr="00435BE7">
        <w:rPr>
          <w:sz w:val="20"/>
          <w:szCs w:val="20"/>
        </w:rPr>
        <w:t xml:space="preserve"> </w:t>
      </w:r>
      <w:r w:rsidR="004964D7" w:rsidRPr="00435BE7">
        <w:rPr>
          <w:sz w:val="20"/>
          <w:szCs w:val="20"/>
        </w:rPr>
        <w:t xml:space="preserve">into account differentiated </w:t>
      </w:r>
      <w:r w:rsidR="00B5202E">
        <w:rPr>
          <w:sz w:val="20"/>
          <w:szCs w:val="20"/>
        </w:rPr>
        <w:t xml:space="preserve">social protection </w:t>
      </w:r>
      <w:r w:rsidR="004964D7" w:rsidRPr="00435BE7">
        <w:rPr>
          <w:sz w:val="20"/>
          <w:szCs w:val="20"/>
        </w:rPr>
        <w:t xml:space="preserve">needs of men and women, </w:t>
      </w:r>
      <w:r w:rsidR="00E05574">
        <w:rPr>
          <w:sz w:val="20"/>
          <w:szCs w:val="20"/>
        </w:rPr>
        <w:t>returnees</w:t>
      </w:r>
      <w:r w:rsidR="004964D7" w:rsidRPr="00435BE7">
        <w:rPr>
          <w:sz w:val="20"/>
          <w:szCs w:val="20"/>
        </w:rPr>
        <w:t xml:space="preserve"> and disp</w:t>
      </w:r>
      <w:r w:rsidR="004964D7">
        <w:rPr>
          <w:sz w:val="20"/>
          <w:szCs w:val="20"/>
        </w:rPr>
        <w:t>laced persons, ex-combatants,</w:t>
      </w:r>
      <w:r w:rsidR="004964D7" w:rsidRPr="00435BE7">
        <w:rPr>
          <w:sz w:val="20"/>
          <w:szCs w:val="20"/>
        </w:rPr>
        <w:t xml:space="preserve"> youth at</w:t>
      </w:r>
      <w:r w:rsidR="00E26D15">
        <w:rPr>
          <w:sz w:val="20"/>
          <w:szCs w:val="20"/>
        </w:rPr>
        <w:t>-</w:t>
      </w:r>
      <w:r w:rsidR="004964D7" w:rsidRPr="00435BE7">
        <w:rPr>
          <w:sz w:val="20"/>
          <w:szCs w:val="20"/>
        </w:rPr>
        <w:t>risk</w:t>
      </w:r>
      <w:r w:rsidR="004964D7">
        <w:rPr>
          <w:sz w:val="20"/>
          <w:szCs w:val="20"/>
        </w:rPr>
        <w:t xml:space="preserve"> </w:t>
      </w:r>
      <w:r w:rsidR="00E26D15">
        <w:rPr>
          <w:sz w:val="20"/>
          <w:szCs w:val="20"/>
        </w:rPr>
        <w:t>and people</w:t>
      </w:r>
      <w:r w:rsidR="004964D7">
        <w:rPr>
          <w:sz w:val="20"/>
          <w:szCs w:val="20"/>
        </w:rPr>
        <w:t xml:space="preserve"> </w:t>
      </w:r>
      <w:r w:rsidR="00F85436">
        <w:rPr>
          <w:sz w:val="20"/>
          <w:szCs w:val="20"/>
        </w:rPr>
        <w:t xml:space="preserve">living </w:t>
      </w:r>
      <w:r w:rsidR="004964D7">
        <w:rPr>
          <w:sz w:val="20"/>
          <w:szCs w:val="20"/>
        </w:rPr>
        <w:t>with disabilities</w:t>
      </w:r>
      <w:r w:rsidR="004964D7" w:rsidRPr="00435BE7">
        <w:rPr>
          <w:sz w:val="20"/>
          <w:szCs w:val="20"/>
        </w:rPr>
        <w:t>.</w:t>
      </w:r>
      <w:r w:rsidR="0045633B">
        <w:rPr>
          <w:sz w:val="20"/>
          <w:szCs w:val="20"/>
        </w:rPr>
        <w:t xml:space="preserve"> </w:t>
      </w:r>
      <w:r w:rsidR="00E26D15">
        <w:rPr>
          <w:sz w:val="20"/>
          <w:szCs w:val="20"/>
        </w:rPr>
        <w:t>The</w:t>
      </w:r>
      <w:r w:rsidR="003908B9">
        <w:rPr>
          <w:sz w:val="20"/>
          <w:szCs w:val="20"/>
        </w:rPr>
        <w:t xml:space="preserve"> skill</w:t>
      </w:r>
      <w:r w:rsidR="001935FD">
        <w:rPr>
          <w:sz w:val="20"/>
          <w:szCs w:val="20"/>
        </w:rPr>
        <w:t xml:space="preserve"> </w:t>
      </w:r>
      <w:r w:rsidR="003908B9">
        <w:rPr>
          <w:sz w:val="20"/>
          <w:szCs w:val="20"/>
        </w:rPr>
        <w:t>sets required for different income-generating activities</w:t>
      </w:r>
      <w:r w:rsidR="0045633B">
        <w:rPr>
          <w:sz w:val="20"/>
          <w:szCs w:val="20"/>
        </w:rPr>
        <w:t xml:space="preserve"> in peri-urban and rural zones will be taken into account </w:t>
      </w:r>
      <w:r w:rsidR="00563342">
        <w:rPr>
          <w:sz w:val="20"/>
          <w:szCs w:val="20"/>
        </w:rPr>
        <w:t>to</w:t>
      </w:r>
      <w:r w:rsidR="0045633B">
        <w:rPr>
          <w:sz w:val="20"/>
          <w:szCs w:val="20"/>
        </w:rPr>
        <w:t xml:space="preserve"> favour temporary opportunities for displaced persons </w:t>
      </w:r>
      <w:r w:rsidR="00E26D15">
        <w:rPr>
          <w:sz w:val="20"/>
          <w:szCs w:val="20"/>
        </w:rPr>
        <w:t>who wish to</w:t>
      </w:r>
      <w:r w:rsidR="0045633B">
        <w:rPr>
          <w:sz w:val="20"/>
          <w:szCs w:val="20"/>
        </w:rPr>
        <w:t xml:space="preserve"> </w:t>
      </w:r>
      <w:r w:rsidR="00E26D15">
        <w:rPr>
          <w:sz w:val="20"/>
          <w:szCs w:val="20"/>
        </w:rPr>
        <w:t xml:space="preserve">resettle in </w:t>
      </w:r>
      <w:r w:rsidR="0045633B">
        <w:rPr>
          <w:sz w:val="20"/>
          <w:szCs w:val="20"/>
        </w:rPr>
        <w:t>their communities of origin</w:t>
      </w:r>
      <w:r w:rsidR="00584D2F">
        <w:rPr>
          <w:sz w:val="20"/>
          <w:szCs w:val="20"/>
        </w:rPr>
        <w:t>,</w:t>
      </w:r>
      <w:r w:rsidR="00E26D15">
        <w:rPr>
          <w:sz w:val="20"/>
          <w:szCs w:val="20"/>
        </w:rPr>
        <w:t xml:space="preserve"> </w:t>
      </w:r>
      <w:r w:rsidR="00E05574">
        <w:rPr>
          <w:sz w:val="20"/>
          <w:szCs w:val="20"/>
        </w:rPr>
        <w:t xml:space="preserve">along with </w:t>
      </w:r>
      <w:r w:rsidR="00E26D15">
        <w:rPr>
          <w:sz w:val="20"/>
          <w:szCs w:val="20"/>
        </w:rPr>
        <w:t xml:space="preserve">micro-finance </w:t>
      </w:r>
      <w:r w:rsidR="00563342">
        <w:rPr>
          <w:sz w:val="20"/>
          <w:szCs w:val="20"/>
        </w:rPr>
        <w:t xml:space="preserve">agricultural initiatives </w:t>
      </w:r>
      <w:r w:rsidR="00E26D15">
        <w:rPr>
          <w:sz w:val="20"/>
          <w:szCs w:val="20"/>
        </w:rPr>
        <w:t>that are</w:t>
      </w:r>
      <w:r w:rsidR="00563342">
        <w:rPr>
          <w:sz w:val="20"/>
          <w:szCs w:val="20"/>
        </w:rPr>
        <w:t xml:space="preserve"> based on existing practices for women </w:t>
      </w:r>
      <w:r w:rsidR="00E26D15">
        <w:rPr>
          <w:sz w:val="20"/>
          <w:szCs w:val="20"/>
        </w:rPr>
        <w:t>and youth</w:t>
      </w:r>
      <w:r w:rsidR="00563342">
        <w:rPr>
          <w:sz w:val="20"/>
          <w:szCs w:val="20"/>
        </w:rPr>
        <w:t xml:space="preserve">. </w:t>
      </w:r>
    </w:p>
    <w:p w14:paraId="205379ED" w14:textId="658B9C5E" w:rsidR="00784989" w:rsidRDefault="00AD6473" w:rsidP="00CE68BD">
      <w:pPr>
        <w:pStyle w:val="ListParagraph"/>
        <w:numPr>
          <w:ilvl w:val="0"/>
          <w:numId w:val="13"/>
        </w:numPr>
        <w:tabs>
          <w:tab w:val="clear" w:pos="624"/>
          <w:tab w:val="num" w:pos="1418"/>
          <w:tab w:val="left" w:pos="1800"/>
        </w:tabs>
        <w:ind w:left="1418" w:right="1210" w:firstLine="0"/>
        <w:jc w:val="both"/>
        <w:rPr>
          <w:sz w:val="20"/>
          <w:szCs w:val="20"/>
        </w:rPr>
      </w:pPr>
      <w:r>
        <w:rPr>
          <w:sz w:val="20"/>
          <w:szCs w:val="20"/>
        </w:rPr>
        <w:t>Programme i</w:t>
      </w:r>
      <w:r w:rsidR="00C45E50" w:rsidRPr="00435BE7">
        <w:rPr>
          <w:sz w:val="20"/>
          <w:szCs w:val="20"/>
        </w:rPr>
        <w:t>mplementati</w:t>
      </w:r>
      <w:r w:rsidR="00724CC1">
        <w:rPr>
          <w:sz w:val="20"/>
          <w:szCs w:val="20"/>
        </w:rPr>
        <w:t xml:space="preserve">on </w:t>
      </w:r>
      <w:r w:rsidR="00C45E50" w:rsidRPr="00435BE7">
        <w:rPr>
          <w:sz w:val="20"/>
          <w:szCs w:val="20"/>
        </w:rPr>
        <w:t xml:space="preserve">will be </w:t>
      </w:r>
      <w:r>
        <w:rPr>
          <w:sz w:val="20"/>
          <w:szCs w:val="20"/>
        </w:rPr>
        <w:t xml:space="preserve">carried out in </w:t>
      </w:r>
      <w:r w:rsidR="00980C4E">
        <w:rPr>
          <w:sz w:val="20"/>
          <w:szCs w:val="20"/>
        </w:rPr>
        <w:t>partnership</w:t>
      </w:r>
      <w:r w:rsidR="00C45E50" w:rsidRPr="00435BE7">
        <w:rPr>
          <w:sz w:val="20"/>
          <w:szCs w:val="20"/>
        </w:rPr>
        <w:t xml:space="preserve"> with other </w:t>
      </w:r>
      <w:r w:rsidR="00622A55">
        <w:rPr>
          <w:sz w:val="20"/>
          <w:szCs w:val="20"/>
        </w:rPr>
        <w:t>U</w:t>
      </w:r>
      <w:r w:rsidR="00E26D15">
        <w:rPr>
          <w:sz w:val="20"/>
          <w:szCs w:val="20"/>
        </w:rPr>
        <w:t xml:space="preserve">nited </w:t>
      </w:r>
      <w:r w:rsidR="00622A55">
        <w:rPr>
          <w:sz w:val="20"/>
          <w:szCs w:val="20"/>
        </w:rPr>
        <w:t>N</w:t>
      </w:r>
      <w:r w:rsidR="00E26D15">
        <w:rPr>
          <w:sz w:val="20"/>
          <w:szCs w:val="20"/>
        </w:rPr>
        <w:t>ations</w:t>
      </w:r>
      <w:r w:rsidR="00622A55">
        <w:rPr>
          <w:sz w:val="20"/>
          <w:szCs w:val="20"/>
        </w:rPr>
        <w:t xml:space="preserve"> </w:t>
      </w:r>
      <w:r w:rsidR="00E26D15">
        <w:rPr>
          <w:sz w:val="20"/>
          <w:szCs w:val="20"/>
        </w:rPr>
        <w:t>organizations</w:t>
      </w:r>
      <w:r w:rsidR="00E26D15" w:rsidRPr="00435BE7">
        <w:rPr>
          <w:sz w:val="20"/>
          <w:szCs w:val="20"/>
        </w:rPr>
        <w:t xml:space="preserve"> </w:t>
      </w:r>
      <w:r w:rsidR="00C45E50" w:rsidRPr="00435BE7">
        <w:rPr>
          <w:sz w:val="20"/>
          <w:szCs w:val="20"/>
        </w:rPr>
        <w:t>including</w:t>
      </w:r>
      <w:r>
        <w:rPr>
          <w:sz w:val="20"/>
          <w:szCs w:val="20"/>
        </w:rPr>
        <w:t>,</w:t>
      </w:r>
      <w:r w:rsidR="00C45E50" w:rsidRPr="00435BE7">
        <w:rPr>
          <w:sz w:val="20"/>
          <w:szCs w:val="20"/>
        </w:rPr>
        <w:t xml:space="preserve"> </w:t>
      </w:r>
      <w:r w:rsidR="00D97046" w:rsidRPr="00435BE7">
        <w:rPr>
          <w:sz w:val="20"/>
          <w:szCs w:val="20"/>
        </w:rPr>
        <w:t xml:space="preserve">the </w:t>
      </w:r>
      <w:r w:rsidR="00C45E50" w:rsidRPr="00435BE7">
        <w:rPr>
          <w:sz w:val="20"/>
          <w:szCs w:val="20"/>
        </w:rPr>
        <w:t xml:space="preserve">Food and Agriculture </w:t>
      </w:r>
      <w:r w:rsidR="00980C4E" w:rsidRPr="00435BE7">
        <w:rPr>
          <w:sz w:val="20"/>
          <w:szCs w:val="20"/>
        </w:rPr>
        <w:t>Organization</w:t>
      </w:r>
      <w:r w:rsidR="00C45E50" w:rsidRPr="00435BE7">
        <w:rPr>
          <w:sz w:val="20"/>
          <w:szCs w:val="20"/>
        </w:rPr>
        <w:t xml:space="preserve"> (FAO)</w:t>
      </w:r>
      <w:r>
        <w:rPr>
          <w:sz w:val="20"/>
          <w:szCs w:val="20"/>
        </w:rPr>
        <w:t>;</w:t>
      </w:r>
      <w:r w:rsidR="00C45E50" w:rsidRPr="00435BE7">
        <w:rPr>
          <w:sz w:val="20"/>
          <w:szCs w:val="20"/>
        </w:rPr>
        <w:t xml:space="preserve"> </w:t>
      </w:r>
      <w:r w:rsidR="0022129E" w:rsidRPr="00435BE7">
        <w:rPr>
          <w:sz w:val="20"/>
          <w:szCs w:val="20"/>
        </w:rPr>
        <w:t>the International Labour Organization (ILO)</w:t>
      </w:r>
      <w:r w:rsidR="0022129E">
        <w:rPr>
          <w:sz w:val="20"/>
          <w:szCs w:val="20"/>
        </w:rPr>
        <w:t xml:space="preserve">; </w:t>
      </w:r>
      <w:r w:rsidR="00B51C24" w:rsidRPr="00435BE7">
        <w:rPr>
          <w:sz w:val="20"/>
          <w:szCs w:val="20"/>
        </w:rPr>
        <w:t>the United Nations Capital Development Fund (UNCDF)</w:t>
      </w:r>
      <w:r>
        <w:rPr>
          <w:sz w:val="20"/>
          <w:szCs w:val="20"/>
        </w:rPr>
        <w:t>; United Nations High Commissioner for Refugees (UNHCR);</w:t>
      </w:r>
      <w:r w:rsidR="00B51C24" w:rsidRPr="00435BE7">
        <w:rPr>
          <w:sz w:val="20"/>
          <w:szCs w:val="20"/>
        </w:rPr>
        <w:t xml:space="preserve"> </w:t>
      </w:r>
      <w:r w:rsidRPr="00435BE7">
        <w:rPr>
          <w:sz w:val="20"/>
          <w:szCs w:val="20"/>
        </w:rPr>
        <w:t>United Nations International Children’s Emergency Fund (UNICEF)</w:t>
      </w:r>
      <w:r>
        <w:rPr>
          <w:sz w:val="20"/>
          <w:szCs w:val="20"/>
        </w:rPr>
        <w:t xml:space="preserve">; </w:t>
      </w:r>
      <w:r w:rsidR="0022129E" w:rsidRPr="00435BE7">
        <w:rPr>
          <w:sz w:val="20"/>
          <w:szCs w:val="20"/>
        </w:rPr>
        <w:t>United Nations Population Fund (UNFPA)</w:t>
      </w:r>
      <w:r w:rsidR="0022129E">
        <w:rPr>
          <w:sz w:val="20"/>
          <w:szCs w:val="20"/>
        </w:rPr>
        <w:t>,</w:t>
      </w:r>
      <w:r w:rsidR="0022129E" w:rsidRPr="00435BE7">
        <w:rPr>
          <w:sz w:val="20"/>
          <w:szCs w:val="20"/>
        </w:rPr>
        <w:t xml:space="preserve"> </w:t>
      </w:r>
      <w:r w:rsidR="005C259E" w:rsidRPr="00435BE7">
        <w:rPr>
          <w:sz w:val="20"/>
          <w:szCs w:val="20"/>
        </w:rPr>
        <w:t>and MINUSCA</w:t>
      </w:r>
      <w:r w:rsidR="00C45E50" w:rsidRPr="00435BE7">
        <w:rPr>
          <w:sz w:val="20"/>
          <w:szCs w:val="20"/>
        </w:rPr>
        <w:t>.</w:t>
      </w:r>
      <w:r w:rsidR="00B51C24" w:rsidRPr="00435BE7">
        <w:rPr>
          <w:sz w:val="20"/>
          <w:szCs w:val="20"/>
        </w:rPr>
        <w:t xml:space="preserve"> The </w:t>
      </w:r>
      <w:r w:rsidR="005C259E" w:rsidRPr="00435BE7">
        <w:rPr>
          <w:sz w:val="20"/>
          <w:szCs w:val="20"/>
        </w:rPr>
        <w:t>GEF</w:t>
      </w:r>
      <w:r>
        <w:rPr>
          <w:sz w:val="20"/>
          <w:szCs w:val="20"/>
        </w:rPr>
        <w:t>,</w:t>
      </w:r>
      <w:r w:rsidR="005C259E" w:rsidRPr="00435BE7">
        <w:rPr>
          <w:sz w:val="20"/>
          <w:szCs w:val="20"/>
        </w:rPr>
        <w:t xml:space="preserve"> </w:t>
      </w:r>
      <w:r w:rsidR="002350B9">
        <w:rPr>
          <w:sz w:val="20"/>
          <w:szCs w:val="20"/>
        </w:rPr>
        <w:t>W</w:t>
      </w:r>
      <w:r>
        <w:rPr>
          <w:sz w:val="20"/>
          <w:szCs w:val="20"/>
        </w:rPr>
        <w:t xml:space="preserve">orld </w:t>
      </w:r>
      <w:r w:rsidR="002350B9">
        <w:rPr>
          <w:sz w:val="20"/>
          <w:szCs w:val="20"/>
        </w:rPr>
        <w:t>B</w:t>
      </w:r>
      <w:r>
        <w:rPr>
          <w:sz w:val="20"/>
          <w:szCs w:val="20"/>
        </w:rPr>
        <w:t>ank</w:t>
      </w:r>
      <w:r w:rsidR="00F85436">
        <w:rPr>
          <w:sz w:val="20"/>
          <w:szCs w:val="20"/>
        </w:rPr>
        <w:t xml:space="preserve"> </w:t>
      </w:r>
      <w:r w:rsidR="009832EF" w:rsidRPr="00435BE7">
        <w:rPr>
          <w:sz w:val="20"/>
          <w:szCs w:val="20"/>
        </w:rPr>
        <w:t xml:space="preserve">and </w:t>
      </w:r>
      <w:r w:rsidR="005C259E" w:rsidRPr="00435BE7">
        <w:rPr>
          <w:sz w:val="20"/>
          <w:szCs w:val="20"/>
        </w:rPr>
        <w:t xml:space="preserve">other technical partners </w:t>
      </w:r>
      <w:r>
        <w:rPr>
          <w:sz w:val="20"/>
          <w:szCs w:val="20"/>
        </w:rPr>
        <w:t>will provide inputs</w:t>
      </w:r>
      <w:r w:rsidRPr="00435BE7">
        <w:rPr>
          <w:sz w:val="20"/>
          <w:szCs w:val="20"/>
        </w:rPr>
        <w:t xml:space="preserve"> </w:t>
      </w:r>
      <w:r w:rsidR="00C24B2A">
        <w:rPr>
          <w:sz w:val="20"/>
          <w:szCs w:val="20"/>
        </w:rPr>
        <w:t>on the design of</w:t>
      </w:r>
      <w:r w:rsidR="005C259E" w:rsidRPr="00435BE7">
        <w:rPr>
          <w:sz w:val="20"/>
          <w:szCs w:val="20"/>
        </w:rPr>
        <w:t xml:space="preserve"> green economy and sustainable economic growth</w:t>
      </w:r>
      <w:r>
        <w:rPr>
          <w:sz w:val="20"/>
          <w:szCs w:val="20"/>
        </w:rPr>
        <w:t xml:space="preserve"> programmes</w:t>
      </w:r>
      <w:r w:rsidR="005C259E" w:rsidRPr="00435BE7">
        <w:rPr>
          <w:sz w:val="20"/>
          <w:szCs w:val="20"/>
        </w:rPr>
        <w:t xml:space="preserve">. The Government of Japan </w:t>
      </w:r>
      <w:r>
        <w:rPr>
          <w:sz w:val="20"/>
          <w:szCs w:val="20"/>
        </w:rPr>
        <w:t>and UNDP will work</w:t>
      </w:r>
      <w:r w:rsidR="00C24B2A">
        <w:rPr>
          <w:sz w:val="20"/>
          <w:szCs w:val="20"/>
        </w:rPr>
        <w:t xml:space="preserve"> with civil society and, where possible, private sector actors</w:t>
      </w:r>
      <w:r>
        <w:rPr>
          <w:sz w:val="20"/>
          <w:szCs w:val="20"/>
        </w:rPr>
        <w:t xml:space="preserve"> on</w:t>
      </w:r>
      <w:r w:rsidR="005C259E" w:rsidRPr="00435BE7">
        <w:rPr>
          <w:sz w:val="20"/>
          <w:szCs w:val="20"/>
        </w:rPr>
        <w:t xml:space="preserve"> resilience-building. UNDP will </w:t>
      </w:r>
      <w:r w:rsidR="00687A03">
        <w:rPr>
          <w:sz w:val="20"/>
          <w:szCs w:val="20"/>
        </w:rPr>
        <w:t>prioritize</w:t>
      </w:r>
      <w:r w:rsidR="005C259E" w:rsidRPr="00435BE7">
        <w:rPr>
          <w:sz w:val="20"/>
          <w:szCs w:val="20"/>
        </w:rPr>
        <w:t xml:space="preserve"> South-South and triangular cooperation </w:t>
      </w:r>
      <w:r w:rsidR="00C24B2A">
        <w:rPr>
          <w:sz w:val="20"/>
          <w:szCs w:val="20"/>
        </w:rPr>
        <w:t>efforts</w:t>
      </w:r>
      <w:r w:rsidR="00C24B2A" w:rsidRPr="00435BE7">
        <w:rPr>
          <w:sz w:val="20"/>
          <w:szCs w:val="20"/>
        </w:rPr>
        <w:t xml:space="preserve"> </w:t>
      </w:r>
      <w:r w:rsidR="00AF33D1">
        <w:rPr>
          <w:sz w:val="20"/>
          <w:szCs w:val="20"/>
        </w:rPr>
        <w:t>that have</w:t>
      </w:r>
      <w:r w:rsidR="00AF33D1" w:rsidRPr="00435BE7">
        <w:rPr>
          <w:sz w:val="20"/>
          <w:szCs w:val="20"/>
        </w:rPr>
        <w:t xml:space="preserve"> </w:t>
      </w:r>
      <w:r w:rsidR="005C259E" w:rsidRPr="00435BE7">
        <w:rPr>
          <w:sz w:val="20"/>
          <w:szCs w:val="20"/>
        </w:rPr>
        <w:t xml:space="preserve">successfully </w:t>
      </w:r>
      <w:r w:rsidR="00C24B2A">
        <w:rPr>
          <w:sz w:val="20"/>
          <w:szCs w:val="20"/>
        </w:rPr>
        <w:t>generated</w:t>
      </w:r>
      <w:r w:rsidR="00AF33D1">
        <w:rPr>
          <w:sz w:val="20"/>
          <w:szCs w:val="20"/>
        </w:rPr>
        <w:t xml:space="preserve"> results</w:t>
      </w:r>
      <w:r w:rsidR="00F34709" w:rsidRPr="00435BE7">
        <w:rPr>
          <w:sz w:val="20"/>
          <w:szCs w:val="20"/>
        </w:rPr>
        <w:t xml:space="preserve">, particularly through </w:t>
      </w:r>
      <w:r w:rsidR="00705FEA">
        <w:rPr>
          <w:sz w:val="20"/>
          <w:szCs w:val="20"/>
        </w:rPr>
        <w:t>partnerships with</w:t>
      </w:r>
      <w:r w:rsidR="00AF33D1">
        <w:rPr>
          <w:sz w:val="20"/>
          <w:szCs w:val="20"/>
        </w:rPr>
        <w:t xml:space="preserve"> </w:t>
      </w:r>
      <w:r w:rsidR="00F34709" w:rsidRPr="00435BE7">
        <w:rPr>
          <w:sz w:val="20"/>
          <w:szCs w:val="20"/>
        </w:rPr>
        <w:t>regional mechanism</w:t>
      </w:r>
      <w:r w:rsidR="00190654">
        <w:rPr>
          <w:sz w:val="20"/>
          <w:szCs w:val="20"/>
        </w:rPr>
        <w:t>s</w:t>
      </w:r>
      <w:r w:rsidR="001935FD">
        <w:rPr>
          <w:sz w:val="20"/>
          <w:szCs w:val="20"/>
        </w:rPr>
        <w:t xml:space="preserve"> </w:t>
      </w:r>
      <w:r w:rsidR="00AF33D1">
        <w:rPr>
          <w:sz w:val="20"/>
          <w:szCs w:val="20"/>
        </w:rPr>
        <w:t>like the</w:t>
      </w:r>
      <w:r w:rsidR="001935FD">
        <w:rPr>
          <w:sz w:val="20"/>
          <w:szCs w:val="20"/>
        </w:rPr>
        <w:t xml:space="preserve"> African Development Bank</w:t>
      </w:r>
      <w:r w:rsidR="00AF33D1">
        <w:rPr>
          <w:sz w:val="20"/>
          <w:szCs w:val="20"/>
        </w:rPr>
        <w:t>.</w:t>
      </w:r>
      <w:r w:rsidR="001935FD">
        <w:rPr>
          <w:rStyle w:val="FootnoteReference"/>
          <w:sz w:val="20"/>
          <w:szCs w:val="20"/>
        </w:rPr>
        <w:footnoteReference w:id="19"/>
      </w:r>
      <w:r w:rsidR="00484522">
        <w:rPr>
          <w:sz w:val="20"/>
          <w:szCs w:val="20"/>
        </w:rPr>
        <w:t xml:space="preserve"> </w:t>
      </w:r>
    </w:p>
    <w:p w14:paraId="58CF0B87" w14:textId="77777777" w:rsidR="00E05574" w:rsidRPr="009962BD" w:rsidRDefault="00E05574" w:rsidP="008015CD">
      <w:pPr>
        <w:pStyle w:val="ListParagraph"/>
        <w:tabs>
          <w:tab w:val="left" w:pos="1800"/>
        </w:tabs>
        <w:ind w:left="1418" w:right="1210"/>
        <w:jc w:val="both"/>
        <w:rPr>
          <w:sz w:val="12"/>
          <w:szCs w:val="12"/>
        </w:rPr>
      </w:pPr>
    </w:p>
    <w:p w14:paraId="0D3CA712" w14:textId="0DB2B242" w:rsidR="00DF7F35" w:rsidRDefault="00980C4E" w:rsidP="009962BD">
      <w:pPr>
        <w:pStyle w:val="ListParagraph"/>
        <w:numPr>
          <w:ilvl w:val="0"/>
          <w:numId w:val="13"/>
        </w:numPr>
        <w:tabs>
          <w:tab w:val="clear" w:pos="624"/>
          <w:tab w:val="num" w:pos="1418"/>
          <w:tab w:val="left" w:pos="1800"/>
        </w:tabs>
        <w:ind w:left="1418" w:right="1210" w:firstLine="0"/>
        <w:jc w:val="both"/>
        <w:rPr>
          <w:sz w:val="20"/>
          <w:szCs w:val="20"/>
        </w:rPr>
      </w:pPr>
      <w:r>
        <w:rPr>
          <w:sz w:val="20"/>
          <w:szCs w:val="20"/>
        </w:rPr>
        <w:t xml:space="preserve">The two outcomes are linked by cross-cutting and sectoral interventions that will improve programmatic integration. </w:t>
      </w:r>
      <w:r w:rsidR="00DF7F35">
        <w:rPr>
          <w:sz w:val="20"/>
          <w:szCs w:val="20"/>
        </w:rPr>
        <w:t xml:space="preserve">Support to anti-corruption and good governance at the central government level will intersect with </w:t>
      </w:r>
      <w:r w:rsidR="00687A03">
        <w:rPr>
          <w:sz w:val="20"/>
          <w:szCs w:val="20"/>
        </w:rPr>
        <w:t xml:space="preserve">interventions </w:t>
      </w:r>
      <w:r w:rsidR="006D0E74">
        <w:rPr>
          <w:sz w:val="20"/>
          <w:szCs w:val="20"/>
        </w:rPr>
        <w:t>on</w:t>
      </w:r>
      <w:r w:rsidR="00DF7F35">
        <w:rPr>
          <w:sz w:val="20"/>
          <w:szCs w:val="20"/>
        </w:rPr>
        <w:t xml:space="preserve"> transparency in natural resource management. Similarly, support to national reconciliation efforts at the central government level</w:t>
      </w:r>
      <w:r w:rsidR="00687A03">
        <w:rPr>
          <w:sz w:val="20"/>
          <w:szCs w:val="20"/>
        </w:rPr>
        <w:t>,</w:t>
      </w:r>
      <w:r w:rsidR="00DF7F35">
        <w:rPr>
          <w:sz w:val="20"/>
          <w:szCs w:val="20"/>
        </w:rPr>
        <w:t xml:space="preserve"> via the national peace architecture</w:t>
      </w:r>
      <w:r w:rsidR="00687A03">
        <w:rPr>
          <w:sz w:val="20"/>
          <w:szCs w:val="20"/>
        </w:rPr>
        <w:t>,</w:t>
      </w:r>
      <w:r w:rsidR="00DF7F35">
        <w:rPr>
          <w:sz w:val="20"/>
          <w:szCs w:val="20"/>
        </w:rPr>
        <w:t xml:space="preserve"> will link community based recovery interventions </w:t>
      </w:r>
      <w:r w:rsidR="006D0E74">
        <w:rPr>
          <w:sz w:val="20"/>
          <w:szCs w:val="20"/>
        </w:rPr>
        <w:t>on</w:t>
      </w:r>
      <w:r w:rsidR="00DF7F35">
        <w:rPr>
          <w:sz w:val="20"/>
          <w:szCs w:val="20"/>
        </w:rPr>
        <w:t xml:space="preserve"> livelihoods and social cohesion</w:t>
      </w:r>
      <w:r w:rsidR="008527CC">
        <w:rPr>
          <w:sz w:val="20"/>
          <w:szCs w:val="20"/>
        </w:rPr>
        <w:t>, fostering</w:t>
      </w:r>
      <w:r w:rsidR="00DF7F35">
        <w:rPr>
          <w:sz w:val="20"/>
          <w:szCs w:val="20"/>
        </w:rPr>
        <w:t xml:space="preserve"> progress in a critical policy area and translat</w:t>
      </w:r>
      <w:r w:rsidR="008527CC">
        <w:rPr>
          <w:sz w:val="20"/>
          <w:szCs w:val="20"/>
        </w:rPr>
        <w:t>ing</w:t>
      </w:r>
      <w:r w:rsidR="00DF7F35">
        <w:rPr>
          <w:sz w:val="20"/>
          <w:szCs w:val="20"/>
        </w:rPr>
        <w:t xml:space="preserve"> it </w:t>
      </w:r>
      <w:r w:rsidR="008527CC">
        <w:rPr>
          <w:sz w:val="20"/>
          <w:szCs w:val="20"/>
        </w:rPr>
        <w:t>in</w:t>
      </w:r>
      <w:r w:rsidR="00DF7F35">
        <w:rPr>
          <w:sz w:val="20"/>
          <w:szCs w:val="20"/>
        </w:rPr>
        <w:t xml:space="preserve">to </w:t>
      </w:r>
      <w:r w:rsidR="008015CD">
        <w:rPr>
          <w:sz w:val="20"/>
          <w:szCs w:val="20"/>
        </w:rPr>
        <w:t xml:space="preserve">immediate </w:t>
      </w:r>
      <w:r w:rsidR="00DF7F35">
        <w:rPr>
          <w:sz w:val="20"/>
          <w:szCs w:val="20"/>
        </w:rPr>
        <w:t xml:space="preserve">results for the population. </w:t>
      </w:r>
    </w:p>
    <w:p w14:paraId="6ED4DC5F" w14:textId="77777777" w:rsidR="001F45D8" w:rsidRPr="00CE68BD" w:rsidRDefault="0063402B" w:rsidP="00CE68BD">
      <w:pPr>
        <w:pStyle w:val="Heading1"/>
        <w:numPr>
          <w:ilvl w:val="0"/>
          <w:numId w:val="35"/>
        </w:numPr>
        <w:tabs>
          <w:tab w:val="left" w:pos="1800"/>
        </w:tabs>
        <w:spacing w:after="120"/>
        <w:ind w:left="1440" w:right="1210" w:hanging="540"/>
        <w:jc w:val="both"/>
        <w:rPr>
          <w:rFonts w:ascii="Times New Roman" w:hAnsi="Times New Roman"/>
          <w:color w:val="000000"/>
          <w:sz w:val="24"/>
        </w:rPr>
      </w:pPr>
      <w:r w:rsidRPr="00CE68BD">
        <w:rPr>
          <w:rFonts w:ascii="Times New Roman" w:hAnsi="Times New Roman"/>
          <w:color w:val="000000"/>
          <w:sz w:val="24"/>
          <w:lang w:val="en-US"/>
        </w:rPr>
        <w:lastRenderedPageBreak/>
        <w:t xml:space="preserve">Programme and </w:t>
      </w:r>
      <w:r w:rsidR="00CE68BD">
        <w:rPr>
          <w:rFonts w:ascii="Times New Roman" w:hAnsi="Times New Roman"/>
          <w:color w:val="000000"/>
          <w:sz w:val="24"/>
          <w:lang w:val="en-US"/>
        </w:rPr>
        <w:t>r</w:t>
      </w:r>
      <w:r w:rsidRPr="00CE68BD">
        <w:rPr>
          <w:rFonts w:ascii="Times New Roman" w:hAnsi="Times New Roman"/>
          <w:color w:val="000000"/>
          <w:sz w:val="24"/>
          <w:lang w:val="en-US"/>
        </w:rPr>
        <w:t>isk</w:t>
      </w:r>
      <w:r w:rsidR="00AC1BE7" w:rsidRPr="00CE68BD">
        <w:rPr>
          <w:rFonts w:ascii="Times New Roman" w:hAnsi="Times New Roman"/>
          <w:color w:val="000000"/>
          <w:sz w:val="24"/>
          <w:lang w:val="en-US"/>
        </w:rPr>
        <w:t xml:space="preserve"> </w:t>
      </w:r>
      <w:r w:rsidR="00CE68BD">
        <w:rPr>
          <w:rFonts w:ascii="Times New Roman" w:hAnsi="Times New Roman"/>
          <w:color w:val="000000"/>
          <w:sz w:val="24"/>
          <w:lang w:val="en-US"/>
        </w:rPr>
        <w:t>m</w:t>
      </w:r>
      <w:r w:rsidR="001C6C08" w:rsidRPr="00CE68BD">
        <w:rPr>
          <w:rFonts w:ascii="Times New Roman" w:hAnsi="Times New Roman"/>
          <w:color w:val="000000"/>
          <w:sz w:val="24"/>
          <w:lang w:val="en-US"/>
        </w:rPr>
        <w:t>anagement</w:t>
      </w:r>
      <w:r w:rsidRPr="00CE68BD">
        <w:rPr>
          <w:rFonts w:ascii="Times New Roman" w:hAnsi="Times New Roman"/>
          <w:color w:val="000000"/>
          <w:sz w:val="24"/>
        </w:rPr>
        <w:t xml:space="preserve"> </w:t>
      </w:r>
    </w:p>
    <w:p w14:paraId="77171468" w14:textId="73E62214" w:rsidR="005E07F6" w:rsidRDefault="001F45D8"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sidRPr="00103607">
        <w:rPr>
          <w:sz w:val="20"/>
          <w:szCs w:val="20"/>
        </w:rPr>
        <w:t>The context within</w:t>
      </w:r>
      <w:r w:rsidR="002D7ADB" w:rsidRPr="00103607">
        <w:rPr>
          <w:sz w:val="20"/>
          <w:szCs w:val="20"/>
        </w:rPr>
        <w:t xml:space="preserve"> which the proposed</w:t>
      </w:r>
      <w:r w:rsidRPr="00103607">
        <w:rPr>
          <w:sz w:val="20"/>
          <w:szCs w:val="20"/>
        </w:rPr>
        <w:t xml:space="preserve"> program</w:t>
      </w:r>
      <w:r w:rsidR="00287E80" w:rsidRPr="00103607">
        <w:rPr>
          <w:sz w:val="20"/>
          <w:szCs w:val="20"/>
        </w:rPr>
        <w:t>me</w:t>
      </w:r>
      <w:r w:rsidRPr="00103607">
        <w:rPr>
          <w:sz w:val="20"/>
          <w:szCs w:val="20"/>
        </w:rPr>
        <w:t xml:space="preserve"> will be implemented </w:t>
      </w:r>
      <w:r w:rsidR="00C24B2A">
        <w:rPr>
          <w:sz w:val="20"/>
          <w:szCs w:val="20"/>
        </w:rPr>
        <w:t>is</w:t>
      </w:r>
      <w:r w:rsidR="00287E80" w:rsidRPr="00103607">
        <w:rPr>
          <w:sz w:val="20"/>
          <w:szCs w:val="20"/>
        </w:rPr>
        <w:t xml:space="preserve"> </w:t>
      </w:r>
      <w:r w:rsidRPr="00103607">
        <w:rPr>
          <w:sz w:val="20"/>
          <w:szCs w:val="20"/>
        </w:rPr>
        <w:t xml:space="preserve">complex, marked by continued fragility </w:t>
      </w:r>
      <w:r w:rsidR="00C24B2A">
        <w:rPr>
          <w:sz w:val="20"/>
          <w:szCs w:val="20"/>
        </w:rPr>
        <w:t>and insecurity</w:t>
      </w:r>
      <w:r w:rsidRPr="00103607">
        <w:rPr>
          <w:sz w:val="20"/>
          <w:szCs w:val="20"/>
        </w:rPr>
        <w:t xml:space="preserve">. </w:t>
      </w:r>
      <w:r w:rsidR="00C24B2A">
        <w:rPr>
          <w:sz w:val="20"/>
          <w:szCs w:val="20"/>
        </w:rPr>
        <w:t>L</w:t>
      </w:r>
      <w:r w:rsidRPr="00103607">
        <w:rPr>
          <w:sz w:val="20"/>
          <w:szCs w:val="20"/>
        </w:rPr>
        <w:t xml:space="preserve">arge parts of the </w:t>
      </w:r>
      <w:r w:rsidR="007C1258">
        <w:rPr>
          <w:sz w:val="20"/>
          <w:szCs w:val="20"/>
        </w:rPr>
        <w:t>country</w:t>
      </w:r>
      <w:r w:rsidRPr="00103607">
        <w:rPr>
          <w:sz w:val="20"/>
          <w:szCs w:val="20"/>
        </w:rPr>
        <w:t xml:space="preserve"> remain under the control</w:t>
      </w:r>
      <w:r w:rsidR="00287E80" w:rsidRPr="00103607">
        <w:rPr>
          <w:sz w:val="20"/>
          <w:szCs w:val="20"/>
        </w:rPr>
        <w:t xml:space="preserve"> of armed groups</w:t>
      </w:r>
      <w:r w:rsidR="00C24B2A">
        <w:rPr>
          <w:sz w:val="20"/>
          <w:szCs w:val="20"/>
        </w:rPr>
        <w:t>,</w:t>
      </w:r>
      <w:r w:rsidR="00287E80" w:rsidRPr="00103607">
        <w:rPr>
          <w:sz w:val="20"/>
          <w:szCs w:val="20"/>
        </w:rPr>
        <w:t xml:space="preserve"> </w:t>
      </w:r>
      <w:r w:rsidRPr="00103607">
        <w:rPr>
          <w:sz w:val="20"/>
          <w:szCs w:val="20"/>
        </w:rPr>
        <w:t>underscor</w:t>
      </w:r>
      <w:r w:rsidR="00C24B2A">
        <w:rPr>
          <w:sz w:val="20"/>
          <w:szCs w:val="20"/>
        </w:rPr>
        <w:t>ing</w:t>
      </w:r>
      <w:r w:rsidRPr="00103607">
        <w:rPr>
          <w:sz w:val="20"/>
          <w:szCs w:val="20"/>
        </w:rPr>
        <w:t xml:space="preserve"> significant programmatic and operat</w:t>
      </w:r>
      <w:r w:rsidR="00F85436" w:rsidRPr="00103607">
        <w:rPr>
          <w:sz w:val="20"/>
          <w:szCs w:val="20"/>
        </w:rPr>
        <w:t xml:space="preserve">ional risks </w:t>
      </w:r>
      <w:r w:rsidR="00C24B2A">
        <w:rPr>
          <w:sz w:val="20"/>
          <w:szCs w:val="20"/>
        </w:rPr>
        <w:t xml:space="preserve">that </w:t>
      </w:r>
      <w:r w:rsidR="00F85436" w:rsidRPr="00103607">
        <w:rPr>
          <w:sz w:val="20"/>
          <w:szCs w:val="20"/>
        </w:rPr>
        <w:t xml:space="preserve">affect </w:t>
      </w:r>
      <w:r w:rsidR="002350B9">
        <w:rPr>
          <w:sz w:val="20"/>
          <w:szCs w:val="20"/>
        </w:rPr>
        <w:t>U</w:t>
      </w:r>
      <w:r w:rsidR="00C24B2A">
        <w:rPr>
          <w:sz w:val="20"/>
          <w:szCs w:val="20"/>
        </w:rPr>
        <w:t xml:space="preserve">nited </w:t>
      </w:r>
      <w:r w:rsidR="002350B9">
        <w:rPr>
          <w:sz w:val="20"/>
          <w:szCs w:val="20"/>
        </w:rPr>
        <w:t>N</w:t>
      </w:r>
      <w:r w:rsidR="00C24B2A">
        <w:rPr>
          <w:sz w:val="20"/>
          <w:szCs w:val="20"/>
        </w:rPr>
        <w:t>ations</w:t>
      </w:r>
      <w:r w:rsidR="00F85436" w:rsidRPr="00103607">
        <w:rPr>
          <w:sz w:val="20"/>
          <w:szCs w:val="20"/>
        </w:rPr>
        <w:t xml:space="preserve"> efforts</w:t>
      </w:r>
      <w:r w:rsidRPr="00103607">
        <w:rPr>
          <w:sz w:val="20"/>
          <w:szCs w:val="20"/>
        </w:rPr>
        <w:t xml:space="preserve"> in </w:t>
      </w:r>
      <w:r w:rsidR="008527CC">
        <w:rPr>
          <w:sz w:val="20"/>
          <w:szCs w:val="20"/>
        </w:rPr>
        <w:t xml:space="preserve">the </w:t>
      </w:r>
      <w:r w:rsidRPr="00103607">
        <w:rPr>
          <w:sz w:val="20"/>
          <w:szCs w:val="20"/>
        </w:rPr>
        <w:t xml:space="preserve">country. </w:t>
      </w:r>
      <w:r w:rsidR="00C24B2A">
        <w:rPr>
          <w:sz w:val="20"/>
          <w:szCs w:val="20"/>
        </w:rPr>
        <w:t>Insecurity,</w:t>
      </w:r>
      <w:r w:rsidR="00C24B2A" w:rsidRPr="00103607">
        <w:rPr>
          <w:sz w:val="20"/>
          <w:szCs w:val="20"/>
        </w:rPr>
        <w:t xml:space="preserve"> </w:t>
      </w:r>
      <w:r w:rsidRPr="00103607">
        <w:rPr>
          <w:sz w:val="20"/>
          <w:szCs w:val="20"/>
        </w:rPr>
        <w:t xml:space="preserve">combined with political tension around eventual power sharing and lack of buy-in from a population </w:t>
      </w:r>
      <w:r w:rsidR="00C24B2A">
        <w:rPr>
          <w:sz w:val="20"/>
          <w:szCs w:val="20"/>
        </w:rPr>
        <w:t>that craves</w:t>
      </w:r>
      <w:r w:rsidR="00C24B2A" w:rsidRPr="00103607">
        <w:rPr>
          <w:sz w:val="20"/>
          <w:szCs w:val="20"/>
        </w:rPr>
        <w:t xml:space="preserve"> </w:t>
      </w:r>
      <w:r w:rsidR="00D17B82">
        <w:rPr>
          <w:sz w:val="20"/>
          <w:szCs w:val="20"/>
        </w:rPr>
        <w:t>tangible</w:t>
      </w:r>
      <w:r w:rsidR="002636FB" w:rsidRPr="00103607">
        <w:rPr>
          <w:sz w:val="20"/>
          <w:szCs w:val="20"/>
        </w:rPr>
        <w:t xml:space="preserve"> peace dividends</w:t>
      </w:r>
      <w:r w:rsidR="00C24B2A">
        <w:rPr>
          <w:sz w:val="20"/>
          <w:szCs w:val="20"/>
        </w:rPr>
        <w:t>,</w:t>
      </w:r>
      <w:r w:rsidR="002636FB" w:rsidRPr="00103607">
        <w:rPr>
          <w:sz w:val="20"/>
          <w:szCs w:val="20"/>
        </w:rPr>
        <w:t xml:space="preserve"> </w:t>
      </w:r>
      <w:r w:rsidRPr="00103607">
        <w:rPr>
          <w:sz w:val="20"/>
          <w:szCs w:val="20"/>
        </w:rPr>
        <w:t xml:space="preserve">all </w:t>
      </w:r>
      <w:r w:rsidR="00980C4E">
        <w:rPr>
          <w:sz w:val="20"/>
          <w:szCs w:val="20"/>
        </w:rPr>
        <w:t>jeopardize</w:t>
      </w:r>
      <w:r w:rsidR="0062617F" w:rsidRPr="00103607">
        <w:rPr>
          <w:sz w:val="20"/>
          <w:szCs w:val="20"/>
        </w:rPr>
        <w:t xml:space="preserve"> </w:t>
      </w:r>
      <w:r w:rsidRPr="00103607">
        <w:rPr>
          <w:sz w:val="20"/>
          <w:szCs w:val="20"/>
        </w:rPr>
        <w:t>the smooth implementation of the proposed programme.</w:t>
      </w:r>
      <w:r w:rsidR="002636FB" w:rsidRPr="00103607">
        <w:rPr>
          <w:sz w:val="20"/>
          <w:szCs w:val="20"/>
        </w:rPr>
        <w:t xml:space="preserve"> </w:t>
      </w:r>
    </w:p>
    <w:p w14:paraId="4B76C933" w14:textId="58F61B17" w:rsidR="005E07F6" w:rsidRPr="0072627A" w:rsidRDefault="0062617F"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Pr>
          <w:sz w:val="20"/>
          <w:szCs w:val="20"/>
        </w:rPr>
        <w:t xml:space="preserve">Because these </w:t>
      </w:r>
      <w:r w:rsidR="00DF7F35">
        <w:rPr>
          <w:sz w:val="20"/>
          <w:szCs w:val="20"/>
        </w:rPr>
        <w:t>r</w:t>
      </w:r>
      <w:r w:rsidR="004319D8" w:rsidRPr="0072627A">
        <w:rPr>
          <w:sz w:val="20"/>
          <w:szCs w:val="20"/>
        </w:rPr>
        <w:t xml:space="preserve">isks </w:t>
      </w:r>
      <w:r w:rsidR="00361209">
        <w:rPr>
          <w:sz w:val="20"/>
          <w:szCs w:val="20"/>
        </w:rPr>
        <w:t>have the potential to</w:t>
      </w:r>
      <w:r w:rsidR="002636FB" w:rsidRPr="0072627A">
        <w:rPr>
          <w:sz w:val="20"/>
          <w:szCs w:val="20"/>
        </w:rPr>
        <w:t xml:space="preserve"> delay or impede the implementation of </w:t>
      </w:r>
      <w:r w:rsidR="004319D8" w:rsidRPr="0072627A">
        <w:rPr>
          <w:sz w:val="20"/>
          <w:szCs w:val="20"/>
        </w:rPr>
        <w:t>the programme</w:t>
      </w:r>
      <w:r>
        <w:rPr>
          <w:sz w:val="20"/>
          <w:szCs w:val="20"/>
        </w:rPr>
        <w:t xml:space="preserve"> </w:t>
      </w:r>
      <w:r w:rsidR="002636FB" w:rsidRPr="0072627A">
        <w:rPr>
          <w:sz w:val="20"/>
          <w:szCs w:val="20"/>
        </w:rPr>
        <w:t>UNDP will</w:t>
      </w:r>
      <w:r w:rsidR="00C73AB9">
        <w:rPr>
          <w:sz w:val="20"/>
          <w:szCs w:val="20"/>
        </w:rPr>
        <w:t>,</w:t>
      </w:r>
      <w:r w:rsidR="002636FB" w:rsidRPr="0072627A">
        <w:rPr>
          <w:sz w:val="20"/>
          <w:szCs w:val="20"/>
        </w:rPr>
        <w:t xml:space="preserve"> </w:t>
      </w:r>
      <w:r w:rsidR="00C73AB9">
        <w:rPr>
          <w:sz w:val="20"/>
          <w:szCs w:val="20"/>
        </w:rPr>
        <w:t>in consultation with partners</w:t>
      </w:r>
      <w:r w:rsidR="00C24B2A">
        <w:rPr>
          <w:sz w:val="20"/>
          <w:szCs w:val="20"/>
        </w:rPr>
        <w:t>,</w:t>
      </w:r>
      <w:r w:rsidR="002636FB" w:rsidRPr="0072627A">
        <w:rPr>
          <w:sz w:val="20"/>
          <w:szCs w:val="20"/>
        </w:rPr>
        <w:t xml:space="preserve"> maintain a </w:t>
      </w:r>
      <w:r w:rsidR="00A56845" w:rsidRPr="0072627A">
        <w:rPr>
          <w:sz w:val="20"/>
          <w:szCs w:val="20"/>
        </w:rPr>
        <w:t xml:space="preserve">robust risk management system that </w:t>
      </w:r>
      <w:r w:rsidR="00C24B2A">
        <w:rPr>
          <w:sz w:val="20"/>
          <w:szCs w:val="20"/>
        </w:rPr>
        <w:t>allows for the redirection of</w:t>
      </w:r>
      <w:r w:rsidR="00A56845" w:rsidRPr="0072627A">
        <w:rPr>
          <w:sz w:val="20"/>
          <w:szCs w:val="20"/>
        </w:rPr>
        <w:t xml:space="preserve"> resources </w:t>
      </w:r>
      <w:r w:rsidR="00C73AB9">
        <w:rPr>
          <w:sz w:val="20"/>
          <w:szCs w:val="20"/>
        </w:rPr>
        <w:t>for</w:t>
      </w:r>
      <w:r w:rsidR="00C73AB9" w:rsidRPr="0072627A">
        <w:rPr>
          <w:sz w:val="20"/>
          <w:szCs w:val="20"/>
        </w:rPr>
        <w:t xml:space="preserve"> </w:t>
      </w:r>
      <w:r w:rsidR="00A56845" w:rsidRPr="0072627A">
        <w:rPr>
          <w:sz w:val="20"/>
          <w:szCs w:val="20"/>
        </w:rPr>
        <w:t>urgent needs</w:t>
      </w:r>
      <w:r w:rsidR="00C73AB9">
        <w:rPr>
          <w:sz w:val="20"/>
          <w:szCs w:val="20"/>
        </w:rPr>
        <w:t xml:space="preserve">. This </w:t>
      </w:r>
      <w:r w:rsidR="00DF7F35">
        <w:rPr>
          <w:sz w:val="20"/>
          <w:szCs w:val="20"/>
        </w:rPr>
        <w:t xml:space="preserve">will be combined with a </w:t>
      </w:r>
      <w:r w:rsidR="002636FB" w:rsidRPr="0072627A">
        <w:rPr>
          <w:sz w:val="20"/>
          <w:szCs w:val="20"/>
        </w:rPr>
        <w:t>flexible</w:t>
      </w:r>
      <w:r w:rsidR="006F6470" w:rsidRPr="0072627A">
        <w:rPr>
          <w:sz w:val="20"/>
          <w:szCs w:val="20"/>
        </w:rPr>
        <w:t xml:space="preserve"> and iterative</w:t>
      </w:r>
      <w:r w:rsidR="00DF7F35">
        <w:rPr>
          <w:sz w:val="20"/>
          <w:szCs w:val="20"/>
        </w:rPr>
        <w:t xml:space="preserve"> approach to programme implementation</w:t>
      </w:r>
      <w:r w:rsidR="00C73AB9">
        <w:rPr>
          <w:sz w:val="20"/>
          <w:szCs w:val="20"/>
        </w:rPr>
        <w:t xml:space="preserve"> </w:t>
      </w:r>
      <w:r w:rsidR="006F6470" w:rsidRPr="0072627A">
        <w:rPr>
          <w:sz w:val="20"/>
          <w:szCs w:val="20"/>
        </w:rPr>
        <w:t>based on stabilization efforts</w:t>
      </w:r>
      <w:r w:rsidR="003C295A" w:rsidRPr="0072627A">
        <w:rPr>
          <w:sz w:val="20"/>
          <w:szCs w:val="20"/>
        </w:rPr>
        <w:t xml:space="preserve"> and availability of resources</w:t>
      </w:r>
      <w:r w:rsidR="006F6470" w:rsidRPr="0072627A">
        <w:rPr>
          <w:sz w:val="20"/>
          <w:szCs w:val="20"/>
        </w:rPr>
        <w:t>.</w:t>
      </w:r>
      <w:r w:rsidR="002636FB" w:rsidRPr="0072627A">
        <w:rPr>
          <w:sz w:val="20"/>
          <w:szCs w:val="20"/>
        </w:rPr>
        <w:t xml:space="preserve"> </w:t>
      </w:r>
      <w:r w:rsidR="006F6470" w:rsidRPr="0072627A">
        <w:rPr>
          <w:sz w:val="20"/>
          <w:szCs w:val="20"/>
        </w:rPr>
        <w:t xml:space="preserve">The </w:t>
      </w:r>
      <w:r w:rsidR="00C73AB9">
        <w:rPr>
          <w:sz w:val="20"/>
          <w:szCs w:val="20"/>
        </w:rPr>
        <w:t xml:space="preserve">UNDP </w:t>
      </w:r>
      <w:r w:rsidR="006F6470" w:rsidRPr="0072627A">
        <w:rPr>
          <w:sz w:val="20"/>
          <w:szCs w:val="20"/>
        </w:rPr>
        <w:t>Country Office</w:t>
      </w:r>
      <w:r w:rsidR="00C06354" w:rsidRPr="0072627A">
        <w:rPr>
          <w:sz w:val="20"/>
          <w:szCs w:val="20"/>
        </w:rPr>
        <w:t xml:space="preserve"> will </w:t>
      </w:r>
      <w:r w:rsidR="00980C4E">
        <w:rPr>
          <w:sz w:val="20"/>
          <w:szCs w:val="20"/>
        </w:rPr>
        <w:t>improve</w:t>
      </w:r>
      <w:r w:rsidR="00980C4E" w:rsidRPr="0072627A">
        <w:rPr>
          <w:sz w:val="20"/>
          <w:szCs w:val="20"/>
        </w:rPr>
        <w:t xml:space="preserve"> </w:t>
      </w:r>
      <w:r w:rsidR="00C06354" w:rsidRPr="0072627A">
        <w:rPr>
          <w:sz w:val="20"/>
          <w:szCs w:val="20"/>
        </w:rPr>
        <w:t>its monitoring,</w:t>
      </w:r>
      <w:r w:rsidR="006F6470" w:rsidRPr="0072627A">
        <w:rPr>
          <w:sz w:val="20"/>
          <w:szCs w:val="20"/>
        </w:rPr>
        <w:t xml:space="preserve"> evaluation</w:t>
      </w:r>
      <w:r w:rsidR="00C06354" w:rsidRPr="0072627A">
        <w:rPr>
          <w:sz w:val="20"/>
          <w:szCs w:val="20"/>
        </w:rPr>
        <w:t xml:space="preserve"> and risk management</w:t>
      </w:r>
      <w:r w:rsidR="006F6470" w:rsidRPr="0072627A">
        <w:rPr>
          <w:sz w:val="20"/>
          <w:szCs w:val="20"/>
        </w:rPr>
        <w:t xml:space="preserve"> capacit</w:t>
      </w:r>
      <w:r w:rsidR="00361209">
        <w:rPr>
          <w:sz w:val="20"/>
          <w:szCs w:val="20"/>
        </w:rPr>
        <w:t>ies</w:t>
      </w:r>
      <w:r w:rsidR="006F6470" w:rsidRPr="0072627A">
        <w:rPr>
          <w:sz w:val="20"/>
          <w:szCs w:val="20"/>
        </w:rPr>
        <w:t xml:space="preserve"> to ensure r</w:t>
      </w:r>
      <w:r w:rsidR="00A56845" w:rsidRPr="0072627A">
        <w:rPr>
          <w:sz w:val="20"/>
          <w:szCs w:val="20"/>
        </w:rPr>
        <w:t>isk assessments</w:t>
      </w:r>
      <w:r w:rsidR="006F6470" w:rsidRPr="0072627A">
        <w:rPr>
          <w:sz w:val="20"/>
          <w:szCs w:val="20"/>
        </w:rPr>
        <w:t xml:space="preserve"> and </w:t>
      </w:r>
      <w:r w:rsidR="00A56845" w:rsidRPr="0072627A">
        <w:rPr>
          <w:sz w:val="20"/>
          <w:szCs w:val="20"/>
        </w:rPr>
        <w:t xml:space="preserve">regular reviews </w:t>
      </w:r>
      <w:r w:rsidR="007C1258">
        <w:rPr>
          <w:sz w:val="20"/>
          <w:szCs w:val="20"/>
        </w:rPr>
        <w:t>are</w:t>
      </w:r>
      <w:r w:rsidR="00D83DE2" w:rsidRPr="0072627A">
        <w:rPr>
          <w:sz w:val="20"/>
          <w:szCs w:val="20"/>
        </w:rPr>
        <w:t xml:space="preserve"> properly built into project design and </w:t>
      </w:r>
      <w:r w:rsidR="00A56845" w:rsidRPr="0072627A">
        <w:rPr>
          <w:sz w:val="20"/>
          <w:szCs w:val="20"/>
        </w:rPr>
        <w:t>undertaken with stakeholders</w:t>
      </w:r>
      <w:r w:rsidR="00D83DE2" w:rsidRPr="0072627A">
        <w:rPr>
          <w:sz w:val="20"/>
          <w:szCs w:val="20"/>
        </w:rPr>
        <w:t>.</w:t>
      </w:r>
      <w:r w:rsidR="008B096B" w:rsidRPr="0072627A">
        <w:rPr>
          <w:sz w:val="20"/>
          <w:szCs w:val="20"/>
        </w:rPr>
        <w:t xml:space="preserve"> </w:t>
      </w:r>
      <w:r w:rsidR="006F6470" w:rsidRPr="0072627A">
        <w:rPr>
          <w:sz w:val="20"/>
          <w:szCs w:val="20"/>
        </w:rPr>
        <w:t xml:space="preserve">The Human Rights Due Diligence </w:t>
      </w:r>
      <w:r w:rsidR="00C73AB9">
        <w:rPr>
          <w:sz w:val="20"/>
          <w:szCs w:val="20"/>
        </w:rPr>
        <w:t>P</w:t>
      </w:r>
      <w:r w:rsidR="006F6470" w:rsidRPr="0072627A">
        <w:rPr>
          <w:sz w:val="20"/>
          <w:szCs w:val="20"/>
        </w:rPr>
        <w:t>olicy (HRDDP) will guide jus</w:t>
      </w:r>
      <w:r w:rsidR="00C06354" w:rsidRPr="0072627A">
        <w:rPr>
          <w:sz w:val="20"/>
          <w:szCs w:val="20"/>
        </w:rPr>
        <w:t>tice and security interventions while th</w:t>
      </w:r>
      <w:r w:rsidR="006F6470" w:rsidRPr="0072627A">
        <w:rPr>
          <w:sz w:val="20"/>
          <w:szCs w:val="20"/>
        </w:rPr>
        <w:t>e Business Continuity Plan and programme criticality</w:t>
      </w:r>
      <w:r w:rsidR="00543844" w:rsidRPr="0072627A">
        <w:rPr>
          <w:sz w:val="20"/>
          <w:szCs w:val="20"/>
        </w:rPr>
        <w:t xml:space="preserve"> will be activated</w:t>
      </w:r>
      <w:r w:rsidR="006F6470" w:rsidRPr="0072627A">
        <w:rPr>
          <w:sz w:val="20"/>
          <w:szCs w:val="20"/>
        </w:rPr>
        <w:t xml:space="preserve"> in the event of a security breakdown. </w:t>
      </w:r>
    </w:p>
    <w:p w14:paraId="27118744" w14:textId="6BBEBB08" w:rsidR="005E07F6" w:rsidRPr="0072627A" w:rsidRDefault="005E07F6"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sidRPr="0072627A">
        <w:rPr>
          <w:sz w:val="20"/>
          <w:szCs w:val="20"/>
        </w:rPr>
        <w:t xml:space="preserve">UNDP will </w:t>
      </w:r>
      <w:r w:rsidR="00C73AB9">
        <w:rPr>
          <w:sz w:val="20"/>
          <w:szCs w:val="20"/>
        </w:rPr>
        <w:t>remain</w:t>
      </w:r>
      <w:r w:rsidRPr="00A96411">
        <w:rPr>
          <w:sz w:val="20"/>
          <w:szCs w:val="20"/>
        </w:rPr>
        <w:t xml:space="preserve"> </w:t>
      </w:r>
      <w:r w:rsidR="00A96411">
        <w:rPr>
          <w:sz w:val="20"/>
          <w:szCs w:val="20"/>
        </w:rPr>
        <w:t>agil</w:t>
      </w:r>
      <w:r w:rsidR="00C73AB9">
        <w:rPr>
          <w:sz w:val="20"/>
          <w:szCs w:val="20"/>
        </w:rPr>
        <w:t>e</w:t>
      </w:r>
      <w:r w:rsidRPr="0072627A">
        <w:rPr>
          <w:sz w:val="20"/>
          <w:szCs w:val="20"/>
        </w:rPr>
        <w:t xml:space="preserve"> by relying on global service platforms</w:t>
      </w:r>
      <w:r w:rsidR="00C73AB9">
        <w:rPr>
          <w:sz w:val="20"/>
          <w:szCs w:val="20"/>
        </w:rPr>
        <w:t>,</w:t>
      </w:r>
      <w:r w:rsidRPr="0072627A">
        <w:rPr>
          <w:sz w:val="20"/>
          <w:szCs w:val="20"/>
        </w:rPr>
        <w:t xml:space="preserve"> notably the Addis Ab</w:t>
      </w:r>
      <w:r w:rsidR="00C73AB9">
        <w:rPr>
          <w:sz w:val="20"/>
          <w:szCs w:val="20"/>
        </w:rPr>
        <w:t>a</w:t>
      </w:r>
      <w:r w:rsidRPr="0072627A">
        <w:rPr>
          <w:sz w:val="20"/>
          <w:szCs w:val="20"/>
        </w:rPr>
        <w:t>ba regional hub for programmatic support</w:t>
      </w:r>
      <w:r w:rsidR="0062617F">
        <w:rPr>
          <w:sz w:val="20"/>
          <w:szCs w:val="20"/>
        </w:rPr>
        <w:t>,</w:t>
      </w:r>
      <w:r w:rsidRPr="0072627A">
        <w:rPr>
          <w:sz w:val="20"/>
          <w:szCs w:val="20"/>
        </w:rPr>
        <w:t xml:space="preserve"> and the service hubs for finance, human resources and procurement. </w:t>
      </w:r>
      <w:r w:rsidR="00A96411">
        <w:rPr>
          <w:sz w:val="20"/>
          <w:szCs w:val="20"/>
        </w:rPr>
        <w:t xml:space="preserve">UNDP will maintain robust business practices to </w:t>
      </w:r>
      <w:r w:rsidR="00C73AB9">
        <w:rPr>
          <w:sz w:val="20"/>
          <w:szCs w:val="20"/>
        </w:rPr>
        <w:t>uphold</w:t>
      </w:r>
      <w:r w:rsidR="00A96411">
        <w:rPr>
          <w:sz w:val="20"/>
          <w:szCs w:val="20"/>
        </w:rPr>
        <w:t xml:space="preserve"> high levels of transparency through</w:t>
      </w:r>
      <w:r w:rsidR="00A96411" w:rsidRPr="00A96411">
        <w:rPr>
          <w:sz w:val="20"/>
          <w:szCs w:val="20"/>
        </w:rPr>
        <w:t xml:space="preserve"> </w:t>
      </w:r>
      <w:r w:rsidR="00A96411">
        <w:rPr>
          <w:sz w:val="20"/>
          <w:szCs w:val="20"/>
        </w:rPr>
        <w:t>r</w:t>
      </w:r>
      <w:r w:rsidR="008B096B" w:rsidRPr="0072627A">
        <w:rPr>
          <w:sz w:val="20"/>
          <w:szCs w:val="20"/>
        </w:rPr>
        <w:t xml:space="preserve">egular </w:t>
      </w:r>
      <w:r w:rsidR="006F6470" w:rsidRPr="0072627A">
        <w:rPr>
          <w:sz w:val="20"/>
          <w:szCs w:val="20"/>
        </w:rPr>
        <w:t>audit</w:t>
      </w:r>
      <w:r w:rsidR="0062617F">
        <w:rPr>
          <w:sz w:val="20"/>
          <w:szCs w:val="20"/>
        </w:rPr>
        <w:t>s</w:t>
      </w:r>
      <w:r w:rsidR="006F6470" w:rsidRPr="0072627A">
        <w:rPr>
          <w:sz w:val="20"/>
          <w:szCs w:val="20"/>
        </w:rPr>
        <w:t xml:space="preserve"> and spot che</w:t>
      </w:r>
      <w:r w:rsidR="008B096B" w:rsidRPr="0072627A">
        <w:rPr>
          <w:sz w:val="20"/>
          <w:szCs w:val="20"/>
        </w:rPr>
        <w:t>c</w:t>
      </w:r>
      <w:r w:rsidR="006F6470" w:rsidRPr="0072627A">
        <w:rPr>
          <w:sz w:val="20"/>
          <w:szCs w:val="20"/>
        </w:rPr>
        <w:t>k</w:t>
      </w:r>
      <w:r w:rsidR="008B096B" w:rsidRPr="0072627A">
        <w:rPr>
          <w:sz w:val="20"/>
          <w:szCs w:val="20"/>
        </w:rPr>
        <w:t>s to mitigate financial risks</w:t>
      </w:r>
      <w:r w:rsidR="006F6470" w:rsidRPr="0072627A">
        <w:rPr>
          <w:sz w:val="20"/>
          <w:szCs w:val="20"/>
        </w:rPr>
        <w:t>.</w:t>
      </w:r>
      <w:r w:rsidR="00A96411">
        <w:rPr>
          <w:sz w:val="20"/>
          <w:szCs w:val="20"/>
        </w:rPr>
        <w:t xml:space="preserve"> </w:t>
      </w:r>
      <w:r w:rsidR="006F6470" w:rsidRPr="0072627A">
        <w:rPr>
          <w:sz w:val="20"/>
          <w:szCs w:val="20"/>
        </w:rPr>
        <w:t xml:space="preserve"> The Internal Control Framework will be systematically enforced, </w:t>
      </w:r>
      <w:r w:rsidR="008B096B" w:rsidRPr="0072627A">
        <w:rPr>
          <w:sz w:val="20"/>
          <w:szCs w:val="20"/>
        </w:rPr>
        <w:t xml:space="preserve">while ensuring </w:t>
      </w:r>
      <w:r w:rsidR="002636FB" w:rsidRPr="0072627A">
        <w:rPr>
          <w:sz w:val="20"/>
          <w:szCs w:val="20"/>
        </w:rPr>
        <w:t>close involvement of national partners in the planning and implementation of interventions</w:t>
      </w:r>
      <w:r w:rsidR="008B096B" w:rsidRPr="0072627A">
        <w:rPr>
          <w:sz w:val="20"/>
          <w:szCs w:val="20"/>
        </w:rPr>
        <w:t xml:space="preserve">. These mechanisms will be built into project design, approval processes, monitoring requirements, performance assessments and closure mechanisms. </w:t>
      </w:r>
    </w:p>
    <w:p w14:paraId="667EF818" w14:textId="00C7E9D1" w:rsidR="002636FB" w:rsidRPr="0072627A" w:rsidRDefault="00243A0B"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sidRPr="0072627A">
        <w:rPr>
          <w:sz w:val="20"/>
          <w:szCs w:val="20"/>
        </w:rPr>
        <w:t>Although</w:t>
      </w:r>
      <w:r w:rsidR="001F45D8" w:rsidRPr="0072627A">
        <w:rPr>
          <w:sz w:val="20"/>
          <w:szCs w:val="20"/>
        </w:rPr>
        <w:t xml:space="preserve"> the international community pledged to </w:t>
      </w:r>
      <w:r w:rsidR="00AB463D">
        <w:rPr>
          <w:sz w:val="20"/>
          <w:szCs w:val="20"/>
        </w:rPr>
        <w:t xml:space="preserve">generously </w:t>
      </w:r>
      <w:r w:rsidR="001F45D8" w:rsidRPr="0072627A">
        <w:rPr>
          <w:sz w:val="20"/>
          <w:szCs w:val="20"/>
        </w:rPr>
        <w:t xml:space="preserve">support the </w:t>
      </w:r>
      <w:r w:rsidR="00AB463D">
        <w:rPr>
          <w:sz w:val="20"/>
          <w:szCs w:val="20"/>
        </w:rPr>
        <w:t>g</w:t>
      </w:r>
      <w:r w:rsidR="001F45D8" w:rsidRPr="0072627A">
        <w:rPr>
          <w:sz w:val="20"/>
          <w:szCs w:val="20"/>
        </w:rPr>
        <w:t>overnmen</w:t>
      </w:r>
      <w:r w:rsidR="00A84A19" w:rsidRPr="0072627A">
        <w:rPr>
          <w:sz w:val="20"/>
          <w:szCs w:val="20"/>
        </w:rPr>
        <w:t xml:space="preserve">t at the </w:t>
      </w:r>
      <w:r w:rsidR="00F85436" w:rsidRPr="0072627A">
        <w:rPr>
          <w:sz w:val="20"/>
          <w:szCs w:val="20"/>
        </w:rPr>
        <w:t xml:space="preserve">Brussels </w:t>
      </w:r>
      <w:r w:rsidR="00A84A19" w:rsidRPr="0072627A">
        <w:rPr>
          <w:sz w:val="20"/>
          <w:szCs w:val="20"/>
        </w:rPr>
        <w:t>roundtable</w:t>
      </w:r>
      <w:r w:rsidR="00287E80" w:rsidRPr="0072627A">
        <w:rPr>
          <w:sz w:val="20"/>
          <w:szCs w:val="20"/>
        </w:rPr>
        <w:t xml:space="preserve">, </w:t>
      </w:r>
      <w:r w:rsidR="00AB463D">
        <w:rPr>
          <w:sz w:val="20"/>
          <w:szCs w:val="20"/>
        </w:rPr>
        <w:t>the untimely</w:t>
      </w:r>
      <w:r w:rsidR="00A84A19" w:rsidRPr="0072627A">
        <w:rPr>
          <w:sz w:val="20"/>
          <w:szCs w:val="20"/>
        </w:rPr>
        <w:t xml:space="preserve"> </w:t>
      </w:r>
      <w:r w:rsidR="00287E80" w:rsidRPr="0072627A">
        <w:rPr>
          <w:sz w:val="20"/>
          <w:szCs w:val="20"/>
        </w:rPr>
        <w:t xml:space="preserve">follow through on financing will </w:t>
      </w:r>
      <w:r w:rsidRPr="0072627A">
        <w:rPr>
          <w:sz w:val="20"/>
          <w:szCs w:val="20"/>
        </w:rPr>
        <w:t>significant</w:t>
      </w:r>
      <w:r w:rsidR="004319D8" w:rsidRPr="0072627A">
        <w:rPr>
          <w:sz w:val="20"/>
          <w:szCs w:val="20"/>
        </w:rPr>
        <w:t>ly</w:t>
      </w:r>
      <w:r w:rsidR="00287E80" w:rsidRPr="0072627A">
        <w:rPr>
          <w:sz w:val="20"/>
          <w:szCs w:val="20"/>
        </w:rPr>
        <w:t xml:space="preserve"> </w:t>
      </w:r>
      <w:r w:rsidR="00DF7F35">
        <w:rPr>
          <w:sz w:val="20"/>
          <w:szCs w:val="20"/>
        </w:rPr>
        <w:t>impact</w:t>
      </w:r>
      <w:r w:rsidR="00361209" w:rsidRPr="0072627A">
        <w:rPr>
          <w:sz w:val="20"/>
          <w:szCs w:val="20"/>
        </w:rPr>
        <w:t xml:space="preserve"> </w:t>
      </w:r>
      <w:r w:rsidR="00287E80" w:rsidRPr="0072627A">
        <w:rPr>
          <w:sz w:val="20"/>
          <w:szCs w:val="20"/>
        </w:rPr>
        <w:t xml:space="preserve">the implementation of the </w:t>
      </w:r>
      <w:r w:rsidR="00E96742" w:rsidRPr="0072627A">
        <w:rPr>
          <w:sz w:val="20"/>
          <w:szCs w:val="20"/>
        </w:rPr>
        <w:t>RCPCA</w:t>
      </w:r>
      <w:r w:rsidR="00287E80" w:rsidRPr="0072627A">
        <w:rPr>
          <w:sz w:val="20"/>
          <w:szCs w:val="20"/>
        </w:rPr>
        <w:t xml:space="preserve">. </w:t>
      </w:r>
      <w:r w:rsidR="00AB463D">
        <w:rPr>
          <w:sz w:val="20"/>
          <w:szCs w:val="20"/>
        </w:rPr>
        <w:t xml:space="preserve">To mitigate the fall out linked to this, </w:t>
      </w:r>
      <w:r w:rsidRPr="0072627A">
        <w:rPr>
          <w:sz w:val="20"/>
          <w:szCs w:val="20"/>
        </w:rPr>
        <w:t xml:space="preserve">UNDP </w:t>
      </w:r>
      <w:r w:rsidR="00DF7F35">
        <w:rPr>
          <w:sz w:val="20"/>
          <w:szCs w:val="20"/>
        </w:rPr>
        <w:t>will continue to</w:t>
      </w:r>
      <w:r w:rsidR="00DF7F35" w:rsidRPr="0072627A">
        <w:rPr>
          <w:sz w:val="20"/>
          <w:szCs w:val="20"/>
        </w:rPr>
        <w:t xml:space="preserve"> </w:t>
      </w:r>
      <w:r w:rsidRPr="0072627A">
        <w:rPr>
          <w:sz w:val="20"/>
          <w:szCs w:val="20"/>
        </w:rPr>
        <w:t xml:space="preserve">support </w:t>
      </w:r>
      <w:r w:rsidR="00287E80" w:rsidRPr="0072627A">
        <w:rPr>
          <w:sz w:val="20"/>
          <w:szCs w:val="20"/>
        </w:rPr>
        <w:t xml:space="preserve">the </w:t>
      </w:r>
      <w:r w:rsidR="00AB463D">
        <w:rPr>
          <w:sz w:val="20"/>
          <w:szCs w:val="20"/>
        </w:rPr>
        <w:t>g</w:t>
      </w:r>
      <w:r w:rsidR="00287E80" w:rsidRPr="0072627A">
        <w:rPr>
          <w:sz w:val="20"/>
          <w:szCs w:val="20"/>
        </w:rPr>
        <w:t xml:space="preserve">overnment </w:t>
      </w:r>
      <w:r w:rsidR="00AB463D">
        <w:rPr>
          <w:sz w:val="20"/>
          <w:szCs w:val="20"/>
        </w:rPr>
        <w:t>in</w:t>
      </w:r>
      <w:r w:rsidR="00AB463D" w:rsidRPr="0072627A">
        <w:rPr>
          <w:sz w:val="20"/>
          <w:szCs w:val="20"/>
        </w:rPr>
        <w:t xml:space="preserve"> </w:t>
      </w:r>
      <w:r w:rsidR="00287E80" w:rsidRPr="0072627A">
        <w:rPr>
          <w:sz w:val="20"/>
          <w:szCs w:val="20"/>
        </w:rPr>
        <w:t>transparently and eff</w:t>
      </w:r>
      <w:r w:rsidRPr="0072627A">
        <w:rPr>
          <w:sz w:val="20"/>
          <w:szCs w:val="20"/>
        </w:rPr>
        <w:t>ectively manag</w:t>
      </w:r>
      <w:r w:rsidR="00AB463D">
        <w:rPr>
          <w:sz w:val="20"/>
          <w:szCs w:val="20"/>
        </w:rPr>
        <w:t>ing</w:t>
      </w:r>
      <w:r w:rsidRPr="0072627A">
        <w:rPr>
          <w:sz w:val="20"/>
          <w:szCs w:val="20"/>
        </w:rPr>
        <w:t xml:space="preserve"> development aid</w:t>
      </w:r>
      <w:r w:rsidR="00287E80" w:rsidRPr="0072627A">
        <w:rPr>
          <w:sz w:val="20"/>
          <w:szCs w:val="20"/>
        </w:rPr>
        <w:t>.</w:t>
      </w:r>
      <w:r w:rsidR="00A84A19" w:rsidRPr="0072627A">
        <w:rPr>
          <w:sz w:val="20"/>
          <w:szCs w:val="20"/>
        </w:rPr>
        <w:t xml:space="preserve"> In addition, </w:t>
      </w:r>
      <w:r w:rsidR="00A3436E">
        <w:rPr>
          <w:sz w:val="20"/>
          <w:szCs w:val="20"/>
        </w:rPr>
        <w:t>a</w:t>
      </w:r>
      <w:r w:rsidR="00A84A19" w:rsidRPr="0072627A">
        <w:rPr>
          <w:sz w:val="20"/>
          <w:szCs w:val="20"/>
        </w:rPr>
        <w:t xml:space="preserve"> resource mobilization strategy will guide UNDP action </w:t>
      </w:r>
      <w:r w:rsidR="00D104E9">
        <w:rPr>
          <w:sz w:val="20"/>
          <w:szCs w:val="20"/>
        </w:rPr>
        <w:t>when</w:t>
      </w:r>
      <w:r w:rsidR="00A84A19" w:rsidRPr="0072627A">
        <w:rPr>
          <w:sz w:val="20"/>
          <w:szCs w:val="20"/>
        </w:rPr>
        <w:t xml:space="preserve"> increasing partnerships with non-traditional donors, including </w:t>
      </w:r>
      <w:r w:rsidR="00E96742" w:rsidRPr="0072627A">
        <w:rPr>
          <w:sz w:val="20"/>
          <w:szCs w:val="20"/>
        </w:rPr>
        <w:t xml:space="preserve">those </w:t>
      </w:r>
      <w:r w:rsidR="00A84A19" w:rsidRPr="0072627A">
        <w:rPr>
          <w:sz w:val="20"/>
          <w:szCs w:val="20"/>
        </w:rPr>
        <w:t>from the region.</w:t>
      </w:r>
      <w:r w:rsidR="00F46E55" w:rsidRPr="0072627A">
        <w:rPr>
          <w:sz w:val="20"/>
          <w:szCs w:val="20"/>
        </w:rPr>
        <w:t xml:space="preserve"> </w:t>
      </w:r>
      <w:r w:rsidR="00D104E9">
        <w:rPr>
          <w:sz w:val="20"/>
          <w:szCs w:val="20"/>
        </w:rPr>
        <w:t>By using</w:t>
      </w:r>
      <w:r w:rsidR="00D104E9" w:rsidRPr="0072627A">
        <w:rPr>
          <w:sz w:val="20"/>
          <w:szCs w:val="20"/>
        </w:rPr>
        <w:t xml:space="preserve"> </w:t>
      </w:r>
      <w:r w:rsidR="00F46E55" w:rsidRPr="0072627A">
        <w:rPr>
          <w:sz w:val="20"/>
          <w:szCs w:val="20"/>
        </w:rPr>
        <w:t xml:space="preserve">existing and prospective partnerships with donors, UNDP will share the burden of programming risks </w:t>
      </w:r>
      <w:r w:rsidR="00AB463D">
        <w:rPr>
          <w:sz w:val="20"/>
          <w:szCs w:val="20"/>
        </w:rPr>
        <w:t>by</w:t>
      </w:r>
      <w:r w:rsidR="00AB463D" w:rsidRPr="0072627A">
        <w:rPr>
          <w:sz w:val="20"/>
          <w:szCs w:val="20"/>
        </w:rPr>
        <w:t xml:space="preserve"> safeguarding</w:t>
      </w:r>
      <w:r w:rsidR="00F46E55" w:rsidRPr="0072627A">
        <w:rPr>
          <w:sz w:val="20"/>
          <w:szCs w:val="20"/>
        </w:rPr>
        <w:t xml:space="preserve"> the flexibility</w:t>
      </w:r>
      <w:r w:rsidR="003C295A" w:rsidRPr="0072627A">
        <w:rPr>
          <w:sz w:val="20"/>
          <w:szCs w:val="20"/>
        </w:rPr>
        <w:t xml:space="preserve"> and iterative approaches </w:t>
      </w:r>
      <w:r w:rsidR="00D104E9">
        <w:rPr>
          <w:sz w:val="20"/>
          <w:szCs w:val="20"/>
        </w:rPr>
        <w:t xml:space="preserve">that are </w:t>
      </w:r>
      <w:r w:rsidR="00F46E55" w:rsidRPr="0072627A">
        <w:rPr>
          <w:sz w:val="20"/>
          <w:szCs w:val="20"/>
        </w:rPr>
        <w:t xml:space="preserve">built into </w:t>
      </w:r>
      <w:r w:rsidR="00A3436E">
        <w:rPr>
          <w:sz w:val="20"/>
          <w:szCs w:val="20"/>
        </w:rPr>
        <w:t>partnership</w:t>
      </w:r>
      <w:r w:rsidR="00A3436E" w:rsidRPr="0072627A">
        <w:rPr>
          <w:sz w:val="20"/>
          <w:szCs w:val="20"/>
        </w:rPr>
        <w:t xml:space="preserve"> </w:t>
      </w:r>
      <w:r w:rsidR="00F46E55" w:rsidRPr="0072627A">
        <w:rPr>
          <w:sz w:val="20"/>
          <w:szCs w:val="20"/>
        </w:rPr>
        <w:t>agreements from the outset.</w:t>
      </w:r>
      <w:r w:rsidR="003C295A" w:rsidRPr="0072627A">
        <w:rPr>
          <w:sz w:val="20"/>
          <w:szCs w:val="20"/>
        </w:rPr>
        <w:t xml:space="preserve"> </w:t>
      </w:r>
    </w:p>
    <w:p w14:paraId="300099FF" w14:textId="265EB2A2" w:rsidR="002636FB" w:rsidRDefault="00287E80"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sidRPr="002636FB">
        <w:rPr>
          <w:sz w:val="20"/>
          <w:szCs w:val="20"/>
        </w:rPr>
        <w:t>The ability of the peacekeeping presence</w:t>
      </w:r>
      <w:r w:rsidR="00C608B0">
        <w:rPr>
          <w:sz w:val="20"/>
          <w:szCs w:val="20"/>
        </w:rPr>
        <w:t xml:space="preserve"> in the country</w:t>
      </w:r>
      <w:r w:rsidRPr="002636FB">
        <w:rPr>
          <w:sz w:val="20"/>
          <w:szCs w:val="20"/>
        </w:rPr>
        <w:t xml:space="preserve"> to sustain relative peace long enough to </w:t>
      </w:r>
      <w:r w:rsidR="00AB463D">
        <w:rPr>
          <w:sz w:val="20"/>
          <w:szCs w:val="20"/>
        </w:rPr>
        <w:t>foster</w:t>
      </w:r>
      <w:r w:rsidR="00AB463D" w:rsidRPr="002636FB">
        <w:rPr>
          <w:sz w:val="20"/>
          <w:szCs w:val="20"/>
        </w:rPr>
        <w:t xml:space="preserve"> </w:t>
      </w:r>
      <w:r w:rsidRPr="002636FB">
        <w:rPr>
          <w:sz w:val="20"/>
          <w:szCs w:val="20"/>
        </w:rPr>
        <w:t>stabilization and recovery</w:t>
      </w:r>
      <w:r w:rsidR="00AB463D">
        <w:rPr>
          <w:sz w:val="20"/>
          <w:szCs w:val="20"/>
        </w:rPr>
        <w:t>,</w:t>
      </w:r>
      <w:r w:rsidRPr="002636FB">
        <w:rPr>
          <w:sz w:val="20"/>
          <w:szCs w:val="20"/>
        </w:rPr>
        <w:t xml:space="preserve"> is </w:t>
      </w:r>
      <w:r w:rsidR="00AB463D">
        <w:rPr>
          <w:sz w:val="20"/>
          <w:szCs w:val="20"/>
        </w:rPr>
        <w:t xml:space="preserve">critical </w:t>
      </w:r>
      <w:r w:rsidRPr="002636FB">
        <w:rPr>
          <w:sz w:val="20"/>
          <w:szCs w:val="20"/>
        </w:rPr>
        <w:t xml:space="preserve">for the successful implementation of the proposed programme. </w:t>
      </w:r>
      <w:r w:rsidR="00AB463D">
        <w:rPr>
          <w:sz w:val="20"/>
          <w:szCs w:val="20"/>
        </w:rPr>
        <w:t>S</w:t>
      </w:r>
      <w:r w:rsidRPr="002636FB">
        <w:rPr>
          <w:sz w:val="20"/>
          <w:szCs w:val="20"/>
        </w:rPr>
        <w:t>udden change</w:t>
      </w:r>
      <w:r w:rsidR="00AB463D">
        <w:rPr>
          <w:sz w:val="20"/>
          <w:szCs w:val="20"/>
        </w:rPr>
        <w:t>s</w:t>
      </w:r>
      <w:r w:rsidRPr="002636FB">
        <w:rPr>
          <w:sz w:val="20"/>
          <w:szCs w:val="20"/>
        </w:rPr>
        <w:t xml:space="preserve"> in </w:t>
      </w:r>
      <w:r w:rsidR="00243A0B">
        <w:rPr>
          <w:sz w:val="20"/>
          <w:szCs w:val="20"/>
        </w:rPr>
        <w:t>strength and/or deployment zones</w:t>
      </w:r>
      <w:r w:rsidRPr="002636FB">
        <w:rPr>
          <w:sz w:val="20"/>
          <w:szCs w:val="20"/>
        </w:rPr>
        <w:t xml:space="preserve"> would negatively influence UNDP effective</w:t>
      </w:r>
      <w:r w:rsidR="002636FB" w:rsidRPr="002636FB">
        <w:rPr>
          <w:sz w:val="20"/>
          <w:szCs w:val="20"/>
        </w:rPr>
        <w:t xml:space="preserve">ness </w:t>
      </w:r>
      <w:r w:rsidR="00243A0B">
        <w:rPr>
          <w:sz w:val="20"/>
          <w:szCs w:val="20"/>
        </w:rPr>
        <w:t>by</w:t>
      </w:r>
      <w:r w:rsidR="002636FB" w:rsidRPr="002636FB">
        <w:rPr>
          <w:sz w:val="20"/>
          <w:szCs w:val="20"/>
        </w:rPr>
        <w:t xml:space="preserve"> limiting </w:t>
      </w:r>
      <w:r w:rsidR="00785D20">
        <w:rPr>
          <w:sz w:val="20"/>
          <w:szCs w:val="20"/>
        </w:rPr>
        <w:t xml:space="preserve">its </w:t>
      </w:r>
      <w:r w:rsidR="002636FB" w:rsidRPr="002636FB">
        <w:rPr>
          <w:sz w:val="20"/>
          <w:szCs w:val="20"/>
        </w:rPr>
        <w:t>operat</w:t>
      </w:r>
      <w:r w:rsidR="00785D20">
        <w:rPr>
          <w:sz w:val="20"/>
          <w:szCs w:val="20"/>
        </w:rPr>
        <w:t>ion</w:t>
      </w:r>
      <w:r w:rsidR="00F87C62">
        <w:rPr>
          <w:sz w:val="20"/>
          <w:szCs w:val="20"/>
        </w:rPr>
        <w:t>al</w:t>
      </w:r>
      <w:r w:rsidR="00785D20">
        <w:rPr>
          <w:sz w:val="20"/>
          <w:szCs w:val="20"/>
        </w:rPr>
        <w:t xml:space="preserve"> zone</w:t>
      </w:r>
      <w:r w:rsidR="002636FB" w:rsidRPr="002636FB">
        <w:rPr>
          <w:sz w:val="20"/>
          <w:szCs w:val="20"/>
        </w:rPr>
        <w:t xml:space="preserve">. </w:t>
      </w:r>
      <w:r w:rsidR="00AB463D">
        <w:rPr>
          <w:sz w:val="20"/>
          <w:szCs w:val="20"/>
        </w:rPr>
        <w:t>To this end,</w:t>
      </w:r>
      <w:r w:rsidR="002636FB" w:rsidRPr="002636FB">
        <w:rPr>
          <w:sz w:val="20"/>
          <w:szCs w:val="20"/>
        </w:rPr>
        <w:t xml:space="preserve"> UNDP</w:t>
      </w:r>
      <w:r w:rsidR="00AB463D">
        <w:rPr>
          <w:sz w:val="20"/>
          <w:szCs w:val="20"/>
        </w:rPr>
        <w:t xml:space="preserve"> will</w:t>
      </w:r>
      <w:r w:rsidR="002636FB" w:rsidRPr="002636FB">
        <w:rPr>
          <w:sz w:val="20"/>
          <w:szCs w:val="20"/>
        </w:rPr>
        <w:t xml:space="preserve"> collaborat</w:t>
      </w:r>
      <w:r w:rsidR="00AB463D">
        <w:rPr>
          <w:sz w:val="20"/>
          <w:szCs w:val="20"/>
        </w:rPr>
        <w:t>e closely</w:t>
      </w:r>
      <w:r w:rsidR="002636FB" w:rsidRPr="002636FB">
        <w:rPr>
          <w:sz w:val="20"/>
          <w:szCs w:val="20"/>
        </w:rPr>
        <w:t xml:space="preserve"> with the peacekeeping </w:t>
      </w:r>
      <w:r w:rsidR="00785D20">
        <w:rPr>
          <w:sz w:val="20"/>
          <w:szCs w:val="20"/>
        </w:rPr>
        <w:t>mission</w:t>
      </w:r>
      <w:r w:rsidR="00785D20" w:rsidRPr="002636FB">
        <w:rPr>
          <w:sz w:val="20"/>
          <w:szCs w:val="20"/>
        </w:rPr>
        <w:t xml:space="preserve"> </w:t>
      </w:r>
      <w:r w:rsidR="002636FB" w:rsidRPr="002636FB">
        <w:rPr>
          <w:sz w:val="20"/>
          <w:szCs w:val="20"/>
        </w:rPr>
        <w:t xml:space="preserve">to </w:t>
      </w:r>
      <w:r w:rsidR="00DF7F35">
        <w:rPr>
          <w:sz w:val="20"/>
          <w:szCs w:val="20"/>
        </w:rPr>
        <w:t>ensure</w:t>
      </w:r>
      <w:r w:rsidR="00AB463D" w:rsidRPr="002636FB">
        <w:rPr>
          <w:sz w:val="20"/>
          <w:szCs w:val="20"/>
        </w:rPr>
        <w:t xml:space="preserve"> </w:t>
      </w:r>
      <w:r w:rsidR="002636FB" w:rsidRPr="002636FB">
        <w:rPr>
          <w:sz w:val="20"/>
          <w:szCs w:val="20"/>
        </w:rPr>
        <w:t xml:space="preserve">informed programmatic and operational decisions in the field. </w:t>
      </w:r>
    </w:p>
    <w:p w14:paraId="222086FB" w14:textId="7DF666D7" w:rsidR="00243A0B" w:rsidRDefault="00F46E55"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Pr>
          <w:sz w:val="20"/>
          <w:szCs w:val="20"/>
        </w:rPr>
        <w:t>The d</w:t>
      </w:r>
      <w:r w:rsidR="002636FB" w:rsidRPr="002636FB">
        <w:rPr>
          <w:sz w:val="20"/>
          <w:szCs w:val="20"/>
        </w:rPr>
        <w:t>irect execution</w:t>
      </w:r>
      <w:r>
        <w:rPr>
          <w:sz w:val="20"/>
          <w:szCs w:val="20"/>
        </w:rPr>
        <w:t xml:space="preserve"> modality will be </w:t>
      </w:r>
      <w:r w:rsidR="00E35863">
        <w:rPr>
          <w:sz w:val="20"/>
          <w:szCs w:val="20"/>
        </w:rPr>
        <w:t>applied</w:t>
      </w:r>
      <w:r w:rsidR="002636FB" w:rsidRPr="002636FB">
        <w:rPr>
          <w:sz w:val="20"/>
          <w:szCs w:val="20"/>
        </w:rPr>
        <w:t xml:space="preserve"> </w:t>
      </w:r>
      <w:r w:rsidR="00E35863">
        <w:rPr>
          <w:sz w:val="20"/>
          <w:szCs w:val="20"/>
        </w:rPr>
        <w:t>in order to respond</w:t>
      </w:r>
      <w:r w:rsidR="002636FB" w:rsidRPr="002636FB">
        <w:rPr>
          <w:sz w:val="20"/>
          <w:szCs w:val="20"/>
        </w:rPr>
        <w:t xml:space="preserve"> to major capacity weaknesses</w:t>
      </w:r>
      <w:r w:rsidR="00CB37D4">
        <w:rPr>
          <w:sz w:val="20"/>
          <w:szCs w:val="20"/>
        </w:rPr>
        <w:t xml:space="preserve"> and/or</w:t>
      </w:r>
      <w:r w:rsidR="002636FB" w:rsidRPr="002636FB">
        <w:rPr>
          <w:sz w:val="20"/>
          <w:szCs w:val="20"/>
        </w:rPr>
        <w:t xml:space="preserve"> force majeure</w:t>
      </w:r>
      <w:r w:rsidR="0062617F">
        <w:rPr>
          <w:sz w:val="20"/>
          <w:szCs w:val="20"/>
        </w:rPr>
        <w:t>,</w:t>
      </w:r>
      <w:r w:rsidR="003C295A">
        <w:rPr>
          <w:sz w:val="20"/>
          <w:szCs w:val="20"/>
        </w:rPr>
        <w:t xml:space="preserve"> and ensure the necessary agility to adapt in the event of significant changes to the</w:t>
      </w:r>
      <w:r w:rsidR="00D104E9">
        <w:rPr>
          <w:sz w:val="20"/>
          <w:szCs w:val="20"/>
        </w:rPr>
        <w:t xml:space="preserve"> country</w:t>
      </w:r>
      <w:r w:rsidR="003C295A">
        <w:rPr>
          <w:sz w:val="20"/>
          <w:szCs w:val="20"/>
        </w:rPr>
        <w:t xml:space="preserve"> context</w:t>
      </w:r>
      <w:r w:rsidR="002636FB" w:rsidRPr="002636FB">
        <w:rPr>
          <w:sz w:val="20"/>
          <w:szCs w:val="20"/>
        </w:rPr>
        <w:t>. Specific implementation modalities</w:t>
      </w:r>
      <w:r>
        <w:rPr>
          <w:sz w:val="20"/>
          <w:szCs w:val="20"/>
        </w:rPr>
        <w:t xml:space="preserve"> for projects</w:t>
      </w:r>
      <w:r w:rsidR="002636FB" w:rsidRPr="002636FB">
        <w:rPr>
          <w:sz w:val="20"/>
          <w:szCs w:val="20"/>
        </w:rPr>
        <w:t xml:space="preserve"> will be agreed upon with </w:t>
      </w:r>
      <w:r w:rsidR="00FE01A3">
        <w:rPr>
          <w:sz w:val="20"/>
          <w:szCs w:val="20"/>
        </w:rPr>
        <w:t>g</w:t>
      </w:r>
      <w:r w:rsidR="002636FB" w:rsidRPr="002636FB">
        <w:rPr>
          <w:sz w:val="20"/>
          <w:szCs w:val="20"/>
        </w:rPr>
        <w:t xml:space="preserve">overnment </w:t>
      </w:r>
      <w:r w:rsidR="00CB37D4">
        <w:rPr>
          <w:sz w:val="20"/>
          <w:szCs w:val="20"/>
        </w:rPr>
        <w:t>and financial partners</w:t>
      </w:r>
      <w:r w:rsidR="00FE01A3">
        <w:rPr>
          <w:sz w:val="20"/>
          <w:szCs w:val="20"/>
        </w:rPr>
        <w:t>,</w:t>
      </w:r>
      <w:r w:rsidR="00CB37D4">
        <w:rPr>
          <w:sz w:val="20"/>
          <w:szCs w:val="20"/>
        </w:rPr>
        <w:t xml:space="preserve"> </w:t>
      </w:r>
      <w:r w:rsidR="002636FB" w:rsidRPr="002636FB">
        <w:rPr>
          <w:sz w:val="20"/>
          <w:szCs w:val="20"/>
        </w:rPr>
        <w:t xml:space="preserve">and be selected </w:t>
      </w:r>
      <w:r w:rsidR="00FE01A3">
        <w:rPr>
          <w:sz w:val="20"/>
          <w:szCs w:val="20"/>
        </w:rPr>
        <w:t xml:space="preserve">by way </w:t>
      </w:r>
      <w:r w:rsidR="00835916">
        <w:rPr>
          <w:sz w:val="20"/>
          <w:szCs w:val="20"/>
        </w:rPr>
        <w:t xml:space="preserve">of </w:t>
      </w:r>
      <w:r w:rsidR="00FE01A3">
        <w:rPr>
          <w:sz w:val="20"/>
          <w:szCs w:val="20"/>
        </w:rPr>
        <w:t xml:space="preserve">a </w:t>
      </w:r>
      <w:r w:rsidR="00835916">
        <w:rPr>
          <w:sz w:val="20"/>
          <w:szCs w:val="20"/>
        </w:rPr>
        <w:t>risk,</w:t>
      </w:r>
      <w:r w:rsidR="005E07F6">
        <w:rPr>
          <w:sz w:val="20"/>
          <w:szCs w:val="20"/>
        </w:rPr>
        <w:t xml:space="preserve"> </w:t>
      </w:r>
      <w:r w:rsidR="002636FB" w:rsidRPr="002636FB">
        <w:rPr>
          <w:sz w:val="20"/>
          <w:szCs w:val="20"/>
        </w:rPr>
        <w:t>need</w:t>
      </w:r>
      <w:r w:rsidR="005E07F6">
        <w:rPr>
          <w:sz w:val="20"/>
          <w:szCs w:val="20"/>
        </w:rPr>
        <w:t>s</w:t>
      </w:r>
      <w:r w:rsidR="002636FB" w:rsidRPr="002636FB">
        <w:rPr>
          <w:sz w:val="20"/>
          <w:szCs w:val="20"/>
        </w:rPr>
        <w:t xml:space="preserve"> and capacity</w:t>
      </w:r>
      <w:r w:rsidR="00FE01A3">
        <w:rPr>
          <w:sz w:val="20"/>
          <w:szCs w:val="20"/>
        </w:rPr>
        <w:t xml:space="preserve"> assessment</w:t>
      </w:r>
      <w:r w:rsidR="002636FB" w:rsidRPr="002636FB">
        <w:rPr>
          <w:sz w:val="20"/>
          <w:szCs w:val="20"/>
        </w:rPr>
        <w:t xml:space="preserve">. </w:t>
      </w:r>
    </w:p>
    <w:p w14:paraId="54E71FA0" w14:textId="0E083A0A" w:rsidR="00243A0B" w:rsidRDefault="00EC0AEF"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sidRPr="00243A0B">
        <w:rPr>
          <w:sz w:val="20"/>
          <w:szCs w:val="20"/>
        </w:rPr>
        <w:t xml:space="preserve">This country programme document outlines UNDP contributions to national results and serves as the primary unit of accountability to the Executive Board for results alignment and resources assigned to the programme at the country level. Accountabilities of managers at the country, regional and headquarters levels with respect to country programmes are </w:t>
      </w:r>
      <w:r w:rsidR="00E35863">
        <w:rPr>
          <w:sz w:val="20"/>
          <w:szCs w:val="20"/>
        </w:rPr>
        <w:t>prescribed</w:t>
      </w:r>
      <w:r w:rsidRPr="00243A0B">
        <w:rPr>
          <w:sz w:val="20"/>
          <w:szCs w:val="20"/>
        </w:rPr>
        <w:t xml:space="preserve"> in the UNDP programme and operations policies and procedures and its internal </w:t>
      </w:r>
      <w:r w:rsidRPr="00243A0B">
        <w:rPr>
          <w:sz w:val="20"/>
          <w:szCs w:val="20"/>
        </w:rPr>
        <w:lastRenderedPageBreak/>
        <w:t xml:space="preserve">controls framework. </w:t>
      </w:r>
      <w:r w:rsidR="001F45D8" w:rsidRPr="00243A0B">
        <w:rPr>
          <w:sz w:val="20"/>
          <w:szCs w:val="20"/>
        </w:rPr>
        <w:t xml:space="preserve">In accordance with Executive Board decision </w:t>
      </w:r>
      <w:r w:rsidR="00C007FE">
        <w:rPr>
          <w:sz w:val="20"/>
          <w:szCs w:val="20"/>
        </w:rPr>
        <w:t>2</w:t>
      </w:r>
      <w:r w:rsidR="001F45D8" w:rsidRPr="00243A0B">
        <w:rPr>
          <w:sz w:val="20"/>
          <w:szCs w:val="20"/>
        </w:rPr>
        <w:t>013/</w:t>
      </w:r>
      <w:r w:rsidR="00C007FE">
        <w:rPr>
          <w:sz w:val="20"/>
          <w:szCs w:val="20"/>
        </w:rPr>
        <w:t>9</w:t>
      </w:r>
      <w:r w:rsidR="001F45D8" w:rsidRPr="00243A0B">
        <w:rPr>
          <w:sz w:val="20"/>
          <w:szCs w:val="20"/>
        </w:rPr>
        <w:t>, all direct costs associated with project implementation should be charged to the concerned projects.</w:t>
      </w:r>
    </w:p>
    <w:p w14:paraId="41B5322A" w14:textId="53AFCDFB" w:rsidR="00F34709" w:rsidRPr="00D83DE2" w:rsidRDefault="00F34709" w:rsidP="00CE68BD">
      <w:pPr>
        <w:pStyle w:val="ListParagraph"/>
        <w:numPr>
          <w:ilvl w:val="0"/>
          <w:numId w:val="13"/>
        </w:numPr>
        <w:tabs>
          <w:tab w:val="clear" w:pos="624"/>
          <w:tab w:val="num" w:pos="1418"/>
          <w:tab w:val="left" w:pos="1800"/>
        </w:tabs>
        <w:ind w:left="1418" w:right="1210" w:firstLine="0"/>
        <w:jc w:val="both"/>
        <w:rPr>
          <w:sz w:val="20"/>
          <w:szCs w:val="20"/>
        </w:rPr>
      </w:pPr>
      <w:r w:rsidRPr="00243A0B">
        <w:rPr>
          <w:sz w:val="20"/>
          <w:szCs w:val="20"/>
        </w:rPr>
        <w:t>UNDP will retain some flexibility in planning and allocating resources through a concerted and coordinated framewo</w:t>
      </w:r>
      <w:r w:rsidR="009832EF" w:rsidRPr="00243A0B">
        <w:rPr>
          <w:sz w:val="20"/>
          <w:szCs w:val="20"/>
        </w:rPr>
        <w:t xml:space="preserve">rk with the </w:t>
      </w:r>
      <w:r w:rsidR="00EB6077">
        <w:rPr>
          <w:sz w:val="20"/>
          <w:szCs w:val="20"/>
        </w:rPr>
        <w:t>g</w:t>
      </w:r>
      <w:r w:rsidR="009832EF" w:rsidRPr="00243A0B">
        <w:rPr>
          <w:sz w:val="20"/>
          <w:szCs w:val="20"/>
        </w:rPr>
        <w:t>overnme</w:t>
      </w:r>
      <w:r w:rsidR="006C6258" w:rsidRPr="00243A0B">
        <w:rPr>
          <w:sz w:val="20"/>
          <w:szCs w:val="20"/>
        </w:rPr>
        <w:t xml:space="preserve">nt, </w:t>
      </w:r>
      <w:r w:rsidR="00661202">
        <w:rPr>
          <w:sz w:val="20"/>
          <w:szCs w:val="20"/>
        </w:rPr>
        <w:t xml:space="preserve">and </w:t>
      </w:r>
      <w:r w:rsidR="006C6258" w:rsidRPr="00243A0B">
        <w:rPr>
          <w:sz w:val="20"/>
          <w:szCs w:val="20"/>
        </w:rPr>
        <w:t xml:space="preserve">multilateral and bilateral </w:t>
      </w:r>
      <w:r w:rsidRPr="00243A0B">
        <w:rPr>
          <w:sz w:val="20"/>
          <w:szCs w:val="20"/>
        </w:rPr>
        <w:t>partners. More generally, the implementation of the program</w:t>
      </w:r>
      <w:r w:rsidR="009832EF" w:rsidRPr="00243A0B">
        <w:rPr>
          <w:sz w:val="20"/>
          <w:szCs w:val="20"/>
        </w:rPr>
        <w:t>me</w:t>
      </w:r>
      <w:r w:rsidRPr="00243A0B">
        <w:rPr>
          <w:sz w:val="20"/>
          <w:szCs w:val="20"/>
        </w:rPr>
        <w:t xml:space="preserve"> will be part of the overall</w:t>
      </w:r>
      <w:r w:rsidR="009832EF" w:rsidRPr="00243A0B">
        <w:rPr>
          <w:sz w:val="20"/>
          <w:szCs w:val="20"/>
        </w:rPr>
        <w:t xml:space="preserve"> </w:t>
      </w:r>
      <w:r w:rsidRPr="00243A0B">
        <w:rPr>
          <w:sz w:val="20"/>
          <w:szCs w:val="20"/>
        </w:rPr>
        <w:t xml:space="preserve">response of the United Nations system and international community to </w:t>
      </w:r>
      <w:r w:rsidR="00A210E0">
        <w:rPr>
          <w:sz w:val="20"/>
          <w:szCs w:val="20"/>
        </w:rPr>
        <w:t xml:space="preserve">address national </w:t>
      </w:r>
      <w:r w:rsidRPr="00243A0B">
        <w:rPr>
          <w:sz w:val="20"/>
          <w:szCs w:val="20"/>
        </w:rPr>
        <w:t xml:space="preserve">challenges and priorities. </w:t>
      </w:r>
      <w:r w:rsidR="00405CF6">
        <w:rPr>
          <w:sz w:val="20"/>
          <w:szCs w:val="20"/>
        </w:rPr>
        <w:t>R</w:t>
      </w:r>
      <w:r w:rsidRPr="00243A0B">
        <w:rPr>
          <w:sz w:val="20"/>
          <w:szCs w:val="20"/>
        </w:rPr>
        <w:t xml:space="preserve">egular consultations will be held with </w:t>
      </w:r>
      <w:r w:rsidR="00405CF6">
        <w:rPr>
          <w:sz w:val="20"/>
          <w:szCs w:val="20"/>
        </w:rPr>
        <w:t>United Nations organizations</w:t>
      </w:r>
      <w:r w:rsidRPr="00243A0B">
        <w:rPr>
          <w:sz w:val="20"/>
          <w:szCs w:val="20"/>
        </w:rPr>
        <w:t xml:space="preserve"> and other partners involved in priority areas of the program</w:t>
      </w:r>
      <w:r w:rsidR="009832EF" w:rsidRPr="00243A0B">
        <w:rPr>
          <w:sz w:val="20"/>
          <w:szCs w:val="20"/>
        </w:rPr>
        <w:t>me</w:t>
      </w:r>
      <w:r w:rsidRPr="00243A0B">
        <w:rPr>
          <w:sz w:val="20"/>
          <w:szCs w:val="20"/>
        </w:rPr>
        <w:t>.</w:t>
      </w:r>
    </w:p>
    <w:p w14:paraId="5F524475" w14:textId="77777777" w:rsidR="002A7363" w:rsidRPr="006C6258" w:rsidRDefault="002A7363" w:rsidP="00CE68BD">
      <w:pPr>
        <w:ind w:right="1210"/>
        <w:jc w:val="both"/>
        <w:rPr>
          <w:color w:val="000000"/>
          <w:sz w:val="20"/>
          <w:szCs w:val="20"/>
        </w:rPr>
      </w:pPr>
    </w:p>
    <w:p w14:paraId="7219161E" w14:textId="77777777" w:rsidR="00701B6B" w:rsidRPr="00CE68BD" w:rsidRDefault="001D42D1" w:rsidP="00CE68BD">
      <w:pPr>
        <w:pStyle w:val="Heading1"/>
        <w:numPr>
          <w:ilvl w:val="0"/>
          <w:numId w:val="35"/>
        </w:numPr>
        <w:tabs>
          <w:tab w:val="left" w:pos="1800"/>
          <w:tab w:val="left" w:pos="4320"/>
        </w:tabs>
        <w:ind w:left="1440" w:right="1210" w:hanging="540"/>
        <w:jc w:val="both"/>
        <w:rPr>
          <w:rFonts w:ascii="Times New Roman" w:hAnsi="Times New Roman"/>
          <w:color w:val="000000"/>
          <w:sz w:val="24"/>
          <w:lang w:val="en-US"/>
        </w:rPr>
      </w:pPr>
      <w:r w:rsidRPr="00CE68BD">
        <w:rPr>
          <w:rFonts w:ascii="Times New Roman" w:hAnsi="Times New Roman"/>
          <w:color w:val="000000"/>
          <w:sz w:val="24"/>
        </w:rPr>
        <w:t xml:space="preserve">Monitoring and </w:t>
      </w:r>
      <w:r w:rsidR="00CE68BD">
        <w:rPr>
          <w:rFonts w:ascii="Times New Roman" w:hAnsi="Times New Roman"/>
          <w:color w:val="000000"/>
          <w:sz w:val="24"/>
          <w:lang w:val="en-US"/>
        </w:rPr>
        <w:t>e</w:t>
      </w:r>
      <w:r w:rsidR="001B3F87" w:rsidRPr="00CE68BD">
        <w:rPr>
          <w:rFonts w:ascii="Times New Roman" w:hAnsi="Times New Roman"/>
          <w:color w:val="000000"/>
          <w:sz w:val="24"/>
          <w:lang w:val="en-US"/>
        </w:rPr>
        <w:t>valuation</w:t>
      </w:r>
    </w:p>
    <w:p w14:paraId="47726007" w14:textId="77777777" w:rsidR="001D42D1" w:rsidRPr="00CE68BD" w:rsidRDefault="001D42D1" w:rsidP="00CE68BD">
      <w:pPr>
        <w:pStyle w:val="Heading1"/>
        <w:tabs>
          <w:tab w:val="left" w:pos="1800"/>
        </w:tabs>
        <w:ind w:left="1267" w:right="1210"/>
        <w:jc w:val="both"/>
        <w:rPr>
          <w:rFonts w:ascii="Times New Roman" w:hAnsi="Times New Roman"/>
          <w:b w:val="0"/>
          <w:color w:val="000000"/>
          <w:sz w:val="20"/>
          <w:szCs w:val="20"/>
          <w:lang w:val="en-US"/>
        </w:rPr>
      </w:pPr>
    </w:p>
    <w:p w14:paraId="09DAD260" w14:textId="4D6EBBFF" w:rsidR="00F34709" w:rsidRDefault="009832EF"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sidRPr="00435BE7">
        <w:rPr>
          <w:sz w:val="20"/>
          <w:szCs w:val="20"/>
        </w:rPr>
        <w:t>As part of the lessons learned from the previous programme cycle</w:t>
      </w:r>
      <w:r w:rsidR="00E35863">
        <w:rPr>
          <w:sz w:val="20"/>
          <w:szCs w:val="20"/>
        </w:rPr>
        <w:t>,</w:t>
      </w:r>
      <w:r w:rsidRPr="00435BE7">
        <w:rPr>
          <w:sz w:val="20"/>
          <w:szCs w:val="20"/>
        </w:rPr>
        <w:t xml:space="preserve"> where the crisis negatively </w:t>
      </w:r>
      <w:r w:rsidR="00361209">
        <w:rPr>
          <w:sz w:val="20"/>
          <w:szCs w:val="20"/>
        </w:rPr>
        <w:t>affected</w:t>
      </w:r>
      <w:r w:rsidR="00361209" w:rsidRPr="00435BE7">
        <w:rPr>
          <w:sz w:val="20"/>
          <w:szCs w:val="20"/>
        </w:rPr>
        <w:t xml:space="preserve"> </w:t>
      </w:r>
      <w:r w:rsidRPr="00435BE7">
        <w:rPr>
          <w:sz w:val="20"/>
          <w:szCs w:val="20"/>
        </w:rPr>
        <w:t>the ability</w:t>
      </w:r>
      <w:r w:rsidR="00405CF6">
        <w:rPr>
          <w:sz w:val="20"/>
          <w:szCs w:val="20"/>
        </w:rPr>
        <w:t xml:space="preserve"> of the Country Office </w:t>
      </w:r>
      <w:r w:rsidRPr="00435BE7">
        <w:rPr>
          <w:sz w:val="20"/>
          <w:szCs w:val="20"/>
        </w:rPr>
        <w:t>to undertake systematic evaluations</w:t>
      </w:r>
      <w:r w:rsidR="004319D8">
        <w:rPr>
          <w:sz w:val="20"/>
          <w:szCs w:val="20"/>
        </w:rPr>
        <w:t xml:space="preserve"> of programme</w:t>
      </w:r>
      <w:r w:rsidR="00405CF6">
        <w:rPr>
          <w:sz w:val="20"/>
          <w:szCs w:val="20"/>
        </w:rPr>
        <w:t>s</w:t>
      </w:r>
      <w:r w:rsidR="004319D8">
        <w:rPr>
          <w:sz w:val="20"/>
          <w:szCs w:val="20"/>
        </w:rPr>
        <w:t xml:space="preserve"> and projects</w:t>
      </w:r>
      <w:r w:rsidR="00E35863">
        <w:rPr>
          <w:sz w:val="20"/>
          <w:szCs w:val="20"/>
        </w:rPr>
        <w:t>,</w:t>
      </w:r>
      <w:r w:rsidR="00F34709" w:rsidRPr="00435BE7">
        <w:rPr>
          <w:sz w:val="20"/>
          <w:szCs w:val="20"/>
        </w:rPr>
        <w:t xml:space="preserve"> </w:t>
      </w:r>
      <w:r w:rsidR="00E42A6F" w:rsidRPr="00435BE7">
        <w:rPr>
          <w:sz w:val="20"/>
          <w:szCs w:val="20"/>
        </w:rPr>
        <w:t>UNDP</w:t>
      </w:r>
      <w:r w:rsidR="00F34709" w:rsidRPr="00435BE7">
        <w:rPr>
          <w:sz w:val="20"/>
          <w:szCs w:val="20"/>
        </w:rPr>
        <w:t xml:space="preserve"> will </w:t>
      </w:r>
      <w:r w:rsidR="00EE6C32" w:rsidRPr="00435BE7">
        <w:rPr>
          <w:sz w:val="20"/>
          <w:szCs w:val="20"/>
        </w:rPr>
        <w:t xml:space="preserve">ensure </w:t>
      </w:r>
      <w:r w:rsidR="00405CF6">
        <w:rPr>
          <w:sz w:val="20"/>
          <w:szCs w:val="20"/>
        </w:rPr>
        <w:t>adequate</w:t>
      </w:r>
      <w:r w:rsidR="00EE6C32" w:rsidRPr="00435BE7">
        <w:rPr>
          <w:sz w:val="20"/>
          <w:szCs w:val="20"/>
        </w:rPr>
        <w:t xml:space="preserve"> human resources</w:t>
      </w:r>
      <w:r w:rsidR="00F4103E">
        <w:rPr>
          <w:sz w:val="20"/>
          <w:szCs w:val="20"/>
        </w:rPr>
        <w:t xml:space="preserve"> and systems</w:t>
      </w:r>
      <w:r w:rsidR="00EE6C32" w:rsidRPr="00435BE7">
        <w:rPr>
          <w:sz w:val="20"/>
          <w:szCs w:val="20"/>
        </w:rPr>
        <w:t xml:space="preserve"> are in place</w:t>
      </w:r>
      <w:r w:rsidR="00F4103E">
        <w:rPr>
          <w:sz w:val="20"/>
          <w:szCs w:val="20"/>
        </w:rPr>
        <w:t xml:space="preserve"> </w:t>
      </w:r>
      <w:r w:rsidR="00EE6C32" w:rsidRPr="00435BE7">
        <w:rPr>
          <w:sz w:val="20"/>
          <w:szCs w:val="20"/>
        </w:rPr>
        <w:t>to</w:t>
      </w:r>
      <w:r w:rsidR="00F4103E">
        <w:rPr>
          <w:sz w:val="20"/>
          <w:szCs w:val="20"/>
        </w:rPr>
        <w:t xml:space="preserve"> properly monitor and evaluate </w:t>
      </w:r>
      <w:r w:rsidR="00F34709" w:rsidRPr="00435BE7">
        <w:rPr>
          <w:sz w:val="20"/>
          <w:szCs w:val="20"/>
        </w:rPr>
        <w:t>program</w:t>
      </w:r>
      <w:r w:rsidR="00E42A6F" w:rsidRPr="00435BE7">
        <w:rPr>
          <w:sz w:val="20"/>
          <w:szCs w:val="20"/>
        </w:rPr>
        <w:t>me</w:t>
      </w:r>
      <w:r w:rsidR="00F34709" w:rsidRPr="00435BE7">
        <w:rPr>
          <w:sz w:val="20"/>
          <w:szCs w:val="20"/>
        </w:rPr>
        <w:t xml:space="preserve"> outcomes.</w:t>
      </w:r>
    </w:p>
    <w:p w14:paraId="2AC55A95" w14:textId="79A8AEED" w:rsidR="00EE6C32" w:rsidRPr="00E96742" w:rsidRDefault="00F4103E" w:rsidP="00CE68BD">
      <w:pPr>
        <w:pStyle w:val="ListParagraph"/>
        <w:numPr>
          <w:ilvl w:val="0"/>
          <w:numId w:val="13"/>
        </w:numPr>
        <w:tabs>
          <w:tab w:val="clear" w:pos="624"/>
          <w:tab w:val="num" w:pos="1418"/>
          <w:tab w:val="left" w:pos="1800"/>
        </w:tabs>
        <w:spacing w:after="120"/>
        <w:ind w:left="1418" w:right="1210" w:firstLine="0"/>
        <w:jc w:val="both"/>
        <w:rPr>
          <w:sz w:val="20"/>
          <w:szCs w:val="20"/>
        </w:rPr>
      </w:pPr>
      <w:r>
        <w:rPr>
          <w:sz w:val="20"/>
          <w:szCs w:val="20"/>
        </w:rPr>
        <w:t xml:space="preserve">A significant challenge in the </w:t>
      </w:r>
      <w:r w:rsidR="00C608B0">
        <w:rPr>
          <w:sz w:val="20"/>
          <w:szCs w:val="20"/>
        </w:rPr>
        <w:t xml:space="preserve">country </w:t>
      </w:r>
      <w:r>
        <w:rPr>
          <w:sz w:val="20"/>
          <w:szCs w:val="20"/>
        </w:rPr>
        <w:t xml:space="preserve">is </w:t>
      </w:r>
      <w:r w:rsidR="004470B2">
        <w:rPr>
          <w:sz w:val="20"/>
          <w:szCs w:val="20"/>
        </w:rPr>
        <w:t xml:space="preserve">the </w:t>
      </w:r>
      <w:r>
        <w:rPr>
          <w:sz w:val="20"/>
          <w:szCs w:val="20"/>
        </w:rPr>
        <w:t xml:space="preserve">chronic lack of data to guide decision-making and programme interventions. This has a direct </w:t>
      </w:r>
      <w:r w:rsidR="007E7222">
        <w:rPr>
          <w:sz w:val="20"/>
          <w:szCs w:val="20"/>
        </w:rPr>
        <w:t>effect</w:t>
      </w:r>
      <w:r w:rsidR="00980C4E">
        <w:rPr>
          <w:sz w:val="20"/>
          <w:szCs w:val="20"/>
        </w:rPr>
        <w:t xml:space="preserve"> </w:t>
      </w:r>
      <w:r>
        <w:rPr>
          <w:sz w:val="20"/>
          <w:szCs w:val="20"/>
        </w:rPr>
        <w:t xml:space="preserve">on the ability of the </w:t>
      </w:r>
      <w:r w:rsidR="004470B2">
        <w:rPr>
          <w:sz w:val="20"/>
          <w:szCs w:val="20"/>
        </w:rPr>
        <w:t>g</w:t>
      </w:r>
      <w:r>
        <w:rPr>
          <w:sz w:val="20"/>
          <w:szCs w:val="20"/>
        </w:rPr>
        <w:t>overnment and its partners to measure progress</w:t>
      </w:r>
      <w:r w:rsidR="00D25051">
        <w:rPr>
          <w:sz w:val="20"/>
          <w:szCs w:val="20"/>
        </w:rPr>
        <w:t>,</w:t>
      </w:r>
      <w:r>
        <w:rPr>
          <w:sz w:val="20"/>
          <w:szCs w:val="20"/>
        </w:rPr>
        <w:t xml:space="preserve"> </w:t>
      </w:r>
      <w:r w:rsidR="007F1EF7">
        <w:rPr>
          <w:sz w:val="20"/>
          <w:szCs w:val="20"/>
        </w:rPr>
        <w:t>often resulting</w:t>
      </w:r>
      <w:r w:rsidR="00A51A9E">
        <w:rPr>
          <w:sz w:val="20"/>
          <w:szCs w:val="20"/>
        </w:rPr>
        <w:t xml:space="preserve"> in disparate estimations </w:t>
      </w:r>
      <w:r w:rsidR="0086080F">
        <w:rPr>
          <w:sz w:val="20"/>
          <w:szCs w:val="20"/>
        </w:rPr>
        <w:t xml:space="preserve">on the </w:t>
      </w:r>
      <w:r w:rsidR="00A51A9E">
        <w:rPr>
          <w:sz w:val="20"/>
          <w:szCs w:val="20"/>
        </w:rPr>
        <w:t>situation in country</w:t>
      </w:r>
      <w:r w:rsidR="0086080F">
        <w:rPr>
          <w:sz w:val="20"/>
          <w:szCs w:val="20"/>
        </w:rPr>
        <w:t>.</w:t>
      </w:r>
      <w:r w:rsidR="00D25051">
        <w:rPr>
          <w:sz w:val="20"/>
          <w:szCs w:val="20"/>
        </w:rPr>
        <w:t xml:space="preserve"> </w:t>
      </w:r>
      <w:r w:rsidR="00094C54">
        <w:rPr>
          <w:sz w:val="20"/>
          <w:szCs w:val="20"/>
        </w:rPr>
        <w:t>T</w:t>
      </w:r>
      <w:r w:rsidRPr="00E96742">
        <w:rPr>
          <w:sz w:val="20"/>
          <w:szCs w:val="20"/>
        </w:rPr>
        <w:t xml:space="preserve">he monitoring and evaluation framework of the </w:t>
      </w:r>
      <w:r w:rsidR="00190654">
        <w:rPr>
          <w:sz w:val="20"/>
          <w:szCs w:val="20"/>
        </w:rPr>
        <w:t>RCPCA</w:t>
      </w:r>
      <w:r w:rsidR="00094C54">
        <w:rPr>
          <w:sz w:val="20"/>
          <w:szCs w:val="20"/>
        </w:rPr>
        <w:t>,</w:t>
      </w:r>
      <w:r w:rsidRPr="00E96742">
        <w:rPr>
          <w:sz w:val="20"/>
          <w:szCs w:val="20"/>
        </w:rPr>
        <w:t xml:space="preserve"> </w:t>
      </w:r>
      <w:r w:rsidR="00D25051" w:rsidRPr="00E96742">
        <w:rPr>
          <w:sz w:val="20"/>
          <w:szCs w:val="20"/>
        </w:rPr>
        <w:t xml:space="preserve">managed by the </w:t>
      </w:r>
      <w:r w:rsidR="00AA4789">
        <w:rPr>
          <w:sz w:val="20"/>
          <w:szCs w:val="20"/>
        </w:rPr>
        <w:t>P</w:t>
      </w:r>
      <w:r w:rsidR="00D25051" w:rsidRPr="00E96742">
        <w:rPr>
          <w:sz w:val="20"/>
          <w:szCs w:val="20"/>
        </w:rPr>
        <w:t xml:space="preserve">ermanent </w:t>
      </w:r>
      <w:r w:rsidR="00AA4789">
        <w:rPr>
          <w:sz w:val="20"/>
          <w:szCs w:val="20"/>
        </w:rPr>
        <w:t>S</w:t>
      </w:r>
      <w:r w:rsidR="00D25051" w:rsidRPr="00E96742">
        <w:rPr>
          <w:sz w:val="20"/>
          <w:szCs w:val="20"/>
        </w:rPr>
        <w:t>ecretariat</w:t>
      </w:r>
      <w:r w:rsidR="00094C54">
        <w:rPr>
          <w:sz w:val="20"/>
          <w:szCs w:val="20"/>
        </w:rPr>
        <w:t>,</w:t>
      </w:r>
      <w:r w:rsidR="00D25051" w:rsidRPr="00E96742">
        <w:rPr>
          <w:sz w:val="20"/>
          <w:szCs w:val="20"/>
        </w:rPr>
        <w:t xml:space="preserve"> </w:t>
      </w:r>
      <w:r w:rsidR="007F1EF7">
        <w:rPr>
          <w:sz w:val="20"/>
          <w:szCs w:val="20"/>
        </w:rPr>
        <w:t>is</w:t>
      </w:r>
      <w:r w:rsidR="007F1EF7" w:rsidRPr="00E96742">
        <w:rPr>
          <w:sz w:val="20"/>
          <w:szCs w:val="20"/>
        </w:rPr>
        <w:t xml:space="preserve"> </w:t>
      </w:r>
      <w:r w:rsidRPr="00E96742">
        <w:rPr>
          <w:sz w:val="20"/>
          <w:szCs w:val="20"/>
        </w:rPr>
        <w:t>an opportunity to set mutually agreed baselines and benchmarks the international community can plan</w:t>
      </w:r>
      <w:r w:rsidR="00A51A9E" w:rsidRPr="00E96742">
        <w:rPr>
          <w:sz w:val="20"/>
          <w:szCs w:val="20"/>
        </w:rPr>
        <w:t xml:space="preserve"> </w:t>
      </w:r>
      <w:r w:rsidR="00094C54">
        <w:rPr>
          <w:sz w:val="20"/>
          <w:szCs w:val="20"/>
        </w:rPr>
        <w:t xml:space="preserve">and/or revise initiatives </w:t>
      </w:r>
      <w:r w:rsidR="007F1EF7">
        <w:rPr>
          <w:sz w:val="20"/>
          <w:szCs w:val="20"/>
        </w:rPr>
        <w:t>(</w:t>
      </w:r>
      <w:r w:rsidR="00A51A9E" w:rsidRPr="00E96742">
        <w:rPr>
          <w:sz w:val="20"/>
          <w:szCs w:val="20"/>
        </w:rPr>
        <w:t xml:space="preserve">with the </w:t>
      </w:r>
      <w:r w:rsidR="007F1EF7">
        <w:rPr>
          <w:sz w:val="20"/>
          <w:szCs w:val="20"/>
        </w:rPr>
        <w:t>government) around</w:t>
      </w:r>
      <w:r w:rsidRPr="00E96742">
        <w:rPr>
          <w:sz w:val="20"/>
          <w:szCs w:val="20"/>
        </w:rPr>
        <w:t>. While the monitoring</w:t>
      </w:r>
      <w:r w:rsidR="00A51A9E" w:rsidRPr="00E96742">
        <w:rPr>
          <w:sz w:val="20"/>
          <w:szCs w:val="20"/>
        </w:rPr>
        <w:t xml:space="preserve"> a</w:t>
      </w:r>
      <w:r w:rsidR="00D25051" w:rsidRPr="00E96742">
        <w:rPr>
          <w:sz w:val="20"/>
          <w:szCs w:val="20"/>
        </w:rPr>
        <w:t>n</w:t>
      </w:r>
      <w:r w:rsidR="00A51A9E" w:rsidRPr="00E96742">
        <w:rPr>
          <w:sz w:val="20"/>
          <w:szCs w:val="20"/>
        </w:rPr>
        <w:t>d evaluation</w:t>
      </w:r>
      <w:r w:rsidRPr="00E96742">
        <w:rPr>
          <w:sz w:val="20"/>
          <w:szCs w:val="20"/>
        </w:rPr>
        <w:t xml:space="preserve"> framework is still </w:t>
      </w:r>
      <w:r w:rsidR="007F1EF7">
        <w:rPr>
          <w:sz w:val="20"/>
          <w:szCs w:val="20"/>
        </w:rPr>
        <w:t>being finalized</w:t>
      </w:r>
      <w:r w:rsidRPr="00E96742">
        <w:rPr>
          <w:sz w:val="20"/>
          <w:szCs w:val="20"/>
        </w:rPr>
        <w:t xml:space="preserve">, </w:t>
      </w:r>
      <w:r w:rsidR="00BE238F" w:rsidRPr="00E96742">
        <w:rPr>
          <w:sz w:val="20"/>
          <w:szCs w:val="20"/>
        </w:rPr>
        <w:t>the</w:t>
      </w:r>
      <w:r w:rsidRPr="00E96742">
        <w:rPr>
          <w:sz w:val="20"/>
          <w:szCs w:val="20"/>
        </w:rPr>
        <w:t xml:space="preserve"> UNDP programme will establish clear </w:t>
      </w:r>
      <w:r w:rsidR="00094C54">
        <w:rPr>
          <w:sz w:val="20"/>
          <w:szCs w:val="20"/>
        </w:rPr>
        <w:t>links</w:t>
      </w:r>
      <w:r w:rsidR="00094C54" w:rsidRPr="00E96742">
        <w:rPr>
          <w:sz w:val="20"/>
          <w:szCs w:val="20"/>
        </w:rPr>
        <w:t xml:space="preserve"> </w:t>
      </w:r>
      <w:r w:rsidR="007F1EF7">
        <w:rPr>
          <w:sz w:val="20"/>
          <w:szCs w:val="20"/>
        </w:rPr>
        <w:t>between</w:t>
      </w:r>
      <w:r w:rsidR="007F1EF7" w:rsidRPr="00E96742">
        <w:rPr>
          <w:sz w:val="20"/>
          <w:szCs w:val="20"/>
        </w:rPr>
        <w:t xml:space="preserve"> </w:t>
      </w:r>
      <w:r w:rsidRPr="00E96742">
        <w:rPr>
          <w:sz w:val="20"/>
          <w:szCs w:val="20"/>
        </w:rPr>
        <w:t xml:space="preserve">governance and resilience benchmarks under the three pillars that correspond to the outcomes of the proposed programme. </w:t>
      </w:r>
      <w:r w:rsidR="00BE238F" w:rsidRPr="00E96742">
        <w:rPr>
          <w:sz w:val="20"/>
          <w:szCs w:val="20"/>
        </w:rPr>
        <w:t>Where possible, indicators will be harmonized to ensure a clear methodology</w:t>
      </w:r>
      <w:r w:rsidR="00D25051" w:rsidRPr="00E96742">
        <w:rPr>
          <w:sz w:val="20"/>
          <w:szCs w:val="20"/>
        </w:rPr>
        <w:t xml:space="preserve"> and common platform for follow-up</w:t>
      </w:r>
      <w:r w:rsidR="00BE238F" w:rsidRPr="00E96742">
        <w:rPr>
          <w:sz w:val="20"/>
          <w:szCs w:val="20"/>
        </w:rPr>
        <w:t>.</w:t>
      </w:r>
      <w:r w:rsidR="00D25051" w:rsidRPr="00E96742">
        <w:rPr>
          <w:sz w:val="20"/>
          <w:szCs w:val="20"/>
        </w:rPr>
        <w:t xml:space="preserve"> In addition, the use of indicators from the UNDP strategic plan will </w:t>
      </w:r>
      <w:r w:rsidR="004319D8">
        <w:rPr>
          <w:sz w:val="20"/>
          <w:szCs w:val="20"/>
        </w:rPr>
        <w:t>measure progress at</w:t>
      </w:r>
      <w:r w:rsidR="00D25051" w:rsidRPr="00E96742">
        <w:rPr>
          <w:sz w:val="20"/>
          <w:szCs w:val="20"/>
        </w:rPr>
        <w:t xml:space="preserve"> </w:t>
      </w:r>
      <w:r w:rsidR="00094C54">
        <w:rPr>
          <w:sz w:val="20"/>
          <w:szCs w:val="20"/>
        </w:rPr>
        <w:t>the</w:t>
      </w:r>
      <w:r w:rsidR="00094C54" w:rsidRPr="00E96742">
        <w:rPr>
          <w:sz w:val="20"/>
          <w:szCs w:val="20"/>
        </w:rPr>
        <w:t xml:space="preserve"> </w:t>
      </w:r>
      <w:r w:rsidR="00D25051" w:rsidRPr="00E96742">
        <w:rPr>
          <w:sz w:val="20"/>
          <w:szCs w:val="20"/>
        </w:rPr>
        <w:t>global level.</w:t>
      </w:r>
    </w:p>
    <w:p w14:paraId="7030D853" w14:textId="2CC7D367" w:rsidR="00D25051" w:rsidRDefault="00D25051" w:rsidP="00CE68BD">
      <w:pPr>
        <w:pStyle w:val="ListParagraph"/>
        <w:numPr>
          <w:ilvl w:val="0"/>
          <w:numId w:val="13"/>
        </w:numPr>
        <w:tabs>
          <w:tab w:val="clear" w:pos="624"/>
          <w:tab w:val="num" w:pos="1418"/>
          <w:tab w:val="left" w:pos="1800"/>
        </w:tabs>
        <w:ind w:left="1418" w:right="1210" w:firstLine="0"/>
        <w:jc w:val="both"/>
        <w:rPr>
          <w:sz w:val="20"/>
          <w:szCs w:val="20"/>
        </w:rPr>
      </w:pPr>
      <w:r w:rsidRPr="00F4103E">
        <w:rPr>
          <w:sz w:val="20"/>
          <w:szCs w:val="20"/>
        </w:rPr>
        <w:t>UNDP will support joint efforts to develop national institutional capacity to collect, update</w:t>
      </w:r>
      <w:r w:rsidR="00E96742">
        <w:rPr>
          <w:sz w:val="20"/>
          <w:szCs w:val="20"/>
        </w:rPr>
        <w:t xml:space="preserve"> and </w:t>
      </w:r>
      <w:r w:rsidRPr="00F4103E">
        <w:rPr>
          <w:sz w:val="20"/>
          <w:szCs w:val="20"/>
        </w:rPr>
        <w:t xml:space="preserve">analyse data to strengthen evidenced-based development policies and strategies through national systems. </w:t>
      </w:r>
      <w:r w:rsidR="00E35863">
        <w:rPr>
          <w:sz w:val="20"/>
          <w:szCs w:val="20"/>
        </w:rPr>
        <w:t xml:space="preserve">UNDP </w:t>
      </w:r>
      <w:r w:rsidRPr="00F4103E">
        <w:rPr>
          <w:sz w:val="20"/>
          <w:szCs w:val="20"/>
        </w:rPr>
        <w:t xml:space="preserve">will work with the </w:t>
      </w:r>
      <w:r>
        <w:rPr>
          <w:sz w:val="20"/>
          <w:szCs w:val="20"/>
        </w:rPr>
        <w:t>national statistical institute (ICASEES)</w:t>
      </w:r>
      <w:r w:rsidR="00FD15D8">
        <w:rPr>
          <w:sz w:val="20"/>
          <w:szCs w:val="20"/>
        </w:rPr>
        <w:t>,</w:t>
      </w:r>
      <w:r>
        <w:rPr>
          <w:sz w:val="20"/>
          <w:szCs w:val="20"/>
        </w:rPr>
        <w:t xml:space="preserve"> </w:t>
      </w:r>
      <w:r w:rsidR="00FD15D8">
        <w:rPr>
          <w:sz w:val="20"/>
          <w:szCs w:val="20"/>
        </w:rPr>
        <w:t xml:space="preserve">based in </w:t>
      </w:r>
      <w:r>
        <w:rPr>
          <w:sz w:val="20"/>
          <w:szCs w:val="20"/>
        </w:rPr>
        <w:t>the Ministry of Planning</w:t>
      </w:r>
      <w:r w:rsidRPr="00F4103E">
        <w:rPr>
          <w:sz w:val="20"/>
          <w:szCs w:val="20"/>
        </w:rPr>
        <w:t xml:space="preserve">, and support certain counterpart ministries </w:t>
      </w:r>
      <w:r w:rsidR="00FD15D8">
        <w:rPr>
          <w:sz w:val="20"/>
          <w:szCs w:val="20"/>
        </w:rPr>
        <w:t xml:space="preserve">in the </w:t>
      </w:r>
      <w:r w:rsidR="00E96742">
        <w:rPr>
          <w:sz w:val="20"/>
          <w:szCs w:val="20"/>
        </w:rPr>
        <w:t>collect</w:t>
      </w:r>
      <w:r w:rsidR="00FD15D8">
        <w:rPr>
          <w:sz w:val="20"/>
          <w:szCs w:val="20"/>
        </w:rPr>
        <w:t>ion of</w:t>
      </w:r>
      <w:r w:rsidRPr="00F4103E">
        <w:rPr>
          <w:sz w:val="20"/>
          <w:szCs w:val="20"/>
        </w:rPr>
        <w:t xml:space="preserve"> data related to their sectors. This includes working with </w:t>
      </w:r>
      <w:r w:rsidR="000B573C">
        <w:rPr>
          <w:sz w:val="20"/>
          <w:szCs w:val="20"/>
        </w:rPr>
        <w:t>the Executive</w:t>
      </w:r>
      <w:r w:rsidR="00FD15D8">
        <w:rPr>
          <w:sz w:val="20"/>
          <w:szCs w:val="20"/>
        </w:rPr>
        <w:t xml:space="preserve"> </w:t>
      </w:r>
      <w:r w:rsidR="007F1EF7">
        <w:rPr>
          <w:sz w:val="20"/>
          <w:szCs w:val="20"/>
        </w:rPr>
        <w:t>B</w:t>
      </w:r>
      <w:r w:rsidR="00E35863">
        <w:rPr>
          <w:sz w:val="20"/>
          <w:szCs w:val="20"/>
        </w:rPr>
        <w:t>ranch</w:t>
      </w:r>
      <w:r w:rsidR="00FD15D8">
        <w:rPr>
          <w:sz w:val="20"/>
          <w:szCs w:val="20"/>
        </w:rPr>
        <w:t xml:space="preserve"> of the </w:t>
      </w:r>
      <w:r w:rsidR="00E35863">
        <w:rPr>
          <w:sz w:val="20"/>
          <w:szCs w:val="20"/>
        </w:rPr>
        <w:t>Presidency</w:t>
      </w:r>
      <w:r w:rsidR="000B573C">
        <w:rPr>
          <w:sz w:val="20"/>
          <w:szCs w:val="20"/>
        </w:rPr>
        <w:t xml:space="preserve"> to develop</w:t>
      </w:r>
      <w:r w:rsidRPr="00F4103E">
        <w:rPr>
          <w:sz w:val="20"/>
          <w:szCs w:val="20"/>
        </w:rPr>
        <w:t xml:space="preserve"> systems for collecting, storing and analysing data related to monitoring government commitments as part of the </w:t>
      </w:r>
      <w:r w:rsidR="00FD15D8">
        <w:rPr>
          <w:sz w:val="20"/>
          <w:szCs w:val="20"/>
        </w:rPr>
        <w:t xml:space="preserve">RCPCA </w:t>
      </w:r>
      <w:r w:rsidR="000B573C">
        <w:rPr>
          <w:sz w:val="20"/>
          <w:szCs w:val="20"/>
        </w:rPr>
        <w:t>implementation</w:t>
      </w:r>
      <w:r w:rsidRPr="00F4103E">
        <w:rPr>
          <w:sz w:val="20"/>
          <w:szCs w:val="20"/>
        </w:rPr>
        <w:t xml:space="preserve">. </w:t>
      </w:r>
      <w:r w:rsidR="000B573C">
        <w:rPr>
          <w:sz w:val="20"/>
          <w:szCs w:val="20"/>
        </w:rPr>
        <w:t xml:space="preserve">The UNDP Gender Marker, which rates and monitors projects for gender </w:t>
      </w:r>
      <w:r w:rsidR="00361209">
        <w:rPr>
          <w:sz w:val="20"/>
          <w:szCs w:val="20"/>
        </w:rPr>
        <w:t>components</w:t>
      </w:r>
      <w:r w:rsidR="000B573C">
        <w:rPr>
          <w:sz w:val="20"/>
          <w:szCs w:val="20"/>
        </w:rPr>
        <w:t xml:space="preserve">, will be used to improve planning and decision-making </w:t>
      </w:r>
      <w:r w:rsidR="007F1EF7">
        <w:rPr>
          <w:sz w:val="20"/>
          <w:szCs w:val="20"/>
        </w:rPr>
        <w:t xml:space="preserve">on </w:t>
      </w:r>
      <w:r w:rsidR="000B573C">
        <w:rPr>
          <w:sz w:val="20"/>
          <w:szCs w:val="20"/>
        </w:rPr>
        <w:t>gender based interventions across the programme</w:t>
      </w:r>
      <w:r w:rsidR="00FD15D8">
        <w:rPr>
          <w:sz w:val="20"/>
          <w:szCs w:val="20"/>
        </w:rPr>
        <w:t xml:space="preserve">. </w:t>
      </w:r>
      <w:r w:rsidR="006C786D">
        <w:rPr>
          <w:sz w:val="20"/>
          <w:szCs w:val="20"/>
        </w:rPr>
        <w:t xml:space="preserve">Fifteen per cent of resources will be dedicated to gender equality and women’s empowerment initiatives. </w:t>
      </w:r>
    </w:p>
    <w:p w14:paraId="1CE7CBF6" w14:textId="77777777" w:rsidR="00CE68BD" w:rsidRPr="00F4103E" w:rsidRDefault="00CE68BD" w:rsidP="00CE68BD">
      <w:pPr>
        <w:pStyle w:val="ListParagraph"/>
        <w:tabs>
          <w:tab w:val="left" w:pos="1800"/>
        </w:tabs>
        <w:ind w:left="1418" w:right="1210"/>
        <w:jc w:val="both"/>
        <w:rPr>
          <w:sz w:val="20"/>
          <w:szCs w:val="20"/>
        </w:rPr>
      </w:pPr>
    </w:p>
    <w:p w14:paraId="03884DC0" w14:textId="77777777" w:rsidR="00F34709" w:rsidRPr="000B573C" w:rsidRDefault="00F34709" w:rsidP="00AA4789">
      <w:pPr>
        <w:pStyle w:val="ListParagraph"/>
        <w:ind w:left="1418" w:right="1210"/>
        <w:jc w:val="both"/>
        <w:rPr>
          <w:sz w:val="20"/>
          <w:szCs w:val="20"/>
        </w:rPr>
      </w:pPr>
    </w:p>
    <w:p w14:paraId="1F1B66C4" w14:textId="77777777" w:rsidR="00C31AF7" w:rsidRPr="0072627A" w:rsidRDefault="00C31AF7" w:rsidP="00AA4789">
      <w:pPr>
        <w:pStyle w:val="ListParagraph"/>
        <w:numPr>
          <w:ilvl w:val="0"/>
          <w:numId w:val="13"/>
        </w:numPr>
        <w:tabs>
          <w:tab w:val="clear" w:pos="624"/>
          <w:tab w:val="num" w:pos="1418"/>
        </w:tabs>
        <w:ind w:left="1418" w:right="1210" w:firstLine="0"/>
        <w:jc w:val="both"/>
        <w:rPr>
          <w:sz w:val="20"/>
          <w:szCs w:val="20"/>
        </w:rPr>
        <w:sectPr w:rsidR="00C31AF7" w:rsidRPr="0072627A" w:rsidSect="00F34709">
          <w:headerReference w:type="even" r:id="rId12"/>
          <w:headerReference w:type="default" r:id="rId13"/>
          <w:footerReference w:type="even" r:id="rId14"/>
          <w:footerReference w:type="default" r:id="rId15"/>
          <w:headerReference w:type="first" r:id="rId16"/>
          <w:footnotePr>
            <w:numRestart w:val="eachSect"/>
          </w:footnotePr>
          <w:endnotePr>
            <w:numFmt w:val="decimal"/>
            <w:numStart w:val="7"/>
          </w:endnotePr>
          <w:pgSz w:w="12240" w:h="15840" w:code="1"/>
          <w:pgMar w:top="1166" w:right="1195" w:bottom="1440" w:left="1195" w:header="576" w:footer="1037" w:gutter="0"/>
          <w:cols w:space="720"/>
          <w:noEndnote/>
          <w:titlePg/>
          <w:docGrid w:linePitch="272"/>
        </w:sectPr>
      </w:pPr>
    </w:p>
    <w:p w14:paraId="79422087" w14:textId="77777777" w:rsidR="006B6E78" w:rsidRPr="009A2512" w:rsidRDefault="009A2512" w:rsidP="006B6E78">
      <w:pPr>
        <w:pStyle w:val="Heading4"/>
        <w:spacing w:after="120"/>
        <w:rPr>
          <w:rFonts w:ascii="Times New Roman" w:hAnsi="Times New Roman"/>
          <w:color w:val="0000FF"/>
          <w:sz w:val="24"/>
        </w:rPr>
      </w:pPr>
      <w:r w:rsidRPr="009A2512">
        <w:rPr>
          <w:rFonts w:ascii="Times New Roman" w:hAnsi="Times New Roman"/>
          <w:bCs/>
          <w:color w:val="000000"/>
          <w:sz w:val="24"/>
        </w:rPr>
        <w:lastRenderedPageBreak/>
        <w:t xml:space="preserve">Annex. Results and resources framework for </w:t>
      </w:r>
      <w:r>
        <w:rPr>
          <w:rFonts w:ascii="Times New Roman" w:hAnsi="Times New Roman"/>
          <w:bCs/>
          <w:color w:val="000000"/>
          <w:sz w:val="24"/>
        </w:rPr>
        <w:t>the Central African Republic</w:t>
      </w:r>
      <w:r w:rsidRPr="009A2512">
        <w:rPr>
          <w:rFonts w:ascii="Times New Roman" w:hAnsi="Times New Roman"/>
          <w:bCs/>
          <w:color w:val="000000"/>
          <w:sz w:val="24"/>
        </w:rPr>
        <w:t xml:space="preserve"> (2018-202</w:t>
      </w:r>
      <w:r w:rsidR="00A366B0">
        <w:rPr>
          <w:rFonts w:ascii="Times New Roman" w:hAnsi="Times New Roman"/>
          <w:bCs/>
          <w:color w:val="000000"/>
          <w:sz w:val="24"/>
        </w:rPr>
        <w:t>1</w:t>
      </w:r>
      <w:r w:rsidRPr="009A2512">
        <w:rPr>
          <w:rFonts w:ascii="Times New Roman" w:hAnsi="Times New Roman"/>
          <w:bCs/>
          <w:color w:val="000000"/>
          <w:sz w:val="24"/>
        </w:rPr>
        <w:t>)</w:t>
      </w:r>
    </w:p>
    <w:tbl>
      <w:tblPr>
        <w:tblW w:w="484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A0" w:firstRow="1" w:lastRow="0" w:firstColumn="1" w:lastColumn="0" w:noHBand="0" w:noVBand="0"/>
      </w:tblPr>
      <w:tblGrid>
        <w:gridCol w:w="2341"/>
        <w:gridCol w:w="18"/>
        <w:gridCol w:w="1943"/>
        <w:gridCol w:w="18"/>
        <w:gridCol w:w="5114"/>
        <w:gridCol w:w="16"/>
        <w:gridCol w:w="2069"/>
        <w:gridCol w:w="13"/>
        <w:gridCol w:w="1519"/>
        <w:gridCol w:w="42"/>
      </w:tblGrid>
      <w:tr w:rsidR="00B51C24" w:rsidRPr="003C26C1" w14:paraId="4825D7B6" w14:textId="77777777" w:rsidTr="00754FF9">
        <w:trPr>
          <w:trHeight w:val="25"/>
        </w:trPr>
        <w:tc>
          <w:tcPr>
            <w:tcW w:w="5000" w:type="pct"/>
            <w:gridSpan w:val="10"/>
            <w:shd w:val="clear" w:color="auto" w:fill="auto"/>
            <w:tcMar>
              <w:top w:w="72" w:type="dxa"/>
              <w:left w:w="144" w:type="dxa"/>
              <w:bottom w:w="72" w:type="dxa"/>
              <w:right w:w="144" w:type="dxa"/>
            </w:tcMar>
          </w:tcPr>
          <w:p w14:paraId="78E6C523" w14:textId="0B7FCCA3" w:rsidR="00B51C24" w:rsidRPr="003C26C1" w:rsidRDefault="00B51C24" w:rsidP="0082234B">
            <w:pPr>
              <w:rPr>
                <w:color w:val="000000"/>
                <w:sz w:val="16"/>
                <w:szCs w:val="16"/>
              </w:rPr>
            </w:pPr>
            <w:r w:rsidRPr="003C26C1">
              <w:rPr>
                <w:b/>
                <w:bCs/>
                <w:color w:val="000000"/>
                <w:sz w:val="16"/>
                <w:szCs w:val="16"/>
                <w:lang w:val="en-GB"/>
              </w:rPr>
              <w:t xml:space="preserve">NATIONAL PRIORITY: </w:t>
            </w:r>
            <w:r w:rsidR="009508B9">
              <w:rPr>
                <w:color w:val="191919"/>
                <w:sz w:val="16"/>
                <w:szCs w:val="16"/>
                <w:lang w:eastAsia="en-GB"/>
              </w:rPr>
              <w:t>Advance justice reform and promote an end to impunity</w:t>
            </w:r>
            <w:r w:rsidRPr="008C541D">
              <w:rPr>
                <w:color w:val="191919"/>
                <w:sz w:val="16"/>
                <w:szCs w:val="16"/>
                <w:lang w:eastAsia="en-GB"/>
              </w:rPr>
              <w:t xml:space="preserve"> (RCPCA Pillar 1); Facilitat</w:t>
            </w:r>
            <w:r w:rsidR="009508B9">
              <w:rPr>
                <w:color w:val="191919"/>
                <w:sz w:val="16"/>
                <w:szCs w:val="16"/>
                <w:lang w:eastAsia="en-GB"/>
              </w:rPr>
              <w:t>e</w:t>
            </w:r>
            <w:r w:rsidRPr="008C541D">
              <w:rPr>
                <w:color w:val="191919"/>
                <w:sz w:val="16"/>
                <w:szCs w:val="16"/>
                <w:lang w:eastAsia="en-GB"/>
              </w:rPr>
              <w:t xml:space="preserve"> reconciliation and social cohesion and </w:t>
            </w:r>
            <w:r w:rsidR="009508B9">
              <w:rPr>
                <w:color w:val="191919"/>
                <w:sz w:val="16"/>
                <w:szCs w:val="16"/>
                <w:lang w:eastAsia="en-GB"/>
              </w:rPr>
              <w:t>create</w:t>
            </w:r>
            <w:r w:rsidRPr="008C541D">
              <w:rPr>
                <w:color w:val="191919"/>
                <w:sz w:val="16"/>
                <w:szCs w:val="16"/>
                <w:lang w:eastAsia="en-GB"/>
              </w:rPr>
              <w:t xml:space="preserve"> the conditions for th</w:t>
            </w:r>
            <w:r w:rsidR="009508B9">
              <w:rPr>
                <w:color w:val="191919"/>
                <w:sz w:val="16"/>
                <w:szCs w:val="16"/>
                <w:lang w:eastAsia="en-GB"/>
              </w:rPr>
              <w:t>e return of refugees and sustainable</w:t>
            </w:r>
            <w:r w:rsidRPr="008C541D">
              <w:rPr>
                <w:color w:val="191919"/>
                <w:sz w:val="16"/>
                <w:szCs w:val="16"/>
                <w:lang w:eastAsia="en-GB"/>
              </w:rPr>
              <w:t xml:space="preserve"> solutions for displaced persons (RCPCA Pillar 1)</w:t>
            </w:r>
            <w:r w:rsidR="006D3C02">
              <w:rPr>
                <w:color w:val="191919"/>
                <w:sz w:val="16"/>
                <w:szCs w:val="16"/>
                <w:lang w:eastAsia="en-GB"/>
              </w:rPr>
              <w:t xml:space="preserve">; Redeploy the administration </w:t>
            </w:r>
            <w:r w:rsidR="0082234B">
              <w:rPr>
                <w:color w:val="191919"/>
                <w:sz w:val="16"/>
                <w:szCs w:val="16"/>
                <w:lang w:eastAsia="en-GB"/>
              </w:rPr>
              <w:t>across the country</w:t>
            </w:r>
            <w:r w:rsidR="006D3C02">
              <w:rPr>
                <w:color w:val="191919"/>
                <w:sz w:val="16"/>
                <w:szCs w:val="16"/>
                <w:lang w:eastAsia="en-GB"/>
              </w:rPr>
              <w:t xml:space="preserve"> and </w:t>
            </w:r>
            <w:r w:rsidR="0082234B">
              <w:rPr>
                <w:color w:val="191919"/>
                <w:sz w:val="16"/>
                <w:szCs w:val="16"/>
                <w:lang w:eastAsia="en-GB"/>
              </w:rPr>
              <w:t xml:space="preserve">put in place an </w:t>
            </w:r>
            <w:r w:rsidR="006D3C02">
              <w:rPr>
                <w:color w:val="191919"/>
                <w:sz w:val="16"/>
                <w:szCs w:val="16"/>
                <w:lang w:eastAsia="en-GB"/>
              </w:rPr>
              <w:t xml:space="preserve">inclusive local governance </w:t>
            </w:r>
            <w:r w:rsidR="0082234B">
              <w:rPr>
                <w:color w:val="191919"/>
                <w:sz w:val="16"/>
                <w:szCs w:val="16"/>
                <w:lang w:eastAsia="en-GB"/>
              </w:rPr>
              <w:t xml:space="preserve">system </w:t>
            </w:r>
            <w:r w:rsidR="006D3C02">
              <w:rPr>
                <w:color w:val="191919"/>
                <w:sz w:val="16"/>
                <w:szCs w:val="16"/>
                <w:lang w:eastAsia="en-GB"/>
              </w:rPr>
              <w:t>(RCPCA Pillar 2)</w:t>
            </w:r>
            <w:r w:rsidR="0082234B">
              <w:rPr>
                <w:color w:val="191919"/>
                <w:sz w:val="16"/>
                <w:szCs w:val="16"/>
                <w:lang w:eastAsia="en-GB"/>
              </w:rPr>
              <w:t xml:space="preserve">; </w:t>
            </w:r>
            <w:r w:rsidR="006C786D">
              <w:rPr>
                <w:color w:val="191919"/>
                <w:sz w:val="16"/>
                <w:szCs w:val="16"/>
                <w:lang w:eastAsia="en-GB"/>
              </w:rPr>
              <w:t>Strengthen</w:t>
            </w:r>
            <w:r w:rsidR="0082234B">
              <w:rPr>
                <w:color w:val="191919"/>
                <w:sz w:val="16"/>
                <w:szCs w:val="16"/>
                <w:lang w:eastAsia="en-GB"/>
              </w:rPr>
              <w:t xml:space="preserve"> macroeconomic stability and good governance, including public financial management and controls, revenue generation, and anti-corruption measures (RCPCA Pillar 2).</w:t>
            </w:r>
          </w:p>
        </w:tc>
      </w:tr>
      <w:tr w:rsidR="00B51C24" w:rsidRPr="003C26C1" w14:paraId="69F82FE2" w14:textId="77777777" w:rsidTr="00754FF9">
        <w:trPr>
          <w:trHeight w:val="124"/>
        </w:trPr>
        <w:tc>
          <w:tcPr>
            <w:tcW w:w="5000" w:type="pct"/>
            <w:gridSpan w:val="10"/>
            <w:shd w:val="clear" w:color="auto" w:fill="auto"/>
            <w:tcMar>
              <w:top w:w="72" w:type="dxa"/>
              <w:left w:w="144" w:type="dxa"/>
              <w:bottom w:w="72" w:type="dxa"/>
              <w:right w:w="144" w:type="dxa"/>
            </w:tcMar>
          </w:tcPr>
          <w:p w14:paraId="6ED12EAA" w14:textId="40DA5245" w:rsidR="00B51C24" w:rsidRPr="000B573C" w:rsidRDefault="003C17EA" w:rsidP="00346649">
            <w:pPr>
              <w:ind w:right="1210"/>
              <w:jc w:val="both"/>
              <w:rPr>
                <w:sz w:val="20"/>
                <w:szCs w:val="20"/>
                <w:highlight w:val="yellow"/>
              </w:rPr>
            </w:pPr>
            <w:r w:rsidRPr="000B573C">
              <w:rPr>
                <w:b/>
                <w:bCs/>
                <w:color w:val="000000"/>
                <w:sz w:val="16"/>
                <w:szCs w:val="16"/>
                <w:lang w:val="en-GB"/>
              </w:rPr>
              <w:t xml:space="preserve">UNDAF+ </w:t>
            </w:r>
            <w:r w:rsidR="00346649">
              <w:rPr>
                <w:b/>
                <w:bCs/>
                <w:color w:val="000000"/>
                <w:sz w:val="16"/>
                <w:szCs w:val="16"/>
                <w:lang w:val="en-GB"/>
              </w:rPr>
              <w:t>OUTCOME INVOLVING UNDP 1.</w:t>
            </w:r>
            <w:r w:rsidR="00865C8A">
              <w:rPr>
                <w:b/>
                <w:bCs/>
                <w:color w:val="000000"/>
                <w:sz w:val="16"/>
                <w:szCs w:val="16"/>
                <w:lang w:val="en-GB"/>
              </w:rPr>
              <w:t>1</w:t>
            </w:r>
            <w:r w:rsidR="00B51C24" w:rsidRPr="000B573C">
              <w:rPr>
                <w:b/>
                <w:bCs/>
                <w:color w:val="000000"/>
                <w:sz w:val="16"/>
                <w:szCs w:val="16"/>
                <w:lang w:val="en-GB"/>
              </w:rPr>
              <w:t>:</w:t>
            </w:r>
            <w:r w:rsidR="00B51C24" w:rsidRPr="000B573C">
              <w:rPr>
                <w:color w:val="000000"/>
                <w:sz w:val="16"/>
                <w:szCs w:val="16"/>
                <w:lang w:val="en-GB"/>
              </w:rPr>
              <w:t xml:space="preserve"> </w:t>
            </w:r>
            <w:r w:rsidR="00865C8A">
              <w:rPr>
                <w:color w:val="000000"/>
                <w:sz w:val="16"/>
                <w:szCs w:val="16"/>
                <w:lang w:val="en-GB"/>
              </w:rPr>
              <w:t xml:space="preserve">By 2021, </w:t>
            </w:r>
            <w:r w:rsidR="00865C8A">
              <w:rPr>
                <w:color w:val="191919"/>
                <w:sz w:val="16"/>
                <w:szCs w:val="16"/>
                <w:lang w:eastAsia="en-GB"/>
              </w:rPr>
              <w:t>p</w:t>
            </w:r>
            <w:r w:rsidR="000B573C" w:rsidRPr="0021228C">
              <w:rPr>
                <w:color w:val="191919"/>
                <w:sz w:val="16"/>
                <w:szCs w:val="16"/>
                <w:lang w:eastAsia="en-GB"/>
              </w:rPr>
              <w:t xml:space="preserve">olitical and administrative institutions and civil society </w:t>
            </w:r>
            <w:r w:rsidR="006C786D" w:rsidRPr="0021228C">
              <w:rPr>
                <w:color w:val="191919"/>
                <w:sz w:val="16"/>
                <w:szCs w:val="16"/>
                <w:lang w:eastAsia="en-GB"/>
              </w:rPr>
              <w:t>organizations</w:t>
            </w:r>
            <w:r w:rsidR="000B573C" w:rsidRPr="0021228C">
              <w:rPr>
                <w:color w:val="191919"/>
                <w:sz w:val="16"/>
                <w:szCs w:val="16"/>
                <w:lang w:eastAsia="en-GB"/>
              </w:rPr>
              <w:t xml:space="preserve"> promote</w:t>
            </w:r>
            <w:r w:rsidR="00346649">
              <w:rPr>
                <w:color w:val="191919"/>
                <w:sz w:val="16"/>
                <w:szCs w:val="16"/>
                <w:lang w:eastAsia="en-GB"/>
              </w:rPr>
              <w:t xml:space="preserve"> and contribute to</w:t>
            </w:r>
            <w:r w:rsidR="000B573C" w:rsidRPr="0021228C">
              <w:rPr>
                <w:color w:val="191919"/>
                <w:sz w:val="16"/>
                <w:szCs w:val="16"/>
                <w:lang w:eastAsia="en-GB"/>
              </w:rPr>
              <w:t xml:space="preserve"> </w:t>
            </w:r>
            <w:r w:rsidR="00865C8A">
              <w:rPr>
                <w:color w:val="191919"/>
                <w:sz w:val="16"/>
                <w:szCs w:val="16"/>
                <w:lang w:eastAsia="en-GB"/>
              </w:rPr>
              <w:t>peace, security, national reconciliation and human rights.</w:t>
            </w:r>
          </w:p>
        </w:tc>
      </w:tr>
      <w:tr w:rsidR="00B51C24" w:rsidRPr="003C26C1" w14:paraId="6D6428DF" w14:textId="77777777" w:rsidTr="00754FF9">
        <w:trPr>
          <w:trHeight w:val="124"/>
        </w:trPr>
        <w:tc>
          <w:tcPr>
            <w:tcW w:w="5000" w:type="pct"/>
            <w:gridSpan w:val="10"/>
            <w:shd w:val="clear" w:color="auto" w:fill="auto"/>
            <w:tcMar>
              <w:top w:w="72" w:type="dxa"/>
              <w:left w:w="144" w:type="dxa"/>
              <w:bottom w:w="72" w:type="dxa"/>
              <w:right w:w="144" w:type="dxa"/>
            </w:tcMar>
          </w:tcPr>
          <w:p w14:paraId="7151E251" w14:textId="77777777" w:rsidR="00B51C24" w:rsidRPr="003C26C1" w:rsidRDefault="00B51C24" w:rsidP="004D6E3F">
            <w:pPr>
              <w:rPr>
                <w:b/>
                <w:bCs/>
                <w:color w:val="000000"/>
                <w:sz w:val="16"/>
                <w:szCs w:val="16"/>
                <w:lang w:val="en-GB"/>
              </w:rPr>
            </w:pPr>
            <w:r w:rsidRPr="003C26C1">
              <w:rPr>
                <w:b/>
                <w:bCs/>
                <w:color w:val="000000"/>
                <w:sz w:val="16"/>
                <w:szCs w:val="16"/>
                <w:lang w:val="en-GB"/>
              </w:rPr>
              <w:t xml:space="preserve">RELATED STRATEGIC PLAN OUTCOME: </w:t>
            </w:r>
            <w:r w:rsidRPr="00B51C24">
              <w:rPr>
                <w:sz w:val="16"/>
                <w:szCs w:val="16"/>
                <w:u w:val="single"/>
              </w:rPr>
              <w:t>Outcome 2:</w:t>
            </w:r>
            <w:r w:rsidRPr="001631F4">
              <w:rPr>
                <w:sz w:val="16"/>
                <w:szCs w:val="16"/>
              </w:rPr>
              <w:t xml:space="preserve">  Citizen expectations for voice, development, the rule of law and accountability are met by stronger systems of democratic governance</w:t>
            </w:r>
            <w:r w:rsidRPr="001631F4">
              <w:rPr>
                <w:bCs/>
                <w:sz w:val="16"/>
                <w:szCs w:val="16"/>
                <w:lang w:val="en-GB"/>
              </w:rPr>
              <w:t xml:space="preserve">; </w:t>
            </w:r>
          </w:p>
        </w:tc>
      </w:tr>
      <w:tr w:rsidR="000E7166" w:rsidRPr="006231E6" w14:paraId="720A22E1" w14:textId="77777777" w:rsidTr="00754FF9">
        <w:tblPrEx>
          <w:tblCellMar>
            <w:left w:w="108" w:type="dxa"/>
            <w:right w:w="108" w:type="dxa"/>
          </w:tblCellMar>
          <w:tblLook w:val="04A0" w:firstRow="1" w:lastRow="0" w:firstColumn="1" w:lastColumn="0" w:noHBand="0" w:noVBand="1"/>
        </w:tblPrEx>
        <w:trPr>
          <w:gridAfter w:val="1"/>
          <w:wAfter w:w="16" w:type="pct"/>
        </w:trPr>
        <w:tc>
          <w:tcPr>
            <w:tcW w:w="894" w:type="pct"/>
            <w:shd w:val="clear" w:color="000000" w:fill="auto"/>
            <w:vAlign w:val="center"/>
            <w:hideMark/>
          </w:tcPr>
          <w:p w14:paraId="3680DF22" w14:textId="77777777" w:rsidR="001B487A" w:rsidRPr="006231E6" w:rsidRDefault="001B487A" w:rsidP="002D4581">
            <w:pPr>
              <w:tabs>
                <w:tab w:val="left" w:pos="1620"/>
              </w:tabs>
              <w:contextualSpacing/>
              <w:jc w:val="center"/>
              <w:rPr>
                <w:b/>
                <w:bCs/>
                <w:color w:val="000000"/>
                <w:sz w:val="18"/>
                <w:szCs w:val="18"/>
                <w:lang w:val="en-GB" w:eastAsia="fr-FR"/>
              </w:rPr>
            </w:pPr>
            <w:r w:rsidRPr="006231E6">
              <w:rPr>
                <w:b/>
                <w:bCs/>
                <w:color w:val="000000"/>
                <w:sz w:val="18"/>
                <w:szCs w:val="18"/>
                <w:lang w:val="en-GB" w:eastAsia="fr-FR"/>
              </w:rPr>
              <w:t>UNDAF outcome indicators,</w:t>
            </w:r>
          </w:p>
          <w:p w14:paraId="08FCF964" w14:textId="77777777" w:rsidR="001B487A" w:rsidRPr="006231E6" w:rsidRDefault="001B487A" w:rsidP="002D4581">
            <w:pPr>
              <w:jc w:val="center"/>
              <w:rPr>
                <w:b/>
                <w:bCs/>
                <w:sz w:val="18"/>
                <w:szCs w:val="18"/>
              </w:rPr>
            </w:pPr>
            <w:r w:rsidRPr="006231E6">
              <w:rPr>
                <w:b/>
                <w:bCs/>
                <w:color w:val="000000"/>
                <w:sz w:val="18"/>
                <w:szCs w:val="18"/>
                <w:lang w:val="en-GB" w:eastAsia="fr-FR"/>
              </w:rPr>
              <w:t>baselines and targets</w:t>
            </w:r>
          </w:p>
        </w:tc>
        <w:tc>
          <w:tcPr>
            <w:tcW w:w="756" w:type="pct"/>
            <w:gridSpan w:val="3"/>
            <w:shd w:val="clear" w:color="000000" w:fill="auto"/>
            <w:vAlign w:val="center"/>
            <w:hideMark/>
          </w:tcPr>
          <w:p w14:paraId="6BF8233A" w14:textId="77777777" w:rsidR="001B487A" w:rsidRPr="006231E6" w:rsidRDefault="001B487A" w:rsidP="00754FF9">
            <w:pPr>
              <w:jc w:val="center"/>
              <w:rPr>
                <w:b/>
                <w:bCs/>
                <w:sz w:val="18"/>
                <w:szCs w:val="18"/>
              </w:rPr>
            </w:pPr>
            <w:r w:rsidRPr="006231E6">
              <w:rPr>
                <w:b/>
                <w:bCs/>
                <w:color w:val="000000"/>
                <w:sz w:val="18"/>
                <w:szCs w:val="18"/>
                <w:lang w:val="en-GB" w:eastAsia="fr-FR"/>
              </w:rPr>
              <w:t>Data source and frequency of data collection, and responsibilities</w:t>
            </w:r>
            <w:r w:rsidR="000E7166" w:rsidRPr="000E7166">
              <w:rPr>
                <w:b/>
                <w:bCs/>
                <w:color w:val="000000"/>
                <w:sz w:val="18"/>
                <w:szCs w:val="18"/>
                <w:vertAlign w:val="superscript"/>
                <w:lang w:eastAsia="fr-FR"/>
              </w:rPr>
              <w:footnoteReference w:id="20"/>
            </w:r>
          </w:p>
        </w:tc>
        <w:tc>
          <w:tcPr>
            <w:tcW w:w="1959" w:type="pct"/>
            <w:gridSpan w:val="2"/>
            <w:shd w:val="clear" w:color="000000" w:fill="auto"/>
            <w:vAlign w:val="center"/>
            <w:hideMark/>
          </w:tcPr>
          <w:p w14:paraId="296C673A" w14:textId="77777777" w:rsidR="001B487A" w:rsidRPr="006231E6" w:rsidRDefault="001B487A" w:rsidP="002D4581">
            <w:pPr>
              <w:jc w:val="center"/>
              <w:rPr>
                <w:b/>
                <w:bCs/>
                <w:sz w:val="18"/>
                <w:szCs w:val="18"/>
              </w:rPr>
            </w:pPr>
            <w:r w:rsidRPr="006231E6">
              <w:rPr>
                <w:b/>
                <w:bCs/>
                <w:color w:val="000000"/>
                <w:sz w:val="18"/>
                <w:szCs w:val="18"/>
                <w:lang w:val="en-GB" w:eastAsia="fr-FR"/>
              </w:rPr>
              <w:t>Indicative country programme outputs</w:t>
            </w:r>
            <w:r w:rsidRPr="006231E6">
              <w:rPr>
                <w:b/>
                <w:bCs/>
                <w:i/>
                <w:iCs/>
                <w:sz w:val="18"/>
                <w:szCs w:val="18"/>
              </w:rPr>
              <w:t xml:space="preserve"> (including indicators, baselines targets)</w:t>
            </w:r>
          </w:p>
        </w:tc>
        <w:tc>
          <w:tcPr>
            <w:tcW w:w="790" w:type="pct"/>
            <w:shd w:val="clear" w:color="000000" w:fill="auto"/>
            <w:vAlign w:val="center"/>
            <w:hideMark/>
          </w:tcPr>
          <w:p w14:paraId="3EC0D8FD" w14:textId="77777777" w:rsidR="001B487A" w:rsidRPr="006231E6" w:rsidRDefault="001B487A" w:rsidP="002D4581">
            <w:pPr>
              <w:tabs>
                <w:tab w:val="left" w:pos="1620"/>
              </w:tabs>
              <w:contextualSpacing/>
              <w:jc w:val="center"/>
              <w:rPr>
                <w:b/>
                <w:bCs/>
                <w:color w:val="000000"/>
                <w:sz w:val="18"/>
                <w:szCs w:val="18"/>
                <w:lang w:val="en-GB" w:eastAsia="fr-FR"/>
              </w:rPr>
            </w:pPr>
            <w:r w:rsidRPr="006231E6">
              <w:rPr>
                <w:b/>
                <w:bCs/>
                <w:color w:val="000000"/>
                <w:sz w:val="18"/>
                <w:szCs w:val="18"/>
                <w:lang w:val="en-GB" w:eastAsia="fr-FR"/>
              </w:rPr>
              <w:t>Major partners/</w:t>
            </w:r>
          </w:p>
          <w:p w14:paraId="07512F3D" w14:textId="77777777" w:rsidR="001B487A" w:rsidRPr="006231E6" w:rsidRDefault="001B487A" w:rsidP="002D4581">
            <w:pPr>
              <w:jc w:val="center"/>
              <w:rPr>
                <w:b/>
                <w:bCs/>
                <w:sz w:val="18"/>
                <w:szCs w:val="18"/>
              </w:rPr>
            </w:pPr>
            <w:r w:rsidRPr="006231E6">
              <w:rPr>
                <w:b/>
                <w:bCs/>
                <w:color w:val="000000"/>
                <w:sz w:val="18"/>
                <w:szCs w:val="18"/>
                <w:lang w:val="en-GB" w:eastAsia="fr-FR"/>
              </w:rPr>
              <w:t>Partnerships</w:t>
            </w:r>
            <w:r>
              <w:rPr>
                <w:b/>
                <w:bCs/>
                <w:color w:val="000000"/>
                <w:sz w:val="18"/>
                <w:szCs w:val="18"/>
                <w:lang w:val="en-GB" w:eastAsia="fr-FR"/>
              </w:rPr>
              <w:t xml:space="preserve"> frameworks</w:t>
            </w:r>
          </w:p>
        </w:tc>
        <w:tc>
          <w:tcPr>
            <w:tcW w:w="585" w:type="pct"/>
            <w:gridSpan w:val="2"/>
            <w:shd w:val="clear" w:color="000000" w:fill="auto"/>
            <w:vAlign w:val="center"/>
            <w:hideMark/>
          </w:tcPr>
          <w:p w14:paraId="508DFC05" w14:textId="77777777" w:rsidR="001B487A" w:rsidRPr="006231E6" w:rsidRDefault="001B487A" w:rsidP="00754FF9">
            <w:pPr>
              <w:jc w:val="center"/>
              <w:rPr>
                <w:b/>
                <w:bCs/>
                <w:sz w:val="18"/>
                <w:szCs w:val="18"/>
                <w:lang w:val="en-GB"/>
              </w:rPr>
            </w:pPr>
            <w:r w:rsidRPr="006231E6">
              <w:rPr>
                <w:b/>
                <w:bCs/>
                <w:color w:val="000000"/>
                <w:sz w:val="18"/>
                <w:szCs w:val="18"/>
                <w:lang w:val="en-GB" w:eastAsia="fr-FR"/>
              </w:rPr>
              <w:t>Indica</w:t>
            </w:r>
            <w:r w:rsidR="00754FF9">
              <w:rPr>
                <w:b/>
                <w:bCs/>
                <w:color w:val="000000"/>
                <w:sz w:val="18"/>
                <w:szCs w:val="18"/>
                <w:lang w:val="en-GB" w:eastAsia="fr-FR"/>
              </w:rPr>
              <w:t>tive resources by outcome (in $</w:t>
            </w:r>
            <w:r w:rsidRPr="006231E6">
              <w:rPr>
                <w:b/>
                <w:bCs/>
                <w:color w:val="000000"/>
                <w:sz w:val="18"/>
                <w:szCs w:val="18"/>
                <w:lang w:val="en-GB" w:eastAsia="fr-FR"/>
              </w:rPr>
              <w:t>)</w:t>
            </w:r>
          </w:p>
        </w:tc>
      </w:tr>
      <w:tr w:rsidR="003C17EA" w:rsidRPr="003C26C1" w14:paraId="17CF50E5" w14:textId="77777777" w:rsidTr="00754FF9">
        <w:trPr>
          <w:trHeight w:val="133"/>
        </w:trPr>
        <w:tc>
          <w:tcPr>
            <w:tcW w:w="901" w:type="pct"/>
            <w:gridSpan w:val="2"/>
            <w:vMerge w:val="restart"/>
            <w:tcMar>
              <w:top w:w="72" w:type="dxa"/>
              <w:left w:w="144" w:type="dxa"/>
              <w:bottom w:w="72" w:type="dxa"/>
              <w:right w:w="144" w:type="dxa"/>
            </w:tcMar>
          </w:tcPr>
          <w:p w14:paraId="09E9147E" w14:textId="1292FEBB" w:rsidR="000B7DA7" w:rsidRPr="00757CDC" w:rsidRDefault="000B7DA7" w:rsidP="00D97046">
            <w:pPr>
              <w:rPr>
                <w:b/>
                <w:sz w:val="16"/>
                <w:szCs w:val="16"/>
              </w:rPr>
            </w:pPr>
            <w:r w:rsidRPr="00757CDC">
              <w:rPr>
                <w:b/>
                <w:sz w:val="16"/>
                <w:szCs w:val="16"/>
              </w:rPr>
              <w:t>Indicator</w:t>
            </w:r>
            <w:r w:rsidR="00757CDC" w:rsidRPr="00757CDC">
              <w:rPr>
                <w:b/>
                <w:sz w:val="16"/>
                <w:szCs w:val="16"/>
              </w:rPr>
              <w:t xml:space="preserve"> 1.1.5</w:t>
            </w:r>
            <w:r w:rsidRPr="00757CDC">
              <w:rPr>
                <w:b/>
                <w:sz w:val="16"/>
                <w:szCs w:val="16"/>
              </w:rPr>
              <w:t>:</w:t>
            </w:r>
            <w:r w:rsidR="00757CDC" w:rsidRPr="00757CDC">
              <w:rPr>
                <w:b/>
                <w:sz w:val="16"/>
                <w:szCs w:val="16"/>
              </w:rPr>
              <w:t xml:space="preserve"> </w:t>
            </w:r>
            <w:r w:rsidR="00AE2B27">
              <w:rPr>
                <w:sz w:val="16"/>
                <w:szCs w:val="16"/>
              </w:rPr>
              <w:t>%</w:t>
            </w:r>
            <w:r w:rsidR="00AE2B27" w:rsidRPr="00757CDC">
              <w:rPr>
                <w:sz w:val="16"/>
                <w:szCs w:val="16"/>
              </w:rPr>
              <w:t xml:space="preserve"> </w:t>
            </w:r>
            <w:r w:rsidR="00757CDC" w:rsidRPr="00757CDC">
              <w:rPr>
                <w:sz w:val="16"/>
                <w:szCs w:val="16"/>
              </w:rPr>
              <w:t>of the population expressing confidence in the justice system</w:t>
            </w:r>
          </w:p>
          <w:p w14:paraId="4DC3D7E6" w14:textId="77777777" w:rsidR="000B7DA7" w:rsidRPr="00757CDC" w:rsidRDefault="000B7DA7" w:rsidP="00D97046">
            <w:pPr>
              <w:rPr>
                <w:b/>
                <w:sz w:val="16"/>
                <w:szCs w:val="16"/>
              </w:rPr>
            </w:pPr>
            <w:r w:rsidRPr="00757CDC">
              <w:rPr>
                <w:b/>
                <w:sz w:val="16"/>
                <w:szCs w:val="16"/>
              </w:rPr>
              <w:t>Baseline:</w:t>
            </w:r>
            <w:r w:rsidR="00757CDC" w:rsidRPr="00757CDC">
              <w:rPr>
                <w:b/>
                <w:sz w:val="16"/>
                <w:szCs w:val="16"/>
              </w:rPr>
              <w:t xml:space="preserve"> </w:t>
            </w:r>
            <w:r w:rsidR="00757CDC" w:rsidRPr="00757CDC">
              <w:rPr>
                <w:sz w:val="16"/>
                <w:szCs w:val="16"/>
              </w:rPr>
              <w:t>TBD</w:t>
            </w:r>
          </w:p>
          <w:p w14:paraId="6D3E803F" w14:textId="77777777" w:rsidR="000B7DA7" w:rsidRDefault="000B7DA7" w:rsidP="00D97046">
            <w:pPr>
              <w:rPr>
                <w:sz w:val="16"/>
                <w:szCs w:val="16"/>
              </w:rPr>
            </w:pPr>
            <w:r w:rsidRPr="00757CDC">
              <w:rPr>
                <w:b/>
                <w:sz w:val="16"/>
                <w:szCs w:val="16"/>
              </w:rPr>
              <w:t>Target:</w:t>
            </w:r>
            <w:r w:rsidR="00757CDC" w:rsidRPr="00757CDC">
              <w:rPr>
                <w:b/>
                <w:sz w:val="16"/>
                <w:szCs w:val="16"/>
              </w:rPr>
              <w:t xml:space="preserve"> </w:t>
            </w:r>
            <w:r w:rsidR="00757CDC" w:rsidRPr="00757CDC">
              <w:rPr>
                <w:sz w:val="16"/>
                <w:szCs w:val="16"/>
              </w:rPr>
              <w:t>40% (2021)</w:t>
            </w:r>
          </w:p>
          <w:p w14:paraId="11CAEE18" w14:textId="77777777" w:rsidR="00F1744B" w:rsidRDefault="00F1744B" w:rsidP="00D97046">
            <w:pPr>
              <w:rPr>
                <w:sz w:val="16"/>
                <w:szCs w:val="16"/>
              </w:rPr>
            </w:pPr>
          </w:p>
          <w:p w14:paraId="311CD647" w14:textId="77777777" w:rsidR="00F1744B" w:rsidRDefault="00F1744B" w:rsidP="00F1744B">
            <w:pPr>
              <w:rPr>
                <w:sz w:val="16"/>
                <w:szCs w:val="16"/>
              </w:rPr>
            </w:pPr>
            <w:r w:rsidRPr="00757CDC">
              <w:rPr>
                <w:b/>
                <w:sz w:val="16"/>
                <w:szCs w:val="16"/>
              </w:rPr>
              <w:t>Indicator</w:t>
            </w:r>
            <w:r>
              <w:rPr>
                <w:b/>
                <w:sz w:val="16"/>
                <w:szCs w:val="16"/>
              </w:rPr>
              <w:t xml:space="preserve"> 1.2.6</w:t>
            </w:r>
            <w:r w:rsidRPr="00757CDC">
              <w:rPr>
                <w:b/>
                <w:sz w:val="16"/>
                <w:szCs w:val="16"/>
              </w:rPr>
              <w:t xml:space="preserve">: </w:t>
            </w:r>
            <w:r>
              <w:rPr>
                <w:sz w:val="16"/>
                <w:szCs w:val="16"/>
              </w:rPr>
              <w:t>Number of victims of sexual and gender based violence that have received judicial support</w:t>
            </w:r>
          </w:p>
          <w:p w14:paraId="3A55272D" w14:textId="77777777" w:rsidR="00F1744B" w:rsidRPr="00757CDC" w:rsidRDefault="00F1744B" w:rsidP="00F1744B">
            <w:pPr>
              <w:rPr>
                <w:b/>
                <w:sz w:val="16"/>
                <w:szCs w:val="16"/>
              </w:rPr>
            </w:pPr>
            <w:r w:rsidRPr="00F1744B">
              <w:rPr>
                <w:b/>
                <w:sz w:val="16"/>
                <w:szCs w:val="16"/>
              </w:rPr>
              <w:t>Baseline:</w:t>
            </w:r>
            <w:r>
              <w:rPr>
                <w:sz w:val="16"/>
                <w:szCs w:val="16"/>
              </w:rPr>
              <w:t xml:space="preserve"> </w:t>
            </w:r>
            <w:r w:rsidR="0082234B">
              <w:rPr>
                <w:sz w:val="16"/>
                <w:szCs w:val="16"/>
              </w:rPr>
              <w:t>4</w:t>
            </w:r>
          </w:p>
          <w:p w14:paraId="6FCCCAD4" w14:textId="77777777" w:rsidR="00F1744B" w:rsidRPr="00757CDC" w:rsidRDefault="00F1744B" w:rsidP="00F1744B">
            <w:pPr>
              <w:rPr>
                <w:sz w:val="16"/>
                <w:szCs w:val="16"/>
              </w:rPr>
            </w:pPr>
            <w:r w:rsidRPr="00757CDC">
              <w:rPr>
                <w:b/>
                <w:sz w:val="16"/>
                <w:szCs w:val="16"/>
              </w:rPr>
              <w:t xml:space="preserve">Target: </w:t>
            </w:r>
            <w:r>
              <w:rPr>
                <w:sz w:val="16"/>
                <w:szCs w:val="16"/>
              </w:rPr>
              <w:t>TBD</w:t>
            </w:r>
          </w:p>
          <w:p w14:paraId="1E8E0CEC" w14:textId="77777777" w:rsidR="00757CDC" w:rsidRDefault="00757CDC" w:rsidP="00757CDC">
            <w:pPr>
              <w:rPr>
                <w:b/>
                <w:sz w:val="16"/>
                <w:szCs w:val="16"/>
              </w:rPr>
            </w:pPr>
          </w:p>
          <w:p w14:paraId="4A926E69" w14:textId="77777777" w:rsidR="00757CDC" w:rsidRPr="00757CDC" w:rsidRDefault="00757CDC" w:rsidP="00757CDC">
            <w:pPr>
              <w:rPr>
                <w:b/>
                <w:sz w:val="16"/>
                <w:szCs w:val="16"/>
              </w:rPr>
            </w:pPr>
            <w:r w:rsidRPr="00757CDC">
              <w:rPr>
                <w:b/>
                <w:sz w:val="16"/>
                <w:szCs w:val="16"/>
              </w:rPr>
              <w:t xml:space="preserve">Indicator 1.1.2: </w:t>
            </w:r>
            <w:r w:rsidR="00067B13">
              <w:rPr>
                <w:sz w:val="16"/>
                <w:szCs w:val="16"/>
              </w:rPr>
              <w:t xml:space="preserve">Number </w:t>
            </w:r>
            <w:r w:rsidRPr="00757CDC">
              <w:rPr>
                <w:sz w:val="16"/>
                <w:szCs w:val="16"/>
              </w:rPr>
              <w:t xml:space="preserve">of local peace and reconciliation committees established and operational </w:t>
            </w:r>
          </w:p>
          <w:p w14:paraId="6EA28038" w14:textId="77777777" w:rsidR="00757CDC" w:rsidRPr="00757CDC" w:rsidRDefault="00757CDC" w:rsidP="00757CDC">
            <w:pPr>
              <w:rPr>
                <w:b/>
                <w:sz w:val="16"/>
                <w:szCs w:val="16"/>
              </w:rPr>
            </w:pPr>
            <w:r w:rsidRPr="00757CDC">
              <w:rPr>
                <w:b/>
                <w:sz w:val="16"/>
                <w:szCs w:val="16"/>
              </w:rPr>
              <w:t xml:space="preserve">Baseline: </w:t>
            </w:r>
            <w:r w:rsidRPr="00757CDC">
              <w:rPr>
                <w:sz w:val="16"/>
                <w:szCs w:val="16"/>
              </w:rPr>
              <w:t>2 (2016)</w:t>
            </w:r>
          </w:p>
          <w:p w14:paraId="6B1DC885" w14:textId="77777777" w:rsidR="00757CDC" w:rsidRDefault="00757CDC" w:rsidP="00757CDC">
            <w:pPr>
              <w:rPr>
                <w:sz w:val="16"/>
                <w:szCs w:val="16"/>
              </w:rPr>
            </w:pPr>
            <w:r w:rsidRPr="00757CDC">
              <w:rPr>
                <w:b/>
                <w:sz w:val="16"/>
                <w:szCs w:val="16"/>
              </w:rPr>
              <w:t xml:space="preserve">Target: </w:t>
            </w:r>
            <w:r w:rsidRPr="00757CDC">
              <w:rPr>
                <w:sz w:val="16"/>
                <w:szCs w:val="16"/>
              </w:rPr>
              <w:t>17 (2021)</w:t>
            </w:r>
          </w:p>
          <w:p w14:paraId="70A290F9" w14:textId="77777777" w:rsidR="000249B1" w:rsidRDefault="000249B1" w:rsidP="00757CDC">
            <w:pPr>
              <w:rPr>
                <w:sz w:val="16"/>
                <w:szCs w:val="16"/>
              </w:rPr>
            </w:pPr>
          </w:p>
          <w:p w14:paraId="17A1A37C" w14:textId="77777777" w:rsidR="0012226B" w:rsidRDefault="0012226B" w:rsidP="00757CDC">
            <w:pPr>
              <w:rPr>
                <w:sz w:val="16"/>
                <w:szCs w:val="16"/>
              </w:rPr>
            </w:pPr>
          </w:p>
          <w:p w14:paraId="27A087A3" w14:textId="77777777" w:rsidR="00F1744B" w:rsidRPr="00757CDC" w:rsidRDefault="00F1744B" w:rsidP="00F1744B">
            <w:pPr>
              <w:rPr>
                <w:b/>
                <w:sz w:val="16"/>
                <w:szCs w:val="16"/>
              </w:rPr>
            </w:pPr>
            <w:r>
              <w:rPr>
                <w:b/>
                <w:sz w:val="16"/>
                <w:szCs w:val="16"/>
              </w:rPr>
              <w:t>Indicator 1.2.11</w:t>
            </w:r>
            <w:r w:rsidRPr="00757CDC">
              <w:rPr>
                <w:b/>
                <w:sz w:val="16"/>
                <w:szCs w:val="16"/>
              </w:rPr>
              <w:t xml:space="preserve">: </w:t>
            </w:r>
            <w:r>
              <w:rPr>
                <w:sz w:val="16"/>
                <w:szCs w:val="16"/>
              </w:rPr>
              <w:t xml:space="preserve">Number of State employees deployed throughout the </w:t>
            </w:r>
            <w:r w:rsidR="00E24319">
              <w:rPr>
                <w:sz w:val="16"/>
                <w:szCs w:val="16"/>
              </w:rPr>
              <w:t>country</w:t>
            </w:r>
            <w:r w:rsidRPr="00757CDC">
              <w:rPr>
                <w:sz w:val="16"/>
                <w:szCs w:val="16"/>
              </w:rPr>
              <w:t xml:space="preserve"> </w:t>
            </w:r>
          </w:p>
          <w:p w14:paraId="54803056" w14:textId="77777777" w:rsidR="00F1744B" w:rsidRPr="00757CDC" w:rsidRDefault="00F1744B" w:rsidP="00F1744B">
            <w:pPr>
              <w:rPr>
                <w:b/>
                <w:sz w:val="16"/>
                <w:szCs w:val="16"/>
              </w:rPr>
            </w:pPr>
            <w:r w:rsidRPr="00757CDC">
              <w:rPr>
                <w:b/>
                <w:sz w:val="16"/>
                <w:szCs w:val="16"/>
              </w:rPr>
              <w:t xml:space="preserve">Baseline: </w:t>
            </w:r>
            <w:r>
              <w:rPr>
                <w:sz w:val="16"/>
                <w:szCs w:val="16"/>
              </w:rPr>
              <w:t>TBD</w:t>
            </w:r>
          </w:p>
          <w:p w14:paraId="54CB2EF4" w14:textId="77777777" w:rsidR="00F1744B" w:rsidRDefault="00F1744B" w:rsidP="00F1744B">
            <w:pPr>
              <w:rPr>
                <w:sz w:val="16"/>
                <w:szCs w:val="16"/>
              </w:rPr>
            </w:pPr>
            <w:r w:rsidRPr="00757CDC">
              <w:rPr>
                <w:b/>
                <w:sz w:val="16"/>
                <w:szCs w:val="16"/>
              </w:rPr>
              <w:t xml:space="preserve">Target: </w:t>
            </w:r>
            <w:r>
              <w:rPr>
                <w:sz w:val="16"/>
                <w:szCs w:val="16"/>
              </w:rPr>
              <w:t>TBD</w:t>
            </w:r>
          </w:p>
          <w:p w14:paraId="11D52D12" w14:textId="77777777" w:rsidR="00AA4789" w:rsidRDefault="00AA4789" w:rsidP="00F1744B">
            <w:pPr>
              <w:rPr>
                <w:sz w:val="16"/>
                <w:szCs w:val="16"/>
              </w:rPr>
            </w:pPr>
          </w:p>
          <w:p w14:paraId="3A2ECAA1" w14:textId="77777777" w:rsidR="00317663" w:rsidRDefault="00317663" w:rsidP="00F1744B">
            <w:pPr>
              <w:rPr>
                <w:sz w:val="16"/>
                <w:szCs w:val="16"/>
              </w:rPr>
            </w:pPr>
          </w:p>
          <w:p w14:paraId="30205A15" w14:textId="77777777" w:rsidR="00317663" w:rsidRDefault="00317663" w:rsidP="00F1744B">
            <w:pPr>
              <w:rPr>
                <w:sz w:val="16"/>
                <w:szCs w:val="16"/>
              </w:rPr>
            </w:pPr>
          </w:p>
          <w:p w14:paraId="642C9811" w14:textId="77777777" w:rsidR="000249B1" w:rsidRDefault="000249B1" w:rsidP="00F1744B">
            <w:pPr>
              <w:rPr>
                <w:sz w:val="16"/>
                <w:szCs w:val="16"/>
              </w:rPr>
            </w:pPr>
            <w:r w:rsidRPr="000249B1">
              <w:rPr>
                <w:b/>
                <w:sz w:val="16"/>
                <w:szCs w:val="16"/>
              </w:rPr>
              <w:t>Indicator 1.2.12:</w:t>
            </w:r>
            <w:r>
              <w:rPr>
                <w:sz w:val="16"/>
                <w:szCs w:val="16"/>
              </w:rPr>
              <w:t xml:space="preserve"> Number of</w:t>
            </w:r>
            <w:r w:rsidR="00FA47D6">
              <w:rPr>
                <w:sz w:val="16"/>
                <w:szCs w:val="16"/>
              </w:rPr>
              <w:t xml:space="preserve"> </w:t>
            </w:r>
            <w:r>
              <w:rPr>
                <w:sz w:val="16"/>
                <w:szCs w:val="16"/>
              </w:rPr>
              <w:t xml:space="preserve">State employees trained in </w:t>
            </w:r>
            <w:r>
              <w:rPr>
                <w:sz w:val="16"/>
                <w:szCs w:val="16"/>
              </w:rPr>
              <w:lastRenderedPageBreak/>
              <w:t>administrative management and financial accountability</w:t>
            </w:r>
          </w:p>
          <w:p w14:paraId="1DD2A61C" w14:textId="77777777" w:rsidR="000249B1" w:rsidRDefault="000249B1" w:rsidP="00F1744B">
            <w:pPr>
              <w:rPr>
                <w:sz w:val="16"/>
                <w:szCs w:val="16"/>
              </w:rPr>
            </w:pPr>
            <w:r w:rsidRPr="000249B1">
              <w:rPr>
                <w:b/>
                <w:sz w:val="16"/>
                <w:szCs w:val="16"/>
              </w:rPr>
              <w:t>Baseline:</w:t>
            </w:r>
            <w:r>
              <w:rPr>
                <w:sz w:val="16"/>
                <w:szCs w:val="16"/>
              </w:rPr>
              <w:t xml:space="preserve"> TBD</w:t>
            </w:r>
          </w:p>
          <w:p w14:paraId="353B4329" w14:textId="77777777" w:rsidR="000249B1" w:rsidRPr="00FA47D6" w:rsidRDefault="000249B1" w:rsidP="0019756B">
            <w:pPr>
              <w:rPr>
                <w:sz w:val="16"/>
                <w:szCs w:val="16"/>
              </w:rPr>
            </w:pPr>
            <w:r w:rsidRPr="000249B1">
              <w:rPr>
                <w:b/>
                <w:sz w:val="16"/>
                <w:szCs w:val="16"/>
              </w:rPr>
              <w:t>Target:</w:t>
            </w:r>
            <w:r>
              <w:rPr>
                <w:sz w:val="16"/>
                <w:szCs w:val="16"/>
              </w:rPr>
              <w:t xml:space="preserve"> 875 (2021)</w:t>
            </w:r>
          </w:p>
          <w:p w14:paraId="3D8C3E35" w14:textId="77777777" w:rsidR="00346649" w:rsidRDefault="00346649" w:rsidP="0019756B">
            <w:pPr>
              <w:rPr>
                <w:b/>
                <w:sz w:val="16"/>
                <w:szCs w:val="16"/>
              </w:rPr>
            </w:pPr>
          </w:p>
          <w:p w14:paraId="483B4794" w14:textId="2C43015C" w:rsidR="0019756B" w:rsidRPr="00757CDC" w:rsidRDefault="0019756B" w:rsidP="0019756B">
            <w:pPr>
              <w:rPr>
                <w:b/>
                <w:sz w:val="16"/>
                <w:szCs w:val="16"/>
              </w:rPr>
            </w:pPr>
            <w:r>
              <w:rPr>
                <w:b/>
                <w:sz w:val="16"/>
                <w:szCs w:val="16"/>
              </w:rPr>
              <w:t>Indicator 3.2.5</w:t>
            </w:r>
            <w:r w:rsidRPr="00757CDC">
              <w:rPr>
                <w:b/>
                <w:sz w:val="16"/>
                <w:szCs w:val="16"/>
              </w:rPr>
              <w:t xml:space="preserve">: </w:t>
            </w:r>
            <w:r w:rsidR="00AE2B27">
              <w:rPr>
                <w:sz w:val="16"/>
                <w:szCs w:val="16"/>
              </w:rPr>
              <w:t xml:space="preserve">% </w:t>
            </w:r>
            <w:r>
              <w:rPr>
                <w:sz w:val="16"/>
                <w:szCs w:val="16"/>
              </w:rPr>
              <w:t>of State employees at Ministry level u</w:t>
            </w:r>
            <w:r w:rsidR="00F7610B">
              <w:rPr>
                <w:sz w:val="16"/>
                <w:szCs w:val="16"/>
              </w:rPr>
              <w:t xml:space="preserve">sing planning and coordination </w:t>
            </w:r>
            <w:r>
              <w:rPr>
                <w:sz w:val="16"/>
                <w:szCs w:val="16"/>
              </w:rPr>
              <w:t>tool</w:t>
            </w:r>
            <w:r w:rsidR="00DF11E6">
              <w:rPr>
                <w:sz w:val="16"/>
                <w:szCs w:val="16"/>
              </w:rPr>
              <w:t>s for p</w:t>
            </w:r>
            <w:r>
              <w:rPr>
                <w:sz w:val="16"/>
                <w:szCs w:val="16"/>
              </w:rPr>
              <w:t>r</w:t>
            </w:r>
            <w:r w:rsidR="00DF11E6">
              <w:rPr>
                <w:sz w:val="16"/>
                <w:szCs w:val="16"/>
              </w:rPr>
              <w:t>o</w:t>
            </w:r>
            <w:r>
              <w:rPr>
                <w:sz w:val="16"/>
                <w:szCs w:val="16"/>
              </w:rPr>
              <w:t>jects and programmes</w:t>
            </w:r>
          </w:p>
          <w:p w14:paraId="2535C7D1" w14:textId="77777777" w:rsidR="0019756B" w:rsidRPr="00757CDC" w:rsidRDefault="0019756B" w:rsidP="0019756B">
            <w:pPr>
              <w:rPr>
                <w:b/>
                <w:sz w:val="16"/>
                <w:szCs w:val="16"/>
              </w:rPr>
            </w:pPr>
            <w:r w:rsidRPr="00757CDC">
              <w:rPr>
                <w:b/>
                <w:sz w:val="16"/>
                <w:szCs w:val="16"/>
              </w:rPr>
              <w:t xml:space="preserve">Baseline: </w:t>
            </w:r>
            <w:r>
              <w:rPr>
                <w:sz w:val="16"/>
                <w:szCs w:val="16"/>
              </w:rPr>
              <w:t>0%</w:t>
            </w:r>
            <w:r w:rsidRPr="00757CDC">
              <w:rPr>
                <w:sz w:val="16"/>
                <w:szCs w:val="16"/>
              </w:rPr>
              <w:t xml:space="preserve"> (2016)</w:t>
            </w:r>
          </w:p>
          <w:p w14:paraId="1B3F689B" w14:textId="77777777" w:rsidR="0019756B" w:rsidRPr="00F7610B" w:rsidRDefault="0019756B" w:rsidP="00D97046">
            <w:pPr>
              <w:rPr>
                <w:sz w:val="16"/>
                <w:szCs w:val="16"/>
              </w:rPr>
            </w:pPr>
            <w:r w:rsidRPr="00757CDC">
              <w:rPr>
                <w:b/>
                <w:sz w:val="16"/>
                <w:szCs w:val="16"/>
              </w:rPr>
              <w:t xml:space="preserve">Target: </w:t>
            </w:r>
            <w:r>
              <w:rPr>
                <w:sz w:val="16"/>
                <w:szCs w:val="16"/>
              </w:rPr>
              <w:t xml:space="preserve">50% </w:t>
            </w:r>
            <w:r w:rsidRPr="00757CDC">
              <w:rPr>
                <w:sz w:val="16"/>
                <w:szCs w:val="16"/>
              </w:rPr>
              <w:t>(2021)</w:t>
            </w:r>
          </w:p>
        </w:tc>
        <w:tc>
          <w:tcPr>
            <w:tcW w:w="742" w:type="pct"/>
            <w:vMerge w:val="restart"/>
          </w:tcPr>
          <w:p w14:paraId="6A9CC751" w14:textId="77777777" w:rsidR="00757CDC" w:rsidRPr="008F3982" w:rsidRDefault="00757CDC" w:rsidP="008F3982">
            <w:pPr>
              <w:rPr>
                <w:iCs/>
                <w:sz w:val="16"/>
                <w:szCs w:val="16"/>
                <w:lang w:val="en-GB"/>
              </w:rPr>
            </w:pPr>
            <w:r w:rsidRPr="008F3982">
              <w:rPr>
                <w:iCs/>
                <w:sz w:val="16"/>
                <w:szCs w:val="16"/>
                <w:lang w:val="en-GB"/>
              </w:rPr>
              <w:lastRenderedPageBreak/>
              <w:t>Harvard Initiative Justice Perception Survey</w:t>
            </w:r>
            <w:r w:rsidR="00DF11E6" w:rsidRPr="008F3982">
              <w:rPr>
                <w:iCs/>
                <w:sz w:val="16"/>
                <w:szCs w:val="16"/>
                <w:lang w:val="en-GB"/>
              </w:rPr>
              <w:t xml:space="preserve"> 2017</w:t>
            </w:r>
            <w:r w:rsidR="00543572" w:rsidRPr="008F3982">
              <w:rPr>
                <w:iCs/>
                <w:sz w:val="16"/>
                <w:szCs w:val="16"/>
                <w:lang w:val="en-GB"/>
              </w:rPr>
              <w:t>.</w:t>
            </w:r>
          </w:p>
          <w:p w14:paraId="1B97536F" w14:textId="0373F3BF" w:rsidR="0082234B" w:rsidRPr="008F3982" w:rsidRDefault="0082234B" w:rsidP="008F3982">
            <w:pPr>
              <w:rPr>
                <w:iCs/>
                <w:sz w:val="16"/>
                <w:szCs w:val="16"/>
                <w:lang w:val="en-GB"/>
              </w:rPr>
            </w:pPr>
            <w:r w:rsidRPr="008F3982">
              <w:rPr>
                <w:iCs/>
                <w:sz w:val="16"/>
                <w:szCs w:val="16"/>
                <w:lang w:val="en-GB"/>
              </w:rPr>
              <w:t>Mapping report on grav</w:t>
            </w:r>
            <w:r w:rsidR="00C608B0" w:rsidRPr="008F3982">
              <w:rPr>
                <w:iCs/>
                <w:sz w:val="16"/>
                <w:szCs w:val="16"/>
                <w:lang w:val="en-GB"/>
              </w:rPr>
              <w:t>e human rights violations in the Central African Republic</w:t>
            </w:r>
          </w:p>
          <w:p w14:paraId="1768771C" w14:textId="77777777" w:rsidR="00BF5143" w:rsidRDefault="00BF5143" w:rsidP="00757CDC">
            <w:pPr>
              <w:rPr>
                <w:i/>
                <w:iCs/>
                <w:sz w:val="16"/>
                <w:szCs w:val="16"/>
                <w:lang w:val="en-GB"/>
              </w:rPr>
            </w:pPr>
          </w:p>
          <w:p w14:paraId="1DAE1FFA" w14:textId="77777777" w:rsidR="00BF5143" w:rsidRDefault="00BF5143" w:rsidP="00757CDC">
            <w:pPr>
              <w:rPr>
                <w:i/>
                <w:iCs/>
                <w:sz w:val="16"/>
                <w:szCs w:val="16"/>
                <w:lang w:val="en-GB"/>
              </w:rPr>
            </w:pPr>
          </w:p>
          <w:p w14:paraId="3C0D7324" w14:textId="77777777" w:rsidR="00757CDC" w:rsidRDefault="00757CDC" w:rsidP="00757CDC">
            <w:pPr>
              <w:rPr>
                <w:i/>
                <w:iCs/>
                <w:sz w:val="16"/>
                <w:szCs w:val="16"/>
                <w:lang w:val="en-GB"/>
              </w:rPr>
            </w:pPr>
          </w:p>
          <w:p w14:paraId="6B070431" w14:textId="77777777" w:rsidR="000661AB" w:rsidRDefault="000661AB" w:rsidP="00757CDC">
            <w:pPr>
              <w:rPr>
                <w:i/>
                <w:iCs/>
                <w:sz w:val="16"/>
                <w:szCs w:val="16"/>
                <w:lang w:val="en-GB"/>
              </w:rPr>
            </w:pPr>
          </w:p>
          <w:p w14:paraId="0738BD05" w14:textId="77777777" w:rsidR="00C516E9" w:rsidRDefault="00C516E9" w:rsidP="00757CDC">
            <w:pPr>
              <w:rPr>
                <w:i/>
                <w:iCs/>
                <w:sz w:val="16"/>
                <w:szCs w:val="16"/>
                <w:lang w:val="en-GB"/>
              </w:rPr>
            </w:pPr>
          </w:p>
          <w:p w14:paraId="26B82DFA" w14:textId="77777777" w:rsidR="00C516E9" w:rsidRDefault="00C516E9" w:rsidP="00757CDC">
            <w:pPr>
              <w:rPr>
                <w:i/>
                <w:iCs/>
                <w:sz w:val="16"/>
                <w:szCs w:val="16"/>
                <w:lang w:val="en-GB"/>
              </w:rPr>
            </w:pPr>
          </w:p>
          <w:p w14:paraId="5419AE0D" w14:textId="77777777" w:rsidR="008F3982" w:rsidRDefault="008F3982" w:rsidP="00757CDC">
            <w:pPr>
              <w:rPr>
                <w:i/>
                <w:iCs/>
                <w:sz w:val="16"/>
                <w:szCs w:val="16"/>
                <w:lang w:val="en-GB"/>
              </w:rPr>
            </w:pPr>
          </w:p>
          <w:p w14:paraId="02C89C67" w14:textId="77777777" w:rsidR="000661AB" w:rsidRDefault="000661AB" w:rsidP="00757CDC">
            <w:pPr>
              <w:rPr>
                <w:i/>
                <w:iCs/>
                <w:sz w:val="16"/>
                <w:szCs w:val="16"/>
                <w:lang w:val="en-GB"/>
              </w:rPr>
            </w:pPr>
          </w:p>
          <w:p w14:paraId="6524C0F5" w14:textId="77777777" w:rsidR="000661AB" w:rsidRPr="001B487A" w:rsidRDefault="00C516E9" w:rsidP="001B487A">
            <w:pPr>
              <w:rPr>
                <w:iCs/>
                <w:sz w:val="16"/>
                <w:szCs w:val="16"/>
                <w:lang w:val="en-GB"/>
              </w:rPr>
            </w:pPr>
            <w:r w:rsidRPr="001B487A">
              <w:rPr>
                <w:iCs/>
                <w:sz w:val="16"/>
                <w:szCs w:val="16"/>
                <w:lang w:val="en-GB"/>
              </w:rPr>
              <w:t>Harvard Initiative Justice Perception Survey 2017; Annual report Ministry of Social Affairs; UNDP annual programme reports; community based consultations</w:t>
            </w:r>
          </w:p>
          <w:p w14:paraId="4E0B50EB" w14:textId="77777777" w:rsidR="00AA4789" w:rsidRDefault="00AA4789" w:rsidP="00BF5143">
            <w:pPr>
              <w:rPr>
                <w:iCs/>
                <w:sz w:val="16"/>
                <w:szCs w:val="16"/>
                <w:lang w:val="en-GB"/>
              </w:rPr>
            </w:pPr>
          </w:p>
          <w:p w14:paraId="232C3704" w14:textId="77777777" w:rsidR="00C516E9" w:rsidRPr="001B487A" w:rsidRDefault="00C516E9" w:rsidP="001B487A">
            <w:pPr>
              <w:rPr>
                <w:iCs/>
                <w:sz w:val="16"/>
                <w:szCs w:val="16"/>
                <w:lang w:val="en-GB"/>
              </w:rPr>
            </w:pPr>
            <w:r w:rsidRPr="001B487A">
              <w:rPr>
                <w:iCs/>
                <w:sz w:val="16"/>
                <w:szCs w:val="16"/>
                <w:lang w:val="en-GB"/>
              </w:rPr>
              <w:t>Annual report Ministry of Territorial Administration; UNDP annual programme reports</w:t>
            </w:r>
          </w:p>
          <w:p w14:paraId="724760A7" w14:textId="77777777" w:rsidR="00FA47D6" w:rsidRDefault="00FA47D6" w:rsidP="0072627A">
            <w:pPr>
              <w:rPr>
                <w:iCs/>
                <w:sz w:val="16"/>
                <w:szCs w:val="16"/>
                <w:lang w:val="en-GB"/>
              </w:rPr>
            </w:pPr>
          </w:p>
          <w:p w14:paraId="19F26EEA" w14:textId="77777777" w:rsidR="0012226B" w:rsidRDefault="0012226B" w:rsidP="0072627A">
            <w:pPr>
              <w:rPr>
                <w:iCs/>
                <w:sz w:val="16"/>
                <w:szCs w:val="16"/>
                <w:lang w:val="en-GB"/>
              </w:rPr>
            </w:pPr>
          </w:p>
          <w:p w14:paraId="0495D1CA" w14:textId="77777777" w:rsidR="0012226B" w:rsidRDefault="0012226B" w:rsidP="0072627A">
            <w:pPr>
              <w:rPr>
                <w:iCs/>
                <w:sz w:val="16"/>
                <w:szCs w:val="16"/>
                <w:lang w:val="en-GB"/>
              </w:rPr>
            </w:pPr>
          </w:p>
          <w:p w14:paraId="029DF081" w14:textId="77777777" w:rsidR="0012226B" w:rsidRPr="0072627A" w:rsidRDefault="0012226B" w:rsidP="0072627A">
            <w:pPr>
              <w:rPr>
                <w:iCs/>
                <w:sz w:val="16"/>
                <w:szCs w:val="16"/>
                <w:lang w:val="en-GB"/>
              </w:rPr>
            </w:pPr>
          </w:p>
          <w:p w14:paraId="3753DC75" w14:textId="77777777" w:rsidR="000249B1" w:rsidRPr="001B487A" w:rsidRDefault="000249B1" w:rsidP="001B487A">
            <w:pPr>
              <w:rPr>
                <w:iCs/>
                <w:sz w:val="16"/>
                <w:szCs w:val="16"/>
                <w:lang w:val="en-GB"/>
              </w:rPr>
            </w:pPr>
            <w:r w:rsidRPr="001B487A">
              <w:rPr>
                <w:iCs/>
                <w:sz w:val="16"/>
                <w:szCs w:val="16"/>
                <w:lang w:val="en-GB"/>
              </w:rPr>
              <w:t>Annual repor</w:t>
            </w:r>
            <w:r w:rsidR="00FA47D6" w:rsidRPr="001B487A">
              <w:rPr>
                <w:iCs/>
                <w:sz w:val="16"/>
                <w:szCs w:val="16"/>
                <w:lang w:val="en-GB"/>
              </w:rPr>
              <w:t xml:space="preserve">ts of target Ministries; UNDP annual </w:t>
            </w:r>
            <w:r w:rsidR="00FA47D6" w:rsidRPr="001B487A">
              <w:rPr>
                <w:iCs/>
                <w:sz w:val="16"/>
                <w:szCs w:val="16"/>
                <w:lang w:val="en-GB"/>
              </w:rPr>
              <w:lastRenderedPageBreak/>
              <w:t>programme reports</w:t>
            </w:r>
            <w:r w:rsidR="00317663" w:rsidRPr="001B487A">
              <w:rPr>
                <w:iCs/>
                <w:sz w:val="16"/>
                <w:szCs w:val="16"/>
                <w:lang w:val="en-GB"/>
              </w:rPr>
              <w:t>; informal verification mechanisms</w:t>
            </w:r>
          </w:p>
          <w:p w14:paraId="273D3CA9" w14:textId="77777777" w:rsidR="000249B1" w:rsidRDefault="000249B1" w:rsidP="00BF5143">
            <w:pPr>
              <w:rPr>
                <w:iCs/>
                <w:sz w:val="16"/>
                <w:szCs w:val="16"/>
                <w:lang w:val="en-GB"/>
              </w:rPr>
            </w:pPr>
          </w:p>
          <w:p w14:paraId="734CF629" w14:textId="77777777" w:rsidR="000661AB" w:rsidRDefault="000661AB" w:rsidP="00BF5143">
            <w:pPr>
              <w:rPr>
                <w:iCs/>
                <w:sz w:val="16"/>
                <w:szCs w:val="16"/>
                <w:lang w:val="en-GB"/>
              </w:rPr>
            </w:pPr>
          </w:p>
          <w:p w14:paraId="6A8C69C5" w14:textId="77777777" w:rsidR="00346649" w:rsidRPr="00BF5143" w:rsidRDefault="00346649" w:rsidP="00BF5143">
            <w:pPr>
              <w:rPr>
                <w:iCs/>
                <w:sz w:val="16"/>
                <w:szCs w:val="16"/>
                <w:lang w:val="en-GB"/>
              </w:rPr>
            </w:pPr>
          </w:p>
          <w:p w14:paraId="27C2938B" w14:textId="77777777" w:rsidR="00B51C24" w:rsidRPr="001B487A" w:rsidRDefault="00BF5143" w:rsidP="001B487A">
            <w:pPr>
              <w:rPr>
                <w:lang w:val="en-GB"/>
              </w:rPr>
            </w:pPr>
            <w:r w:rsidRPr="001B487A">
              <w:rPr>
                <w:iCs/>
                <w:sz w:val="16"/>
                <w:szCs w:val="16"/>
                <w:lang w:val="en-GB"/>
              </w:rPr>
              <w:t>Permanent Secretariat annual reports; UNDP annual programme reports</w:t>
            </w:r>
            <w:r w:rsidR="00317663" w:rsidRPr="001B487A">
              <w:rPr>
                <w:iCs/>
                <w:sz w:val="16"/>
                <w:szCs w:val="16"/>
                <w:lang w:val="en-GB"/>
              </w:rPr>
              <w:t>; informal verification mechanisms</w:t>
            </w:r>
          </w:p>
        </w:tc>
        <w:tc>
          <w:tcPr>
            <w:tcW w:w="1960" w:type="pct"/>
            <w:gridSpan w:val="2"/>
            <w:vMerge w:val="restart"/>
            <w:tcMar>
              <w:top w:w="72" w:type="dxa"/>
              <w:left w:w="144" w:type="dxa"/>
              <w:bottom w:w="72" w:type="dxa"/>
              <w:right w:w="144" w:type="dxa"/>
            </w:tcMar>
          </w:tcPr>
          <w:p w14:paraId="6EA30154" w14:textId="77777777" w:rsidR="00B51C24" w:rsidRPr="006C6258" w:rsidRDefault="00B51C24" w:rsidP="00D97046">
            <w:pPr>
              <w:rPr>
                <w:color w:val="191919"/>
                <w:sz w:val="16"/>
                <w:szCs w:val="16"/>
                <w:lang w:eastAsia="en-GB"/>
              </w:rPr>
            </w:pPr>
            <w:r w:rsidRPr="006C6258">
              <w:rPr>
                <w:b/>
                <w:color w:val="191919"/>
                <w:sz w:val="16"/>
                <w:szCs w:val="16"/>
                <w:lang w:eastAsia="en-GB"/>
              </w:rPr>
              <w:lastRenderedPageBreak/>
              <w:t>Output</w:t>
            </w:r>
            <w:r w:rsidR="00B65C36" w:rsidRPr="006C6258">
              <w:rPr>
                <w:b/>
                <w:color w:val="191919"/>
                <w:sz w:val="16"/>
                <w:szCs w:val="16"/>
                <w:lang w:eastAsia="en-GB"/>
              </w:rPr>
              <w:t xml:space="preserve"> 1.1</w:t>
            </w:r>
            <w:r w:rsidRPr="006C6258">
              <w:rPr>
                <w:b/>
                <w:color w:val="191919"/>
                <w:sz w:val="16"/>
                <w:szCs w:val="16"/>
                <w:lang w:eastAsia="en-GB"/>
              </w:rPr>
              <w:t>:</w:t>
            </w:r>
            <w:r w:rsidRPr="006C6258">
              <w:rPr>
                <w:color w:val="191919"/>
                <w:sz w:val="16"/>
                <w:szCs w:val="16"/>
                <w:lang w:eastAsia="en-GB"/>
              </w:rPr>
              <w:t xml:space="preserve"> Justice and security services a</w:t>
            </w:r>
            <w:r w:rsidR="004348D5" w:rsidRPr="006C6258">
              <w:rPr>
                <w:color w:val="191919"/>
                <w:sz w:val="16"/>
                <w:szCs w:val="16"/>
                <w:lang w:eastAsia="en-GB"/>
              </w:rPr>
              <w:t xml:space="preserve">re </w:t>
            </w:r>
            <w:r w:rsidR="00A65D50">
              <w:rPr>
                <w:color w:val="191919"/>
                <w:sz w:val="16"/>
                <w:szCs w:val="16"/>
                <w:lang w:eastAsia="en-GB"/>
              </w:rPr>
              <w:t>delivered to the population and criminal cases are a</w:t>
            </w:r>
            <w:r w:rsidR="00F7610B">
              <w:rPr>
                <w:color w:val="191919"/>
                <w:sz w:val="16"/>
                <w:szCs w:val="16"/>
                <w:lang w:eastAsia="en-GB"/>
              </w:rPr>
              <w:t xml:space="preserve">djudicated </w:t>
            </w:r>
            <w:r w:rsidR="00A65D50">
              <w:rPr>
                <w:color w:val="191919"/>
                <w:sz w:val="16"/>
                <w:szCs w:val="16"/>
                <w:lang w:eastAsia="en-GB"/>
              </w:rPr>
              <w:t>including by the Special Criminal Court</w:t>
            </w:r>
            <w:r w:rsidR="003E097E" w:rsidRPr="006C6258">
              <w:rPr>
                <w:color w:val="191919"/>
                <w:sz w:val="16"/>
                <w:szCs w:val="16"/>
                <w:lang w:eastAsia="en-GB"/>
              </w:rPr>
              <w:t xml:space="preserve"> </w:t>
            </w:r>
          </w:p>
          <w:p w14:paraId="7E76D871" w14:textId="77777777" w:rsidR="00B51C24" w:rsidRPr="006C6258" w:rsidRDefault="004348D5" w:rsidP="00D97046">
            <w:pPr>
              <w:rPr>
                <w:color w:val="191919"/>
                <w:sz w:val="16"/>
                <w:szCs w:val="16"/>
                <w:lang w:eastAsia="en-GB"/>
              </w:rPr>
            </w:pPr>
            <w:r w:rsidRPr="006C6258">
              <w:rPr>
                <w:b/>
                <w:color w:val="191919"/>
                <w:sz w:val="16"/>
                <w:szCs w:val="16"/>
                <w:lang w:eastAsia="en-GB"/>
              </w:rPr>
              <w:t>Indicator</w:t>
            </w:r>
            <w:r w:rsidR="00B65C36" w:rsidRPr="006C6258">
              <w:rPr>
                <w:b/>
                <w:color w:val="191919"/>
                <w:sz w:val="16"/>
                <w:szCs w:val="16"/>
                <w:lang w:eastAsia="en-GB"/>
              </w:rPr>
              <w:t xml:space="preserve"> 1.1</w:t>
            </w:r>
            <w:r w:rsidR="00B51C24" w:rsidRPr="006C6258">
              <w:rPr>
                <w:b/>
                <w:color w:val="191919"/>
                <w:sz w:val="16"/>
                <w:szCs w:val="16"/>
                <w:lang w:eastAsia="en-GB"/>
              </w:rPr>
              <w:t>:</w:t>
            </w:r>
            <w:r w:rsidR="00B51C24" w:rsidRPr="006C6258">
              <w:rPr>
                <w:color w:val="191919"/>
                <w:sz w:val="16"/>
                <w:szCs w:val="16"/>
                <w:lang w:eastAsia="en-GB"/>
              </w:rPr>
              <w:t xml:space="preserve"> Number of </w:t>
            </w:r>
            <w:r w:rsidR="00067F18" w:rsidRPr="006C6258">
              <w:rPr>
                <w:color w:val="191919"/>
                <w:sz w:val="16"/>
                <w:szCs w:val="16"/>
                <w:lang w:eastAsia="en-GB"/>
              </w:rPr>
              <w:t>criminal</w:t>
            </w:r>
            <w:r w:rsidR="00B51C24" w:rsidRPr="006C6258">
              <w:rPr>
                <w:color w:val="191919"/>
                <w:sz w:val="16"/>
                <w:szCs w:val="16"/>
                <w:lang w:eastAsia="en-GB"/>
              </w:rPr>
              <w:t xml:space="preserve"> cases processed </w:t>
            </w:r>
          </w:p>
          <w:p w14:paraId="305A5AAB" w14:textId="77777777" w:rsidR="00B51C24" w:rsidRPr="006C6258" w:rsidRDefault="00B51C24" w:rsidP="00D97046">
            <w:pPr>
              <w:rPr>
                <w:color w:val="191919"/>
                <w:sz w:val="16"/>
                <w:szCs w:val="16"/>
                <w:lang w:eastAsia="en-GB"/>
              </w:rPr>
            </w:pPr>
            <w:r w:rsidRPr="006C6258">
              <w:rPr>
                <w:b/>
                <w:color w:val="191919"/>
                <w:sz w:val="16"/>
                <w:szCs w:val="16"/>
                <w:lang w:eastAsia="en-GB"/>
              </w:rPr>
              <w:t>Baseline:</w:t>
            </w:r>
            <w:r w:rsidR="00B65C36" w:rsidRPr="006C6258">
              <w:rPr>
                <w:color w:val="191919"/>
                <w:sz w:val="16"/>
                <w:szCs w:val="16"/>
                <w:lang w:eastAsia="en-GB"/>
              </w:rPr>
              <w:t xml:space="preserve"> 41 </w:t>
            </w:r>
            <w:r w:rsidR="009D5055">
              <w:rPr>
                <w:color w:val="191919"/>
                <w:sz w:val="16"/>
                <w:szCs w:val="16"/>
                <w:lang w:eastAsia="en-GB"/>
              </w:rPr>
              <w:t xml:space="preserve">including </w:t>
            </w:r>
            <w:r w:rsidR="00067B13">
              <w:rPr>
                <w:color w:val="191919"/>
                <w:sz w:val="16"/>
                <w:szCs w:val="16"/>
                <w:lang w:eastAsia="en-GB"/>
              </w:rPr>
              <w:t>4 SGBV cases</w:t>
            </w:r>
            <w:r w:rsidR="00483ED3">
              <w:rPr>
                <w:color w:val="191919"/>
                <w:sz w:val="16"/>
                <w:szCs w:val="16"/>
                <w:lang w:eastAsia="en-GB"/>
              </w:rPr>
              <w:t xml:space="preserve"> </w:t>
            </w:r>
            <w:r w:rsidR="009D5055">
              <w:rPr>
                <w:color w:val="191919"/>
                <w:sz w:val="16"/>
                <w:szCs w:val="16"/>
                <w:lang w:eastAsia="en-GB"/>
              </w:rPr>
              <w:t xml:space="preserve"> </w:t>
            </w:r>
            <w:r w:rsidR="00B65C36" w:rsidRPr="006C6258">
              <w:rPr>
                <w:color w:val="191919"/>
                <w:sz w:val="16"/>
                <w:szCs w:val="16"/>
                <w:lang w:eastAsia="en-GB"/>
              </w:rPr>
              <w:t>(</w:t>
            </w:r>
            <w:r w:rsidRPr="006C6258">
              <w:rPr>
                <w:color w:val="191919"/>
                <w:sz w:val="16"/>
                <w:szCs w:val="16"/>
                <w:lang w:eastAsia="en-GB"/>
              </w:rPr>
              <w:t>2016)</w:t>
            </w:r>
          </w:p>
          <w:p w14:paraId="15551017" w14:textId="77777777" w:rsidR="00B51C24" w:rsidRPr="006C6258" w:rsidRDefault="00B51C24" w:rsidP="00D97046">
            <w:pPr>
              <w:rPr>
                <w:color w:val="191919"/>
                <w:sz w:val="16"/>
                <w:szCs w:val="16"/>
                <w:lang w:eastAsia="en-GB"/>
              </w:rPr>
            </w:pPr>
            <w:r w:rsidRPr="006C6258">
              <w:rPr>
                <w:b/>
                <w:color w:val="191919"/>
                <w:sz w:val="16"/>
                <w:szCs w:val="16"/>
                <w:lang w:eastAsia="en-GB"/>
              </w:rPr>
              <w:t>Target:</w:t>
            </w:r>
            <w:r w:rsidR="00067F18" w:rsidRPr="006C6258">
              <w:rPr>
                <w:color w:val="191919"/>
                <w:sz w:val="16"/>
                <w:szCs w:val="16"/>
                <w:lang w:eastAsia="en-GB"/>
              </w:rPr>
              <w:t xml:space="preserve"> 283</w:t>
            </w:r>
            <w:r w:rsidRPr="006C6258">
              <w:rPr>
                <w:color w:val="191919"/>
                <w:sz w:val="16"/>
                <w:szCs w:val="16"/>
                <w:lang w:eastAsia="en-GB"/>
              </w:rPr>
              <w:t xml:space="preserve"> </w:t>
            </w:r>
            <w:r w:rsidR="009D5055">
              <w:rPr>
                <w:color w:val="191919"/>
                <w:sz w:val="16"/>
                <w:szCs w:val="16"/>
                <w:lang w:eastAsia="en-GB"/>
              </w:rPr>
              <w:t xml:space="preserve">including </w:t>
            </w:r>
            <w:r w:rsidR="0082234B">
              <w:rPr>
                <w:color w:val="191919"/>
                <w:sz w:val="16"/>
                <w:szCs w:val="16"/>
                <w:lang w:eastAsia="en-GB"/>
              </w:rPr>
              <w:t>30</w:t>
            </w:r>
            <w:r w:rsidR="009D5055">
              <w:rPr>
                <w:color w:val="191919"/>
                <w:sz w:val="16"/>
                <w:szCs w:val="16"/>
                <w:lang w:eastAsia="en-GB"/>
              </w:rPr>
              <w:t xml:space="preserve"> SGBV cases </w:t>
            </w:r>
            <w:r w:rsidRPr="006C6258">
              <w:rPr>
                <w:color w:val="191919"/>
                <w:sz w:val="16"/>
                <w:szCs w:val="16"/>
                <w:lang w:eastAsia="en-GB"/>
              </w:rPr>
              <w:t>(2021)</w:t>
            </w:r>
          </w:p>
          <w:p w14:paraId="7B56FE25" w14:textId="77777777" w:rsidR="00B51C24" w:rsidRDefault="00B51C24" w:rsidP="00D97046">
            <w:pPr>
              <w:rPr>
                <w:color w:val="191919"/>
                <w:sz w:val="16"/>
                <w:szCs w:val="16"/>
                <w:lang w:eastAsia="en-GB"/>
              </w:rPr>
            </w:pPr>
          </w:p>
          <w:p w14:paraId="5360CFB2" w14:textId="77777777" w:rsidR="00F46E55" w:rsidRDefault="00F46E55" w:rsidP="00D97046">
            <w:pPr>
              <w:rPr>
                <w:color w:val="191919"/>
                <w:sz w:val="16"/>
                <w:szCs w:val="16"/>
                <w:lang w:eastAsia="en-GB"/>
              </w:rPr>
            </w:pPr>
          </w:p>
          <w:p w14:paraId="440CBC0D" w14:textId="77777777" w:rsidR="000661AB" w:rsidRDefault="000661AB" w:rsidP="00D97046">
            <w:pPr>
              <w:rPr>
                <w:color w:val="191919"/>
                <w:sz w:val="16"/>
                <w:szCs w:val="16"/>
                <w:lang w:eastAsia="en-GB"/>
              </w:rPr>
            </w:pPr>
          </w:p>
          <w:p w14:paraId="37971724" w14:textId="77777777" w:rsidR="000661AB" w:rsidRDefault="000661AB" w:rsidP="00D97046">
            <w:pPr>
              <w:rPr>
                <w:color w:val="191919"/>
                <w:sz w:val="16"/>
                <w:szCs w:val="16"/>
                <w:lang w:eastAsia="en-GB"/>
              </w:rPr>
            </w:pPr>
          </w:p>
          <w:p w14:paraId="3A5F8071" w14:textId="77777777" w:rsidR="000661AB" w:rsidRDefault="000661AB" w:rsidP="00D97046">
            <w:pPr>
              <w:rPr>
                <w:color w:val="191919"/>
                <w:sz w:val="16"/>
                <w:szCs w:val="16"/>
                <w:lang w:eastAsia="en-GB"/>
              </w:rPr>
            </w:pPr>
          </w:p>
          <w:p w14:paraId="7CCF4A03" w14:textId="77777777" w:rsidR="000661AB" w:rsidRDefault="000661AB" w:rsidP="00D97046">
            <w:pPr>
              <w:rPr>
                <w:color w:val="191919"/>
                <w:sz w:val="16"/>
                <w:szCs w:val="16"/>
                <w:lang w:eastAsia="en-GB"/>
              </w:rPr>
            </w:pPr>
          </w:p>
          <w:p w14:paraId="37574290" w14:textId="77777777" w:rsidR="000661AB" w:rsidRDefault="000661AB" w:rsidP="00D97046">
            <w:pPr>
              <w:rPr>
                <w:color w:val="191919"/>
                <w:sz w:val="16"/>
                <w:szCs w:val="16"/>
                <w:lang w:eastAsia="en-GB"/>
              </w:rPr>
            </w:pPr>
          </w:p>
          <w:p w14:paraId="29A15053" w14:textId="77777777" w:rsidR="000661AB" w:rsidRPr="006C6258" w:rsidRDefault="000661AB" w:rsidP="00D97046">
            <w:pPr>
              <w:rPr>
                <w:color w:val="191919"/>
                <w:sz w:val="16"/>
                <w:szCs w:val="16"/>
                <w:lang w:eastAsia="en-GB"/>
              </w:rPr>
            </w:pPr>
          </w:p>
          <w:p w14:paraId="2C935AF8" w14:textId="77777777" w:rsidR="00B51C24" w:rsidRPr="00BF5143" w:rsidRDefault="00067F18" w:rsidP="00D97046">
            <w:pPr>
              <w:rPr>
                <w:color w:val="191919"/>
                <w:sz w:val="16"/>
                <w:szCs w:val="16"/>
                <w:lang w:eastAsia="en-GB"/>
              </w:rPr>
            </w:pPr>
            <w:r w:rsidRPr="00BF5143">
              <w:rPr>
                <w:b/>
                <w:color w:val="191919"/>
                <w:sz w:val="16"/>
                <w:szCs w:val="16"/>
                <w:lang w:eastAsia="en-GB"/>
              </w:rPr>
              <w:t>Output 1.2</w:t>
            </w:r>
            <w:r w:rsidR="00B51C24" w:rsidRPr="00BF5143">
              <w:rPr>
                <w:b/>
                <w:color w:val="191919"/>
                <w:sz w:val="16"/>
                <w:szCs w:val="16"/>
                <w:lang w:eastAsia="en-GB"/>
              </w:rPr>
              <w:t>:</w:t>
            </w:r>
            <w:r w:rsidR="003E097E" w:rsidRPr="00BF5143">
              <w:rPr>
                <w:color w:val="191919"/>
                <w:sz w:val="16"/>
                <w:szCs w:val="16"/>
                <w:lang w:eastAsia="en-GB"/>
              </w:rPr>
              <w:t xml:space="preserve"> </w:t>
            </w:r>
            <w:r w:rsidR="007628E6">
              <w:rPr>
                <w:color w:val="191919"/>
                <w:sz w:val="16"/>
                <w:szCs w:val="16"/>
                <w:lang w:eastAsia="en-GB"/>
              </w:rPr>
              <w:t>Increased women’s participation in decision making processes at national and local level</w:t>
            </w:r>
            <w:r w:rsidR="00032704">
              <w:rPr>
                <w:color w:val="191919"/>
                <w:sz w:val="16"/>
                <w:szCs w:val="16"/>
                <w:lang w:eastAsia="en-GB"/>
              </w:rPr>
              <w:t xml:space="preserve"> (SP 4.4.1)</w:t>
            </w:r>
          </w:p>
          <w:p w14:paraId="2C159544" w14:textId="77777777" w:rsidR="00B51C24" w:rsidRPr="00BF5143" w:rsidRDefault="00067F18" w:rsidP="00D97046">
            <w:pPr>
              <w:rPr>
                <w:color w:val="191919"/>
                <w:sz w:val="16"/>
                <w:szCs w:val="16"/>
                <w:lang w:eastAsia="en-GB"/>
              </w:rPr>
            </w:pPr>
            <w:r w:rsidRPr="00BF5143">
              <w:rPr>
                <w:b/>
                <w:color w:val="191919"/>
                <w:sz w:val="16"/>
                <w:szCs w:val="16"/>
                <w:lang w:eastAsia="en-GB"/>
              </w:rPr>
              <w:t>Indicator 1.2</w:t>
            </w:r>
            <w:r w:rsidR="00B51C24" w:rsidRPr="00BF5143">
              <w:rPr>
                <w:b/>
                <w:color w:val="191919"/>
                <w:sz w:val="16"/>
                <w:szCs w:val="16"/>
                <w:lang w:eastAsia="en-GB"/>
              </w:rPr>
              <w:t>:</w:t>
            </w:r>
            <w:r w:rsidR="00B51C24" w:rsidRPr="00BF5143">
              <w:rPr>
                <w:color w:val="191919"/>
                <w:sz w:val="16"/>
                <w:szCs w:val="16"/>
                <w:lang w:eastAsia="en-GB"/>
              </w:rPr>
              <w:t xml:space="preserve"> </w:t>
            </w:r>
            <w:r w:rsidR="007628E6">
              <w:rPr>
                <w:color w:val="191919"/>
                <w:sz w:val="16"/>
                <w:szCs w:val="16"/>
                <w:lang w:eastAsia="en-GB"/>
              </w:rPr>
              <w:t>Number of laws and policies in place to secure women’s participation in decision-making</w:t>
            </w:r>
          </w:p>
          <w:p w14:paraId="530C1BE2" w14:textId="77777777" w:rsidR="00B51C24" w:rsidRPr="00BF5143" w:rsidRDefault="00B51C24" w:rsidP="00D97046">
            <w:pPr>
              <w:rPr>
                <w:color w:val="191919"/>
                <w:sz w:val="16"/>
                <w:szCs w:val="16"/>
                <w:lang w:eastAsia="en-GB"/>
              </w:rPr>
            </w:pPr>
            <w:r w:rsidRPr="00BF5143">
              <w:rPr>
                <w:b/>
                <w:color w:val="191919"/>
                <w:sz w:val="16"/>
                <w:szCs w:val="16"/>
                <w:lang w:eastAsia="en-GB"/>
              </w:rPr>
              <w:t>Baseline:</w:t>
            </w:r>
            <w:r w:rsidR="007628E6">
              <w:rPr>
                <w:color w:val="191919"/>
                <w:sz w:val="16"/>
                <w:szCs w:val="16"/>
                <w:lang w:eastAsia="en-GB"/>
              </w:rPr>
              <w:t xml:space="preserve"> </w:t>
            </w:r>
            <w:r w:rsidR="0082234B">
              <w:rPr>
                <w:color w:val="191919"/>
                <w:sz w:val="16"/>
                <w:szCs w:val="16"/>
                <w:lang w:eastAsia="en-GB"/>
              </w:rPr>
              <w:t xml:space="preserve">2 </w:t>
            </w:r>
            <w:r w:rsidRPr="00BF5143">
              <w:rPr>
                <w:color w:val="191919"/>
                <w:sz w:val="16"/>
                <w:szCs w:val="16"/>
                <w:lang w:eastAsia="en-GB"/>
              </w:rPr>
              <w:t>(2016)</w:t>
            </w:r>
          </w:p>
          <w:p w14:paraId="12968033" w14:textId="77777777" w:rsidR="00B51C24" w:rsidRDefault="00B51C24" w:rsidP="00D97046">
            <w:pPr>
              <w:rPr>
                <w:color w:val="191919"/>
                <w:sz w:val="16"/>
                <w:szCs w:val="16"/>
                <w:lang w:eastAsia="en-GB"/>
              </w:rPr>
            </w:pPr>
            <w:r w:rsidRPr="00BF5143">
              <w:rPr>
                <w:b/>
                <w:color w:val="191919"/>
                <w:sz w:val="16"/>
                <w:szCs w:val="16"/>
                <w:lang w:eastAsia="en-GB"/>
              </w:rPr>
              <w:t>Target:</w:t>
            </w:r>
            <w:r w:rsidR="00FF0ADC">
              <w:rPr>
                <w:color w:val="191919"/>
                <w:sz w:val="16"/>
                <w:szCs w:val="16"/>
                <w:lang w:eastAsia="en-GB"/>
              </w:rPr>
              <w:t xml:space="preserve">  4</w:t>
            </w:r>
            <w:r w:rsidR="007628E6">
              <w:rPr>
                <w:color w:val="191919"/>
                <w:sz w:val="16"/>
                <w:szCs w:val="16"/>
                <w:lang w:eastAsia="en-GB"/>
              </w:rPr>
              <w:t xml:space="preserve">  </w:t>
            </w:r>
            <w:r w:rsidRPr="00BF5143">
              <w:rPr>
                <w:color w:val="191919"/>
                <w:sz w:val="16"/>
                <w:szCs w:val="16"/>
                <w:lang w:eastAsia="en-GB"/>
              </w:rPr>
              <w:t>(2021)</w:t>
            </w:r>
          </w:p>
          <w:p w14:paraId="32C0E8DD" w14:textId="77777777" w:rsidR="00B51C24" w:rsidRDefault="00B51C24" w:rsidP="00D97046">
            <w:pPr>
              <w:rPr>
                <w:color w:val="191919"/>
                <w:sz w:val="16"/>
                <w:szCs w:val="16"/>
                <w:lang w:eastAsia="en-GB"/>
              </w:rPr>
            </w:pPr>
          </w:p>
          <w:p w14:paraId="2F097C4D" w14:textId="77777777" w:rsidR="0012226B" w:rsidRPr="006C6258" w:rsidRDefault="0012226B" w:rsidP="00D97046">
            <w:pPr>
              <w:rPr>
                <w:color w:val="191919"/>
                <w:sz w:val="16"/>
                <w:szCs w:val="16"/>
                <w:lang w:eastAsia="en-GB"/>
              </w:rPr>
            </w:pPr>
          </w:p>
          <w:p w14:paraId="2DB232F0" w14:textId="77777777" w:rsidR="00B51C24" w:rsidRPr="006C6258" w:rsidRDefault="00067F18" w:rsidP="00D97046">
            <w:pPr>
              <w:rPr>
                <w:color w:val="191919"/>
                <w:sz w:val="16"/>
                <w:szCs w:val="16"/>
                <w:lang w:eastAsia="en-GB"/>
              </w:rPr>
            </w:pPr>
            <w:r w:rsidRPr="006C6258">
              <w:rPr>
                <w:b/>
                <w:color w:val="191919"/>
                <w:sz w:val="16"/>
                <w:szCs w:val="16"/>
                <w:lang w:eastAsia="en-GB"/>
              </w:rPr>
              <w:t>Output 1.3</w:t>
            </w:r>
            <w:r w:rsidR="00B51C24" w:rsidRPr="006C6258">
              <w:rPr>
                <w:b/>
                <w:color w:val="191919"/>
                <w:sz w:val="16"/>
                <w:szCs w:val="16"/>
                <w:lang w:eastAsia="en-GB"/>
              </w:rPr>
              <w:t>:</w:t>
            </w:r>
            <w:r w:rsidRPr="006C6258">
              <w:rPr>
                <w:color w:val="191919"/>
                <w:sz w:val="16"/>
                <w:szCs w:val="16"/>
                <w:lang w:eastAsia="en-GB"/>
              </w:rPr>
              <w:t xml:space="preserve"> National policy on decentralization is</w:t>
            </w:r>
            <w:r w:rsidR="00B51C24" w:rsidRPr="006C6258">
              <w:rPr>
                <w:color w:val="191919"/>
                <w:sz w:val="16"/>
                <w:szCs w:val="16"/>
                <w:lang w:eastAsia="en-GB"/>
              </w:rPr>
              <w:t xml:space="preserve"> implemen</w:t>
            </w:r>
            <w:r w:rsidR="004348D5" w:rsidRPr="006C6258">
              <w:rPr>
                <w:color w:val="191919"/>
                <w:sz w:val="16"/>
                <w:szCs w:val="16"/>
                <w:lang w:eastAsia="en-GB"/>
              </w:rPr>
              <w:t>ted</w:t>
            </w:r>
            <w:r w:rsidR="00FF0ADC">
              <w:rPr>
                <w:color w:val="191919"/>
                <w:sz w:val="16"/>
                <w:szCs w:val="16"/>
                <w:lang w:eastAsia="en-GB"/>
              </w:rPr>
              <w:t xml:space="preserve"> </w:t>
            </w:r>
            <w:r w:rsidR="00935EB9" w:rsidRPr="006C6258">
              <w:rPr>
                <w:color w:val="191919"/>
                <w:sz w:val="16"/>
                <w:szCs w:val="16"/>
                <w:lang w:eastAsia="en-GB"/>
              </w:rPr>
              <w:t>taking into account the principles of gender equality</w:t>
            </w:r>
          </w:p>
          <w:p w14:paraId="2858F40F" w14:textId="77777777" w:rsidR="00B51C24" w:rsidRPr="006C6258" w:rsidRDefault="00067F18" w:rsidP="00D97046">
            <w:pPr>
              <w:rPr>
                <w:color w:val="191919"/>
                <w:sz w:val="16"/>
                <w:szCs w:val="16"/>
                <w:lang w:eastAsia="en-GB"/>
              </w:rPr>
            </w:pPr>
            <w:r w:rsidRPr="006C6258">
              <w:rPr>
                <w:b/>
                <w:color w:val="191919"/>
                <w:sz w:val="16"/>
                <w:szCs w:val="16"/>
                <w:lang w:eastAsia="en-GB"/>
              </w:rPr>
              <w:t>Indicator 1.3</w:t>
            </w:r>
            <w:r w:rsidR="00FF0ADC">
              <w:rPr>
                <w:b/>
                <w:color w:val="191919"/>
                <w:sz w:val="16"/>
                <w:szCs w:val="16"/>
                <w:lang w:eastAsia="en-GB"/>
              </w:rPr>
              <w:t>a</w:t>
            </w:r>
            <w:r w:rsidR="00B51C24" w:rsidRPr="006C6258">
              <w:rPr>
                <w:b/>
                <w:color w:val="191919"/>
                <w:sz w:val="16"/>
                <w:szCs w:val="16"/>
                <w:lang w:eastAsia="en-GB"/>
              </w:rPr>
              <w:t>:</w:t>
            </w:r>
            <w:r w:rsidR="00B51C24" w:rsidRPr="006C6258">
              <w:rPr>
                <w:color w:val="191919"/>
                <w:sz w:val="16"/>
                <w:szCs w:val="16"/>
                <w:lang w:eastAsia="en-GB"/>
              </w:rPr>
              <w:t xml:space="preserve"> Number of municipalities with local development plans and mechanisms fo</w:t>
            </w:r>
            <w:r w:rsidR="00CA2D34" w:rsidRPr="006C6258">
              <w:rPr>
                <w:color w:val="191919"/>
                <w:sz w:val="16"/>
                <w:szCs w:val="16"/>
                <w:lang w:eastAsia="en-GB"/>
              </w:rPr>
              <w:t>r accountability to populations</w:t>
            </w:r>
            <w:r w:rsidR="00935EB9" w:rsidRPr="006C6258">
              <w:rPr>
                <w:color w:val="191919"/>
                <w:sz w:val="16"/>
                <w:szCs w:val="16"/>
                <w:lang w:eastAsia="en-GB"/>
              </w:rPr>
              <w:t>, including women and youth</w:t>
            </w:r>
          </w:p>
          <w:p w14:paraId="7797B93D" w14:textId="77777777" w:rsidR="00B51C24" w:rsidRPr="006C6258" w:rsidRDefault="00B51C24" w:rsidP="00D97046">
            <w:pPr>
              <w:rPr>
                <w:color w:val="191919"/>
                <w:sz w:val="16"/>
                <w:szCs w:val="16"/>
                <w:lang w:eastAsia="en-GB"/>
              </w:rPr>
            </w:pPr>
            <w:r w:rsidRPr="006C6258">
              <w:rPr>
                <w:b/>
                <w:color w:val="191919"/>
                <w:sz w:val="16"/>
                <w:szCs w:val="16"/>
                <w:lang w:eastAsia="en-GB"/>
              </w:rPr>
              <w:t>Baseline:</w:t>
            </w:r>
            <w:r w:rsidRPr="006C6258">
              <w:rPr>
                <w:color w:val="191919"/>
                <w:sz w:val="16"/>
                <w:szCs w:val="16"/>
                <w:lang w:eastAsia="en-GB"/>
              </w:rPr>
              <w:t xml:space="preserve"> </w:t>
            </w:r>
            <w:r w:rsidR="0082234B">
              <w:rPr>
                <w:color w:val="191919"/>
                <w:sz w:val="16"/>
                <w:szCs w:val="16"/>
                <w:lang w:eastAsia="en-GB"/>
              </w:rPr>
              <w:t>7</w:t>
            </w:r>
            <w:r w:rsidRPr="006C6258">
              <w:rPr>
                <w:color w:val="191919"/>
                <w:sz w:val="16"/>
                <w:szCs w:val="16"/>
                <w:lang w:eastAsia="en-GB"/>
              </w:rPr>
              <w:t xml:space="preserve"> (2016)</w:t>
            </w:r>
          </w:p>
          <w:p w14:paraId="12AA588B" w14:textId="77777777" w:rsidR="00B51C24" w:rsidRDefault="00B51C24" w:rsidP="00D97046">
            <w:pPr>
              <w:rPr>
                <w:color w:val="191919"/>
                <w:sz w:val="16"/>
                <w:szCs w:val="16"/>
                <w:lang w:eastAsia="en-GB"/>
              </w:rPr>
            </w:pPr>
            <w:r w:rsidRPr="006C6258">
              <w:rPr>
                <w:b/>
                <w:color w:val="191919"/>
                <w:sz w:val="16"/>
                <w:szCs w:val="16"/>
                <w:lang w:eastAsia="en-GB"/>
              </w:rPr>
              <w:t>Target:</w:t>
            </w:r>
            <w:r w:rsidR="00067B13">
              <w:rPr>
                <w:color w:val="191919"/>
                <w:sz w:val="16"/>
                <w:szCs w:val="16"/>
                <w:lang w:eastAsia="en-GB"/>
              </w:rPr>
              <w:t xml:space="preserve"> </w:t>
            </w:r>
            <w:r w:rsidR="0082234B">
              <w:rPr>
                <w:color w:val="191919"/>
                <w:sz w:val="16"/>
                <w:szCs w:val="16"/>
                <w:lang w:eastAsia="en-GB"/>
              </w:rPr>
              <w:t xml:space="preserve">52 </w:t>
            </w:r>
            <w:r w:rsidRPr="006C6258">
              <w:rPr>
                <w:color w:val="191919"/>
                <w:sz w:val="16"/>
                <w:szCs w:val="16"/>
                <w:lang w:eastAsia="en-GB"/>
              </w:rPr>
              <w:t>(2021)</w:t>
            </w:r>
          </w:p>
          <w:p w14:paraId="2C1377E2" w14:textId="77777777" w:rsidR="00AA4789" w:rsidRDefault="00AA4789" w:rsidP="00D97046">
            <w:pPr>
              <w:rPr>
                <w:b/>
                <w:color w:val="191919"/>
                <w:sz w:val="16"/>
                <w:szCs w:val="16"/>
                <w:lang w:eastAsia="en-GB"/>
              </w:rPr>
            </w:pPr>
          </w:p>
          <w:p w14:paraId="01EAD31A" w14:textId="77777777" w:rsidR="00C516E9" w:rsidRPr="006C6258" w:rsidRDefault="00C516E9" w:rsidP="00C516E9">
            <w:pPr>
              <w:rPr>
                <w:color w:val="191919"/>
                <w:sz w:val="16"/>
                <w:szCs w:val="16"/>
                <w:lang w:eastAsia="en-GB"/>
              </w:rPr>
            </w:pPr>
            <w:r>
              <w:rPr>
                <w:b/>
                <w:color w:val="191919"/>
                <w:sz w:val="16"/>
                <w:szCs w:val="16"/>
                <w:lang w:eastAsia="en-GB"/>
              </w:rPr>
              <w:t>Output 1.4</w:t>
            </w:r>
            <w:r w:rsidRPr="006C6258">
              <w:rPr>
                <w:b/>
                <w:color w:val="191919"/>
                <w:sz w:val="16"/>
                <w:szCs w:val="16"/>
                <w:lang w:eastAsia="en-GB"/>
              </w:rPr>
              <w:t>:</w:t>
            </w:r>
            <w:r>
              <w:rPr>
                <w:color w:val="191919"/>
                <w:sz w:val="16"/>
                <w:szCs w:val="16"/>
                <w:lang w:eastAsia="en-GB"/>
              </w:rPr>
              <w:t xml:space="preserve"> Electoral cycle completed as per Constitutional timeline</w:t>
            </w:r>
            <w:r w:rsidRPr="006C6258">
              <w:rPr>
                <w:color w:val="191919"/>
                <w:sz w:val="16"/>
                <w:szCs w:val="16"/>
                <w:lang w:eastAsia="en-GB"/>
              </w:rPr>
              <w:t xml:space="preserve"> </w:t>
            </w:r>
          </w:p>
          <w:p w14:paraId="28B13030" w14:textId="77777777" w:rsidR="00FF0ADC" w:rsidRDefault="00FF0ADC" w:rsidP="00D97046">
            <w:pPr>
              <w:rPr>
                <w:color w:val="191919"/>
                <w:sz w:val="16"/>
                <w:szCs w:val="16"/>
                <w:lang w:eastAsia="en-GB"/>
              </w:rPr>
            </w:pPr>
            <w:r w:rsidRPr="00FF0ADC">
              <w:rPr>
                <w:b/>
                <w:color w:val="191919"/>
                <w:sz w:val="16"/>
                <w:szCs w:val="16"/>
                <w:lang w:eastAsia="en-GB"/>
              </w:rPr>
              <w:t>Indicator 1.</w:t>
            </w:r>
            <w:r w:rsidR="00C516E9">
              <w:rPr>
                <w:b/>
                <w:color w:val="191919"/>
                <w:sz w:val="16"/>
                <w:szCs w:val="16"/>
                <w:lang w:eastAsia="en-GB"/>
              </w:rPr>
              <w:t>4</w:t>
            </w:r>
            <w:r w:rsidRPr="00FF0ADC">
              <w:rPr>
                <w:b/>
                <w:color w:val="191919"/>
                <w:sz w:val="16"/>
                <w:szCs w:val="16"/>
                <w:lang w:eastAsia="en-GB"/>
              </w:rPr>
              <w:t>:</w:t>
            </w:r>
            <w:r>
              <w:rPr>
                <w:b/>
                <w:color w:val="191919"/>
                <w:sz w:val="16"/>
                <w:szCs w:val="16"/>
                <w:lang w:eastAsia="en-GB"/>
              </w:rPr>
              <w:t xml:space="preserve"> </w:t>
            </w:r>
            <w:r w:rsidRPr="00FF0ADC">
              <w:rPr>
                <w:color w:val="191919"/>
                <w:sz w:val="16"/>
                <w:szCs w:val="16"/>
                <w:lang w:eastAsia="en-GB"/>
              </w:rPr>
              <w:t>Percentage of registered voters participating in legislative, Presidential and municipal elections</w:t>
            </w:r>
            <w:r>
              <w:rPr>
                <w:color w:val="191919"/>
                <w:sz w:val="16"/>
                <w:szCs w:val="16"/>
                <w:lang w:eastAsia="en-GB"/>
              </w:rPr>
              <w:t xml:space="preserve"> judged to be free, fair and transparent</w:t>
            </w:r>
          </w:p>
          <w:p w14:paraId="30926D91" w14:textId="77777777" w:rsidR="00FF0ADC" w:rsidRDefault="00FF0ADC" w:rsidP="00D97046">
            <w:pPr>
              <w:rPr>
                <w:color w:val="191919"/>
                <w:sz w:val="16"/>
                <w:szCs w:val="16"/>
                <w:lang w:eastAsia="en-GB"/>
              </w:rPr>
            </w:pPr>
            <w:r w:rsidRPr="00FF0ADC">
              <w:rPr>
                <w:b/>
                <w:color w:val="191919"/>
                <w:sz w:val="16"/>
                <w:szCs w:val="16"/>
                <w:lang w:eastAsia="en-GB"/>
              </w:rPr>
              <w:lastRenderedPageBreak/>
              <w:t>Baseline:</w:t>
            </w:r>
            <w:r w:rsidR="00E24319">
              <w:rPr>
                <w:color w:val="191919"/>
                <w:sz w:val="16"/>
                <w:szCs w:val="16"/>
                <w:lang w:eastAsia="en-GB"/>
              </w:rPr>
              <w:t xml:space="preserve"> 62 percent</w:t>
            </w:r>
            <w:r>
              <w:rPr>
                <w:color w:val="191919"/>
                <w:sz w:val="16"/>
                <w:szCs w:val="16"/>
                <w:lang w:eastAsia="en-GB"/>
              </w:rPr>
              <w:t xml:space="preserve"> first round of Presidential elections disaggregated by gender (2016)</w:t>
            </w:r>
            <w:r w:rsidRPr="00FF0ADC">
              <w:rPr>
                <w:color w:val="191919"/>
                <w:sz w:val="16"/>
                <w:szCs w:val="16"/>
                <w:lang w:eastAsia="en-GB"/>
              </w:rPr>
              <w:t xml:space="preserve"> </w:t>
            </w:r>
          </w:p>
          <w:p w14:paraId="7C823322" w14:textId="5C7D5C79" w:rsidR="00B51C24" w:rsidRDefault="00FF0ADC" w:rsidP="00D97046">
            <w:pPr>
              <w:rPr>
                <w:b/>
                <w:color w:val="191919"/>
                <w:sz w:val="16"/>
                <w:szCs w:val="16"/>
                <w:lang w:eastAsia="en-GB"/>
              </w:rPr>
            </w:pPr>
            <w:r w:rsidRPr="00FF0ADC">
              <w:rPr>
                <w:b/>
                <w:color w:val="191919"/>
                <w:sz w:val="16"/>
                <w:szCs w:val="16"/>
                <w:lang w:eastAsia="en-GB"/>
              </w:rPr>
              <w:t>Target:</w:t>
            </w:r>
            <w:r>
              <w:rPr>
                <w:b/>
                <w:color w:val="191919"/>
                <w:sz w:val="16"/>
                <w:szCs w:val="16"/>
                <w:lang w:eastAsia="en-GB"/>
              </w:rPr>
              <w:t xml:space="preserve"> </w:t>
            </w:r>
            <w:r w:rsidR="00E24319">
              <w:rPr>
                <w:color w:val="191919"/>
                <w:sz w:val="16"/>
                <w:szCs w:val="16"/>
                <w:lang w:eastAsia="en-GB"/>
              </w:rPr>
              <w:t xml:space="preserve">75 </w:t>
            </w:r>
            <w:r w:rsidR="00AE2B27">
              <w:rPr>
                <w:color w:val="191919"/>
                <w:sz w:val="16"/>
                <w:szCs w:val="16"/>
                <w:lang w:eastAsia="en-GB"/>
              </w:rPr>
              <w:t xml:space="preserve">% </w:t>
            </w:r>
            <w:r>
              <w:rPr>
                <w:color w:val="191919"/>
                <w:sz w:val="16"/>
                <w:szCs w:val="16"/>
                <w:lang w:eastAsia="en-GB"/>
              </w:rPr>
              <w:t>first round of Presidential elections disaggregated by gender (2021)</w:t>
            </w:r>
          </w:p>
          <w:p w14:paraId="29F088ED" w14:textId="77777777" w:rsidR="00AA7D2B" w:rsidRPr="00AA7D2B" w:rsidRDefault="00AA7D2B" w:rsidP="00D97046">
            <w:pPr>
              <w:rPr>
                <w:b/>
                <w:color w:val="191919"/>
                <w:sz w:val="16"/>
                <w:szCs w:val="16"/>
                <w:lang w:eastAsia="en-GB"/>
              </w:rPr>
            </w:pPr>
          </w:p>
          <w:p w14:paraId="0BC1C365" w14:textId="77777777" w:rsidR="00B51C24" w:rsidRPr="00DF6D76" w:rsidRDefault="00067F18" w:rsidP="00D97046">
            <w:pPr>
              <w:rPr>
                <w:color w:val="191919"/>
                <w:sz w:val="16"/>
                <w:szCs w:val="16"/>
                <w:lang w:eastAsia="en-GB"/>
              </w:rPr>
            </w:pPr>
            <w:r w:rsidRPr="00DF6D76">
              <w:rPr>
                <w:b/>
                <w:color w:val="191919"/>
                <w:sz w:val="16"/>
                <w:szCs w:val="16"/>
                <w:lang w:eastAsia="en-GB"/>
              </w:rPr>
              <w:t>Output 1.</w:t>
            </w:r>
            <w:r w:rsidR="00C516E9">
              <w:rPr>
                <w:b/>
                <w:color w:val="191919"/>
                <w:sz w:val="16"/>
                <w:szCs w:val="16"/>
                <w:lang w:eastAsia="en-GB"/>
              </w:rPr>
              <w:t>5</w:t>
            </w:r>
            <w:r w:rsidR="00B51C24" w:rsidRPr="00DF6D76">
              <w:rPr>
                <w:b/>
                <w:color w:val="191919"/>
                <w:sz w:val="16"/>
                <w:szCs w:val="16"/>
                <w:lang w:eastAsia="en-GB"/>
              </w:rPr>
              <w:t>:</w:t>
            </w:r>
            <w:r w:rsidRPr="00DF6D76">
              <w:rPr>
                <w:color w:val="191919"/>
                <w:sz w:val="16"/>
                <w:szCs w:val="16"/>
                <w:lang w:eastAsia="en-GB"/>
              </w:rPr>
              <w:t xml:space="preserve"> P</w:t>
            </w:r>
            <w:r w:rsidR="003E097E" w:rsidRPr="00DF6D76">
              <w:rPr>
                <w:color w:val="191919"/>
                <w:sz w:val="16"/>
                <w:szCs w:val="16"/>
                <w:lang w:eastAsia="en-GB"/>
              </w:rPr>
              <w:t>ublic administration</w:t>
            </w:r>
            <w:r w:rsidR="00B51C24" w:rsidRPr="00DF6D76">
              <w:rPr>
                <w:color w:val="191919"/>
                <w:sz w:val="16"/>
                <w:szCs w:val="16"/>
                <w:lang w:eastAsia="en-GB"/>
              </w:rPr>
              <w:t xml:space="preserve"> h</w:t>
            </w:r>
            <w:r w:rsidR="003E097E" w:rsidRPr="00DF6D76">
              <w:rPr>
                <w:color w:val="191919"/>
                <w:sz w:val="16"/>
                <w:szCs w:val="16"/>
                <w:lang w:eastAsia="en-GB"/>
              </w:rPr>
              <w:t>as an</w:t>
            </w:r>
            <w:r w:rsidR="004348D5" w:rsidRPr="00DF6D76">
              <w:rPr>
                <w:color w:val="191919"/>
                <w:sz w:val="16"/>
                <w:szCs w:val="16"/>
                <w:lang w:eastAsia="en-GB"/>
              </w:rPr>
              <w:t xml:space="preserve"> anti-corruption </w:t>
            </w:r>
            <w:r w:rsidR="003E097E" w:rsidRPr="00DF6D76">
              <w:rPr>
                <w:color w:val="191919"/>
                <w:sz w:val="16"/>
                <w:szCs w:val="16"/>
                <w:lang w:eastAsia="en-GB"/>
              </w:rPr>
              <w:t>policy elaborated and enforced</w:t>
            </w:r>
          </w:p>
          <w:p w14:paraId="23719E42" w14:textId="77777777" w:rsidR="00B51C24" w:rsidRPr="00DF6D76" w:rsidRDefault="00067F18" w:rsidP="00D97046">
            <w:pPr>
              <w:rPr>
                <w:color w:val="191919"/>
                <w:sz w:val="16"/>
                <w:szCs w:val="16"/>
                <w:lang w:eastAsia="en-GB"/>
              </w:rPr>
            </w:pPr>
            <w:r w:rsidRPr="00DF6D76">
              <w:rPr>
                <w:b/>
                <w:color w:val="191919"/>
                <w:sz w:val="16"/>
                <w:szCs w:val="16"/>
                <w:lang w:eastAsia="en-GB"/>
              </w:rPr>
              <w:t>Indicator 1.</w:t>
            </w:r>
            <w:r w:rsidR="00C516E9">
              <w:rPr>
                <w:b/>
                <w:color w:val="191919"/>
                <w:sz w:val="16"/>
                <w:szCs w:val="16"/>
                <w:lang w:eastAsia="en-GB"/>
              </w:rPr>
              <w:t>5</w:t>
            </w:r>
            <w:r w:rsidR="00B51C24" w:rsidRPr="00DF6D76">
              <w:rPr>
                <w:b/>
                <w:color w:val="191919"/>
                <w:sz w:val="16"/>
                <w:szCs w:val="16"/>
                <w:lang w:eastAsia="en-GB"/>
              </w:rPr>
              <w:t>:</w:t>
            </w:r>
            <w:r w:rsidR="00B51C24" w:rsidRPr="00DF6D76">
              <w:rPr>
                <w:color w:val="191919"/>
                <w:sz w:val="16"/>
                <w:szCs w:val="16"/>
                <w:lang w:eastAsia="en-GB"/>
              </w:rPr>
              <w:t xml:space="preserve"> </w:t>
            </w:r>
            <w:r w:rsidR="00DF6D76" w:rsidRPr="00DF6D76">
              <w:rPr>
                <w:color w:val="191919"/>
                <w:sz w:val="16"/>
                <w:szCs w:val="16"/>
                <w:lang w:eastAsia="en-GB"/>
              </w:rPr>
              <w:t xml:space="preserve"> Number of investigations into corruption </w:t>
            </w:r>
            <w:r w:rsidR="00E24319" w:rsidRPr="00DF6D76">
              <w:rPr>
                <w:color w:val="191919"/>
                <w:sz w:val="16"/>
                <w:szCs w:val="16"/>
                <w:lang w:eastAsia="en-GB"/>
              </w:rPr>
              <w:t>all</w:t>
            </w:r>
            <w:r w:rsidR="00E24319">
              <w:rPr>
                <w:color w:val="191919"/>
                <w:sz w:val="16"/>
                <w:szCs w:val="16"/>
                <w:lang w:eastAsia="en-GB"/>
              </w:rPr>
              <w:t>e</w:t>
            </w:r>
            <w:r w:rsidR="00E24319" w:rsidRPr="00DF6D76">
              <w:rPr>
                <w:color w:val="191919"/>
                <w:sz w:val="16"/>
                <w:szCs w:val="16"/>
                <w:lang w:eastAsia="en-GB"/>
              </w:rPr>
              <w:t xml:space="preserve">gations </w:t>
            </w:r>
            <w:r w:rsidR="00DF6D76" w:rsidRPr="00DF6D76">
              <w:rPr>
                <w:color w:val="191919"/>
                <w:sz w:val="16"/>
                <w:szCs w:val="16"/>
                <w:lang w:eastAsia="en-GB"/>
              </w:rPr>
              <w:t xml:space="preserve">in the public sector undertaken by the High Authority on Good Governance </w:t>
            </w:r>
          </w:p>
          <w:p w14:paraId="58D11607" w14:textId="77777777" w:rsidR="00A5135C" w:rsidRPr="00DF6D76" w:rsidRDefault="00B51C24" w:rsidP="00D97046">
            <w:pPr>
              <w:rPr>
                <w:color w:val="191919"/>
                <w:sz w:val="16"/>
                <w:szCs w:val="16"/>
                <w:lang w:eastAsia="en-GB"/>
              </w:rPr>
            </w:pPr>
            <w:r w:rsidRPr="00DF6D76">
              <w:rPr>
                <w:b/>
                <w:color w:val="191919"/>
                <w:sz w:val="16"/>
                <w:szCs w:val="16"/>
                <w:lang w:eastAsia="en-GB"/>
              </w:rPr>
              <w:t>Baseline:</w:t>
            </w:r>
            <w:r w:rsidR="00DF6D76" w:rsidRPr="00DF6D76">
              <w:rPr>
                <w:b/>
                <w:color w:val="191919"/>
                <w:sz w:val="16"/>
                <w:szCs w:val="16"/>
                <w:lang w:eastAsia="en-GB"/>
              </w:rPr>
              <w:t xml:space="preserve"> </w:t>
            </w:r>
            <w:r w:rsidR="00DF6D76" w:rsidRPr="00DF6D76">
              <w:rPr>
                <w:color w:val="191919"/>
                <w:sz w:val="16"/>
                <w:szCs w:val="16"/>
                <w:lang w:eastAsia="en-GB"/>
              </w:rPr>
              <w:t>0 (2017)</w:t>
            </w:r>
            <w:r w:rsidRPr="00DF6D76">
              <w:rPr>
                <w:color w:val="191919"/>
                <w:sz w:val="16"/>
                <w:szCs w:val="16"/>
                <w:lang w:eastAsia="en-GB"/>
              </w:rPr>
              <w:t xml:space="preserve"> </w:t>
            </w:r>
          </w:p>
          <w:p w14:paraId="6846F264" w14:textId="77777777" w:rsidR="00E24319" w:rsidRDefault="00B51C24" w:rsidP="00067F18">
            <w:pPr>
              <w:rPr>
                <w:color w:val="191919"/>
                <w:sz w:val="16"/>
                <w:szCs w:val="16"/>
                <w:lang w:eastAsia="en-GB"/>
              </w:rPr>
            </w:pPr>
            <w:r w:rsidRPr="00DF6D76">
              <w:rPr>
                <w:b/>
                <w:color w:val="191919"/>
                <w:sz w:val="16"/>
                <w:szCs w:val="16"/>
                <w:lang w:eastAsia="en-GB"/>
              </w:rPr>
              <w:t>Target:</w:t>
            </w:r>
            <w:r w:rsidR="00DF6D76" w:rsidRPr="00DF6D76">
              <w:rPr>
                <w:color w:val="191919"/>
                <w:sz w:val="16"/>
                <w:szCs w:val="16"/>
                <w:lang w:eastAsia="en-GB"/>
              </w:rPr>
              <w:t xml:space="preserve"> </w:t>
            </w:r>
            <w:r w:rsidR="00DF6D76">
              <w:rPr>
                <w:color w:val="191919"/>
                <w:sz w:val="16"/>
                <w:szCs w:val="16"/>
                <w:lang w:eastAsia="en-GB"/>
              </w:rPr>
              <w:t xml:space="preserve">  </w:t>
            </w:r>
            <w:r w:rsidR="0082234B">
              <w:rPr>
                <w:color w:val="191919"/>
                <w:sz w:val="16"/>
                <w:szCs w:val="16"/>
                <w:lang w:eastAsia="en-GB"/>
              </w:rPr>
              <w:t xml:space="preserve">15 </w:t>
            </w:r>
            <w:r w:rsidR="00DF6D76" w:rsidRPr="00DF6D76">
              <w:rPr>
                <w:color w:val="191919"/>
                <w:sz w:val="16"/>
                <w:szCs w:val="16"/>
                <w:lang w:eastAsia="en-GB"/>
              </w:rPr>
              <w:t>(2021)</w:t>
            </w:r>
          </w:p>
          <w:p w14:paraId="04CDDD18" w14:textId="77777777" w:rsidR="000661AB" w:rsidRDefault="000661AB" w:rsidP="00067F18">
            <w:pPr>
              <w:rPr>
                <w:color w:val="191919"/>
                <w:sz w:val="16"/>
                <w:szCs w:val="16"/>
                <w:lang w:eastAsia="en-GB"/>
              </w:rPr>
            </w:pPr>
          </w:p>
          <w:p w14:paraId="68A7915F" w14:textId="77777777" w:rsidR="00067F18" w:rsidRPr="006C6258" w:rsidRDefault="00067F18" w:rsidP="00067F18">
            <w:pPr>
              <w:rPr>
                <w:color w:val="191919"/>
                <w:sz w:val="16"/>
                <w:szCs w:val="16"/>
                <w:lang w:eastAsia="en-GB"/>
              </w:rPr>
            </w:pPr>
            <w:r w:rsidRPr="006C6258">
              <w:rPr>
                <w:b/>
                <w:color w:val="191919"/>
                <w:sz w:val="16"/>
                <w:szCs w:val="16"/>
                <w:lang w:eastAsia="en-GB"/>
              </w:rPr>
              <w:t>Output 1.</w:t>
            </w:r>
            <w:r w:rsidR="00C516E9">
              <w:rPr>
                <w:b/>
                <w:color w:val="191919"/>
                <w:sz w:val="16"/>
                <w:szCs w:val="16"/>
                <w:lang w:eastAsia="en-GB"/>
              </w:rPr>
              <w:t>6</w:t>
            </w:r>
            <w:r w:rsidRPr="006C6258">
              <w:rPr>
                <w:b/>
                <w:color w:val="191919"/>
                <w:sz w:val="16"/>
                <w:szCs w:val="16"/>
                <w:lang w:eastAsia="en-GB"/>
              </w:rPr>
              <w:t>:</w:t>
            </w:r>
            <w:r w:rsidR="00A5135C">
              <w:rPr>
                <w:color w:val="191919"/>
                <w:sz w:val="16"/>
                <w:szCs w:val="16"/>
                <w:lang w:eastAsia="en-GB"/>
              </w:rPr>
              <w:t xml:space="preserve">  The c</w:t>
            </w:r>
            <w:r w:rsidRPr="006C6258">
              <w:rPr>
                <w:color w:val="191919"/>
                <w:sz w:val="16"/>
                <w:szCs w:val="16"/>
                <w:lang w:eastAsia="en-GB"/>
              </w:rPr>
              <w:t xml:space="preserve">apacity </w:t>
            </w:r>
            <w:r w:rsidR="00A5135C">
              <w:rPr>
                <w:color w:val="191919"/>
                <w:sz w:val="16"/>
                <w:szCs w:val="16"/>
                <w:lang w:eastAsia="en-GB"/>
              </w:rPr>
              <w:t xml:space="preserve">of the Ministry of Planning and the Permanent Secretariat </w:t>
            </w:r>
            <w:r w:rsidRPr="006C6258">
              <w:rPr>
                <w:color w:val="191919"/>
                <w:sz w:val="16"/>
                <w:szCs w:val="16"/>
                <w:lang w:eastAsia="en-GB"/>
              </w:rPr>
              <w:t>in development aid coordination and management is strengthened</w:t>
            </w:r>
          </w:p>
          <w:p w14:paraId="7F80D76E" w14:textId="77777777" w:rsidR="00067F18" w:rsidRPr="006C6258" w:rsidRDefault="00067F18" w:rsidP="00067F18">
            <w:pPr>
              <w:rPr>
                <w:color w:val="191919"/>
                <w:sz w:val="16"/>
                <w:szCs w:val="16"/>
                <w:lang w:eastAsia="en-GB"/>
              </w:rPr>
            </w:pPr>
            <w:r w:rsidRPr="006C6258">
              <w:rPr>
                <w:b/>
                <w:color w:val="191919"/>
                <w:sz w:val="16"/>
                <w:szCs w:val="16"/>
                <w:lang w:eastAsia="en-GB"/>
              </w:rPr>
              <w:t>Indicator 1.</w:t>
            </w:r>
            <w:r w:rsidR="00C516E9">
              <w:rPr>
                <w:b/>
                <w:color w:val="191919"/>
                <w:sz w:val="16"/>
                <w:szCs w:val="16"/>
                <w:lang w:eastAsia="en-GB"/>
              </w:rPr>
              <w:t>6</w:t>
            </w:r>
            <w:r w:rsidRPr="006C6258">
              <w:rPr>
                <w:b/>
                <w:color w:val="191919"/>
                <w:sz w:val="16"/>
                <w:szCs w:val="16"/>
                <w:lang w:eastAsia="en-GB"/>
              </w:rPr>
              <w:t>:</w:t>
            </w:r>
            <w:r w:rsidRPr="006C6258">
              <w:rPr>
                <w:color w:val="191919"/>
                <w:sz w:val="16"/>
                <w:szCs w:val="16"/>
                <w:lang w:eastAsia="en-GB"/>
              </w:rPr>
              <w:t xml:space="preserve"> </w:t>
            </w:r>
            <w:r w:rsidR="00FC7305">
              <w:rPr>
                <w:color w:val="191919"/>
                <w:sz w:val="16"/>
                <w:szCs w:val="16"/>
                <w:lang w:eastAsia="en-GB"/>
              </w:rPr>
              <w:t>Rate of delivery on the financial pledges made towards the national recovery and peacebuilding plan (RCPCA)</w:t>
            </w:r>
          </w:p>
          <w:p w14:paraId="0CD582B6" w14:textId="77777777" w:rsidR="00DF6D76" w:rsidRDefault="00067F18" w:rsidP="00D97046">
            <w:pPr>
              <w:rPr>
                <w:color w:val="191919"/>
                <w:sz w:val="16"/>
                <w:szCs w:val="16"/>
                <w:lang w:eastAsia="en-GB"/>
              </w:rPr>
            </w:pPr>
            <w:r w:rsidRPr="006C6258">
              <w:rPr>
                <w:b/>
                <w:color w:val="191919"/>
                <w:sz w:val="16"/>
                <w:szCs w:val="16"/>
                <w:lang w:eastAsia="en-GB"/>
              </w:rPr>
              <w:t>Baseline:</w:t>
            </w:r>
            <w:r w:rsidRPr="006C6258">
              <w:rPr>
                <w:color w:val="191919"/>
                <w:sz w:val="16"/>
                <w:szCs w:val="16"/>
                <w:lang w:eastAsia="en-GB"/>
              </w:rPr>
              <w:t xml:space="preserve"> 0 (2017)</w:t>
            </w:r>
            <w:r w:rsidR="00DF6D76">
              <w:rPr>
                <w:color w:val="191919"/>
                <w:sz w:val="16"/>
                <w:szCs w:val="16"/>
                <w:lang w:eastAsia="en-GB"/>
              </w:rPr>
              <w:t xml:space="preserve"> </w:t>
            </w:r>
          </w:p>
          <w:p w14:paraId="76043B62" w14:textId="77777777" w:rsidR="00F7610B" w:rsidRPr="006C6258" w:rsidRDefault="00067F18" w:rsidP="00D97046">
            <w:pPr>
              <w:rPr>
                <w:color w:val="191919"/>
                <w:sz w:val="16"/>
                <w:szCs w:val="16"/>
                <w:lang w:eastAsia="en-GB"/>
              </w:rPr>
            </w:pPr>
            <w:r w:rsidRPr="006C6258">
              <w:rPr>
                <w:b/>
                <w:color w:val="191919"/>
                <w:sz w:val="16"/>
                <w:szCs w:val="16"/>
                <w:lang w:eastAsia="en-GB"/>
              </w:rPr>
              <w:t>Target:</w:t>
            </w:r>
            <w:r w:rsidRPr="006C6258">
              <w:rPr>
                <w:color w:val="191919"/>
                <w:sz w:val="16"/>
                <w:szCs w:val="16"/>
                <w:lang w:eastAsia="en-GB"/>
              </w:rPr>
              <w:t xml:space="preserve"> </w:t>
            </w:r>
            <w:r w:rsidR="00FC7305">
              <w:rPr>
                <w:color w:val="191919"/>
                <w:sz w:val="16"/>
                <w:szCs w:val="16"/>
                <w:lang w:eastAsia="en-GB"/>
              </w:rPr>
              <w:t>95</w:t>
            </w:r>
            <w:r w:rsidRPr="006C6258">
              <w:rPr>
                <w:color w:val="191919"/>
                <w:sz w:val="16"/>
                <w:szCs w:val="16"/>
                <w:lang w:eastAsia="en-GB"/>
              </w:rPr>
              <w:t>% (2021)</w:t>
            </w:r>
          </w:p>
        </w:tc>
        <w:tc>
          <w:tcPr>
            <w:tcW w:w="796" w:type="pct"/>
            <w:gridSpan w:val="2"/>
            <w:vMerge w:val="restart"/>
          </w:tcPr>
          <w:p w14:paraId="1B671271" w14:textId="5DBFF203" w:rsidR="00B51C24" w:rsidRPr="006C6258" w:rsidRDefault="006C786D" w:rsidP="00D97046">
            <w:pPr>
              <w:widowControl w:val="0"/>
              <w:autoSpaceDE w:val="0"/>
              <w:autoSpaceDN w:val="0"/>
              <w:adjustRightInd w:val="0"/>
              <w:rPr>
                <w:color w:val="191919"/>
                <w:sz w:val="16"/>
                <w:szCs w:val="16"/>
                <w:lang w:eastAsia="en-GB"/>
              </w:rPr>
            </w:pPr>
            <w:r w:rsidRPr="006C6258">
              <w:rPr>
                <w:color w:val="191919"/>
                <w:sz w:val="16"/>
                <w:szCs w:val="16"/>
                <w:lang w:eastAsia="en-GB"/>
              </w:rPr>
              <w:lastRenderedPageBreak/>
              <w:t xml:space="preserve">Ministry of Planning, Ministry of Justice, Ministry of </w:t>
            </w:r>
            <w:r>
              <w:rPr>
                <w:color w:val="191919"/>
                <w:sz w:val="16"/>
                <w:szCs w:val="16"/>
                <w:lang w:eastAsia="en-GB"/>
              </w:rPr>
              <w:t>Interior, municipal councils, town halls,</w:t>
            </w:r>
            <w:r w:rsidRPr="006C6258">
              <w:rPr>
                <w:color w:val="191919"/>
                <w:sz w:val="16"/>
                <w:szCs w:val="16"/>
                <w:lang w:eastAsia="en-GB"/>
              </w:rPr>
              <w:t xml:space="preserve"> Ministry of Social Affairs and Reconciliation, </w:t>
            </w:r>
            <w:r>
              <w:rPr>
                <w:color w:val="191919"/>
                <w:sz w:val="16"/>
                <w:szCs w:val="16"/>
                <w:lang w:eastAsia="en-GB"/>
              </w:rPr>
              <w:t xml:space="preserve">National Human Rights Commission, </w:t>
            </w:r>
            <w:r w:rsidRPr="006C6258">
              <w:rPr>
                <w:color w:val="191919"/>
                <w:sz w:val="16"/>
                <w:szCs w:val="16"/>
                <w:lang w:eastAsia="en-GB"/>
              </w:rPr>
              <w:t xml:space="preserve">Special Criminal Court, </w:t>
            </w:r>
          </w:p>
          <w:p w14:paraId="5C3B4BFF" w14:textId="143AE97F" w:rsidR="00724CC1" w:rsidRDefault="00980C4E" w:rsidP="00D97046">
            <w:pPr>
              <w:widowControl w:val="0"/>
              <w:autoSpaceDE w:val="0"/>
              <w:autoSpaceDN w:val="0"/>
              <w:adjustRightInd w:val="0"/>
              <w:rPr>
                <w:color w:val="191919"/>
                <w:sz w:val="16"/>
                <w:szCs w:val="16"/>
                <w:lang w:eastAsia="en-GB"/>
              </w:rPr>
            </w:pPr>
            <w:r w:rsidRPr="006C6258">
              <w:rPr>
                <w:color w:val="191919"/>
                <w:sz w:val="16"/>
                <w:szCs w:val="16"/>
                <w:lang w:eastAsia="en-GB"/>
              </w:rPr>
              <w:t xml:space="preserve">Gendarmerie, Police, Civil Society and Media, High Authority on Good Governance, </w:t>
            </w:r>
            <w:r>
              <w:rPr>
                <w:color w:val="191919"/>
                <w:sz w:val="16"/>
                <w:szCs w:val="16"/>
                <w:lang w:eastAsia="en-GB"/>
              </w:rPr>
              <w:t xml:space="preserve">National Committee on the Fight against Corruption, </w:t>
            </w:r>
            <w:r w:rsidRPr="006C6258">
              <w:rPr>
                <w:color w:val="191919"/>
                <w:sz w:val="16"/>
                <w:szCs w:val="16"/>
                <w:lang w:eastAsia="en-GB"/>
              </w:rPr>
              <w:t xml:space="preserve">High Authority for Communication, local authorities, </w:t>
            </w:r>
            <w:r>
              <w:rPr>
                <w:color w:val="191919"/>
                <w:sz w:val="16"/>
                <w:szCs w:val="16"/>
                <w:lang w:eastAsia="en-GB"/>
              </w:rPr>
              <w:t xml:space="preserve">National Electoral Authority, </w:t>
            </w:r>
            <w:r w:rsidRPr="006C6258">
              <w:rPr>
                <w:color w:val="191919"/>
                <w:sz w:val="16"/>
                <w:szCs w:val="16"/>
                <w:lang w:eastAsia="en-GB"/>
              </w:rPr>
              <w:t>specialized private firms,</w:t>
            </w:r>
            <w:r>
              <w:rPr>
                <w:color w:val="191919"/>
                <w:sz w:val="16"/>
                <w:szCs w:val="16"/>
                <w:lang w:eastAsia="en-GB"/>
              </w:rPr>
              <w:t xml:space="preserve"> </w:t>
            </w:r>
            <w:r w:rsidRPr="006C6258">
              <w:rPr>
                <w:color w:val="191919"/>
                <w:sz w:val="16"/>
                <w:szCs w:val="16"/>
                <w:lang w:eastAsia="en-GB"/>
              </w:rPr>
              <w:t>Peacebuilding Fund (PBF)</w:t>
            </w:r>
            <w:r>
              <w:rPr>
                <w:color w:val="191919"/>
                <w:sz w:val="16"/>
                <w:szCs w:val="16"/>
                <w:lang w:eastAsia="en-GB"/>
              </w:rPr>
              <w:t xml:space="preserve">, </w:t>
            </w:r>
            <w:r w:rsidRPr="006C6258">
              <w:rPr>
                <w:color w:val="191919"/>
                <w:sz w:val="16"/>
                <w:szCs w:val="16"/>
                <w:lang w:eastAsia="en-GB"/>
              </w:rPr>
              <w:t>Office for Policy and Program Support (BPPS)</w:t>
            </w:r>
            <w:r>
              <w:rPr>
                <w:color w:val="191919"/>
                <w:sz w:val="16"/>
                <w:szCs w:val="16"/>
                <w:lang w:eastAsia="en-GB"/>
              </w:rPr>
              <w:t xml:space="preserve"> UN Women, Bureau of International Narcotics and Law Enforcement Affairs (United States of America), </w:t>
            </w:r>
          </w:p>
          <w:p w14:paraId="3768E7F3" w14:textId="1B6D33F8" w:rsidR="00B51C24" w:rsidRPr="006C6258" w:rsidRDefault="00B51C24" w:rsidP="006C786D">
            <w:pPr>
              <w:widowControl w:val="0"/>
              <w:autoSpaceDE w:val="0"/>
              <w:autoSpaceDN w:val="0"/>
              <w:adjustRightInd w:val="0"/>
              <w:rPr>
                <w:b/>
                <w:iCs/>
                <w:color w:val="000000"/>
                <w:sz w:val="16"/>
                <w:szCs w:val="16"/>
                <w:lang w:val="en-GB"/>
              </w:rPr>
            </w:pPr>
            <w:r w:rsidRPr="006C6258">
              <w:rPr>
                <w:color w:val="191919"/>
                <w:sz w:val="16"/>
                <w:szCs w:val="16"/>
                <w:lang w:eastAsia="en-GB"/>
              </w:rPr>
              <w:t>Netherlands</w:t>
            </w:r>
            <w:r w:rsidR="00724CC1">
              <w:rPr>
                <w:color w:val="191919"/>
                <w:sz w:val="16"/>
                <w:szCs w:val="16"/>
                <w:lang w:eastAsia="en-GB"/>
              </w:rPr>
              <w:t xml:space="preserve">, </w:t>
            </w:r>
            <w:r w:rsidRPr="006C6258">
              <w:rPr>
                <w:color w:val="191919"/>
                <w:sz w:val="16"/>
                <w:szCs w:val="16"/>
                <w:lang w:eastAsia="en-GB"/>
              </w:rPr>
              <w:t>United States</w:t>
            </w:r>
            <w:r w:rsidR="007F1EF7">
              <w:rPr>
                <w:color w:val="191919"/>
                <w:sz w:val="16"/>
                <w:szCs w:val="16"/>
                <w:lang w:eastAsia="en-GB"/>
              </w:rPr>
              <w:t xml:space="preserve"> of America, </w:t>
            </w:r>
            <w:r w:rsidRPr="006C6258">
              <w:rPr>
                <w:color w:val="191919"/>
                <w:sz w:val="16"/>
                <w:szCs w:val="16"/>
                <w:lang w:eastAsia="en-GB"/>
              </w:rPr>
              <w:t>Denmark</w:t>
            </w:r>
            <w:r w:rsidR="00D97046" w:rsidRPr="006C6258">
              <w:rPr>
                <w:color w:val="191919"/>
                <w:sz w:val="16"/>
                <w:szCs w:val="16"/>
                <w:lang w:eastAsia="en-GB"/>
              </w:rPr>
              <w:t xml:space="preserve">, </w:t>
            </w:r>
            <w:r w:rsidRPr="006C6258">
              <w:rPr>
                <w:color w:val="191919"/>
                <w:sz w:val="16"/>
                <w:szCs w:val="16"/>
                <w:lang w:eastAsia="en-GB"/>
              </w:rPr>
              <w:t>France</w:t>
            </w:r>
            <w:r w:rsidR="00A3436E">
              <w:rPr>
                <w:color w:val="191919"/>
                <w:sz w:val="16"/>
                <w:szCs w:val="16"/>
                <w:lang w:eastAsia="en-GB"/>
              </w:rPr>
              <w:t xml:space="preserve">, </w:t>
            </w:r>
            <w:r w:rsidR="006C786D">
              <w:rPr>
                <w:color w:val="191919"/>
                <w:sz w:val="16"/>
                <w:szCs w:val="16"/>
                <w:lang w:eastAsia="en-GB"/>
              </w:rPr>
              <w:t>European Union</w:t>
            </w:r>
            <w:r w:rsidR="00A3436E">
              <w:rPr>
                <w:color w:val="191919"/>
                <w:sz w:val="16"/>
                <w:szCs w:val="16"/>
                <w:lang w:eastAsia="en-GB"/>
              </w:rPr>
              <w:t xml:space="preserve">, </w:t>
            </w:r>
            <w:r w:rsidR="006C786D">
              <w:rPr>
                <w:color w:val="191919"/>
                <w:sz w:val="16"/>
                <w:szCs w:val="16"/>
                <w:lang w:eastAsia="en-GB"/>
              </w:rPr>
              <w:t>World Bank</w:t>
            </w:r>
            <w:r w:rsidR="00A3436E">
              <w:rPr>
                <w:color w:val="191919"/>
                <w:sz w:val="16"/>
                <w:szCs w:val="16"/>
                <w:lang w:eastAsia="en-GB"/>
              </w:rPr>
              <w:t xml:space="preserve">, </w:t>
            </w:r>
            <w:r w:rsidR="006C786D">
              <w:rPr>
                <w:color w:val="191919"/>
                <w:sz w:val="16"/>
                <w:szCs w:val="16"/>
                <w:lang w:eastAsia="en-GB"/>
              </w:rPr>
              <w:t>African Union</w:t>
            </w:r>
            <w:r w:rsidR="00A3436E">
              <w:rPr>
                <w:color w:val="191919"/>
                <w:sz w:val="16"/>
                <w:szCs w:val="16"/>
                <w:lang w:eastAsia="en-GB"/>
              </w:rPr>
              <w:t>, MINUSCA</w:t>
            </w:r>
            <w:r w:rsidR="006C786D">
              <w:rPr>
                <w:color w:val="191919"/>
                <w:sz w:val="16"/>
                <w:szCs w:val="16"/>
                <w:lang w:eastAsia="en-GB"/>
              </w:rPr>
              <w:t>.</w:t>
            </w:r>
            <w:r w:rsidR="00A3436E">
              <w:rPr>
                <w:color w:val="191919"/>
                <w:sz w:val="16"/>
                <w:szCs w:val="16"/>
                <w:lang w:eastAsia="en-GB"/>
              </w:rPr>
              <w:t xml:space="preserve"> </w:t>
            </w:r>
          </w:p>
        </w:tc>
        <w:tc>
          <w:tcPr>
            <w:tcW w:w="601" w:type="pct"/>
            <w:gridSpan w:val="3"/>
            <w:tcMar>
              <w:top w:w="15" w:type="dxa"/>
              <w:left w:w="108" w:type="dxa"/>
              <w:bottom w:w="0" w:type="dxa"/>
              <w:right w:w="108" w:type="dxa"/>
            </w:tcMar>
          </w:tcPr>
          <w:p w14:paraId="4E972766" w14:textId="5245CD16" w:rsidR="00B51C24" w:rsidRPr="006C6258" w:rsidRDefault="00B51C24" w:rsidP="00B2751F">
            <w:pPr>
              <w:rPr>
                <w:b/>
                <w:color w:val="000000"/>
                <w:sz w:val="16"/>
                <w:szCs w:val="16"/>
              </w:rPr>
            </w:pPr>
            <w:r w:rsidRPr="006C6258">
              <w:rPr>
                <w:b/>
                <w:color w:val="000000"/>
                <w:sz w:val="16"/>
                <w:szCs w:val="16"/>
              </w:rPr>
              <w:t xml:space="preserve">Regular  </w:t>
            </w:r>
            <w:r w:rsidR="00E35863">
              <w:rPr>
                <w:b/>
                <w:color w:val="000000"/>
                <w:sz w:val="16"/>
                <w:szCs w:val="16"/>
              </w:rPr>
              <w:t>10</w:t>
            </w:r>
            <w:r w:rsidR="00AE2B27">
              <w:rPr>
                <w:b/>
                <w:color w:val="000000"/>
                <w:sz w:val="16"/>
                <w:szCs w:val="16"/>
              </w:rPr>
              <w:t>,</w:t>
            </w:r>
            <w:r w:rsidR="00E35863">
              <w:rPr>
                <w:b/>
                <w:color w:val="000000"/>
                <w:sz w:val="16"/>
                <w:szCs w:val="16"/>
              </w:rPr>
              <w:t>872</w:t>
            </w:r>
            <w:r w:rsidR="00AE2B27">
              <w:rPr>
                <w:b/>
                <w:color w:val="000000"/>
                <w:sz w:val="16"/>
                <w:szCs w:val="16"/>
              </w:rPr>
              <w:t>,</w:t>
            </w:r>
            <w:r w:rsidR="0078370F">
              <w:rPr>
                <w:b/>
                <w:color w:val="000000"/>
                <w:sz w:val="16"/>
                <w:szCs w:val="16"/>
              </w:rPr>
              <w:t>000</w:t>
            </w:r>
          </w:p>
        </w:tc>
      </w:tr>
      <w:tr w:rsidR="003C17EA" w:rsidRPr="003C26C1" w14:paraId="5647F890" w14:textId="77777777" w:rsidTr="00754FF9">
        <w:trPr>
          <w:trHeight w:val="461"/>
        </w:trPr>
        <w:tc>
          <w:tcPr>
            <w:tcW w:w="901" w:type="pct"/>
            <w:gridSpan w:val="2"/>
            <w:vMerge/>
            <w:tcBorders>
              <w:bottom w:val="single" w:sz="4" w:space="0" w:color="auto"/>
            </w:tcBorders>
            <w:tcMar>
              <w:top w:w="72" w:type="dxa"/>
              <w:left w:w="144" w:type="dxa"/>
              <w:bottom w:w="72" w:type="dxa"/>
              <w:right w:w="144" w:type="dxa"/>
            </w:tcMar>
          </w:tcPr>
          <w:p w14:paraId="075F16B2" w14:textId="77777777" w:rsidR="00B51C24" w:rsidRPr="006C6258" w:rsidRDefault="00B51C24" w:rsidP="00D97046">
            <w:pPr>
              <w:rPr>
                <w:i/>
                <w:iCs/>
                <w:color w:val="000000"/>
                <w:sz w:val="16"/>
                <w:szCs w:val="16"/>
                <w:lang w:val="en-GB"/>
              </w:rPr>
            </w:pPr>
          </w:p>
        </w:tc>
        <w:tc>
          <w:tcPr>
            <w:tcW w:w="742" w:type="pct"/>
            <w:vMerge/>
            <w:tcBorders>
              <w:bottom w:val="single" w:sz="4" w:space="0" w:color="auto"/>
            </w:tcBorders>
          </w:tcPr>
          <w:p w14:paraId="65F6524D" w14:textId="77777777" w:rsidR="00B51C24" w:rsidRPr="006C6258" w:rsidRDefault="00B51C24" w:rsidP="00D97046">
            <w:pPr>
              <w:rPr>
                <w:i/>
                <w:iCs/>
                <w:color w:val="000000"/>
                <w:sz w:val="16"/>
                <w:szCs w:val="16"/>
                <w:lang w:val="en-GB"/>
              </w:rPr>
            </w:pPr>
          </w:p>
        </w:tc>
        <w:tc>
          <w:tcPr>
            <w:tcW w:w="1960" w:type="pct"/>
            <w:gridSpan w:val="2"/>
            <w:vMerge/>
            <w:tcBorders>
              <w:bottom w:val="single" w:sz="4" w:space="0" w:color="auto"/>
            </w:tcBorders>
            <w:tcMar>
              <w:top w:w="72" w:type="dxa"/>
              <w:left w:w="144" w:type="dxa"/>
              <w:bottom w:w="72" w:type="dxa"/>
              <w:right w:w="144" w:type="dxa"/>
            </w:tcMar>
          </w:tcPr>
          <w:p w14:paraId="35C0312F" w14:textId="77777777" w:rsidR="00B51C24" w:rsidRPr="006C6258" w:rsidRDefault="00B51C24" w:rsidP="00D97046">
            <w:pPr>
              <w:rPr>
                <w:i/>
                <w:iCs/>
                <w:color w:val="000000"/>
                <w:sz w:val="16"/>
                <w:szCs w:val="16"/>
                <w:lang w:val="en-GB"/>
              </w:rPr>
            </w:pPr>
          </w:p>
        </w:tc>
        <w:tc>
          <w:tcPr>
            <w:tcW w:w="796" w:type="pct"/>
            <w:gridSpan w:val="2"/>
            <w:vMerge/>
            <w:tcBorders>
              <w:bottom w:val="single" w:sz="4" w:space="0" w:color="auto"/>
            </w:tcBorders>
          </w:tcPr>
          <w:p w14:paraId="292BB06B" w14:textId="77777777" w:rsidR="00B51C24" w:rsidRPr="006C6258" w:rsidRDefault="00B51C24" w:rsidP="00D97046">
            <w:pPr>
              <w:rPr>
                <w:i/>
                <w:iCs/>
                <w:color w:val="000000"/>
                <w:sz w:val="16"/>
                <w:szCs w:val="16"/>
                <w:lang w:val="en-GB"/>
              </w:rPr>
            </w:pPr>
          </w:p>
        </w:tc>
        <w:tc>
          <w:tcPr>
            <w:tcW w:w="601" w:type="pct"/>
            <w:gridSpan w:val="3"/>
            <w:tcBorders>
              <w:bottom w:val="single" w:sz="4" w:space="0" w:color="auto"/>
            </w:tcBorders>
            <w:tcMar>
              <w:top w:w="15" w:type="dxa"/>
              <w:left w:w="108" w:type="dxa"/>
              <w:bottom w:w="0" w:type="dxa"/>
              <w:right w:w="108" w:type="dxa"/>
            </w:tcMar>
          </w:tcPr>
          <w:p w14:paraId="0C1BB245" w14:textId="6C97A18E" w:rsidR="00B51C24" w:rsidRDefault="009D5055" w:rsidP="00D97046">
            <w:pPr>
              <w:rPr>
                <w:b/>
                <w:color w:val="000000"/>
                <w:sz w:val="16"/>
                <w:szCs w:val="16"/>
              </w:rPr>
            </w:pPr>
            <w:r>
              <w:rPr>
                <w:b/>
                <w:color w:val="000000"/>
                <w:sz w:val="16"/>
                <w:szCs w:val="16"/>
              </w:rPr>
              <w:t xml:space="preserve">Other    </w:t>
            </w:r>
            <w:r w:rsidR="00976EC3">
              <w:rPr>
                <w:b/>
                <w:color w:val="000000"/>
                <w:sz w:val="16"/>
                <w:szCs w:val="16"/>
              </w:rPr>
              <w:t>91</w:t>
            </w:r>
            <w:r w:rsidR="00AE2B27">
              <w:rPr>
                <w:b/>
                <w:color w:val="000000"/>
                <w:sz w:val="16"/>
                <w:szCs w:val="16"/>
              </w:rPr>
              <w:t>,</w:t>
            </w:r>
            <w:r w:rsidR="00415DF7">
              <w:rPr>
                <w:b/>
                <w:color w:val="000000"/>
                <w:sz w:val="16"/>
                <w:szCs w:val="16"/>
              </w:rPr>
              <w:t>600</w:t>
            </w:r>
            <w:r w:rsidR="00AE2B27">
              <w:rPr>
                <w:b/>
                <w:color w:val="000000"/>
                <w:sz w:val="16"/>
                <w:szCs w:val="16"/>
              </w:rPr>
              <w:t>,</w:t>
            </w:r>
            <w:r w:rsidR="00415DF7">
              <w:rPr>
                <w:b/>
                <w:color w:val="000000"/>
                <w:sz w:val="16"/>
                <w:szCs w:val="16"/>
              </w:rPr>
              <w:t>000</w:t>
            </w:r>
          </w:p>
          <w:p w14:paraId="1D92B9CA" w14:textId="77777777" w:rsidR="00203491" w:rsidRDefault="00203491" w:rsidP="00D97046">
            <w:pPr>
              <w:rPr>
                <w:b/>
                <w:color w:val="000000"/>
                <w:sz w:val="16"/>
                <w:szCs w:val="16"/>
              </w:rPr>
            </w:pPr>
          </w:p>
          <w:p w14:paraId="20EE411E" w14:textId="5C47E247" w:rsidR="00203491" w:rsidRPr="0057649B" w:rsidRDefault="00203491" w:rsidP="00D97046">
            <w:pPr>
              <w:rPr>
                <w:color w:val="000000"/>
                <w:sz w:val="16"/>
                <w:szCs w:val="16"/>
              </w:rPr>
            </w:pPr>
            <w:r w:rsidRPr="0057649B">
              <w:rPr>
                <w:color w:val="000000"/>
                <w:sz w:val="16"/>
                <w:szCs w:val="16"/>
              </w:rPr>
              <w:t>GCS        9</w:t>
            </w:r>
            <w:r w:rsidR="00AE2B27">
              <w:rPr>
                <w:color w:val="000000"/>
                <w:sz w:val="16"/>
                <w:szCs w:val="16"/>
              </w:rPr>
              <w:t>,</w:t>
            </w:r>
            <w:r w:rsidRPr="0057649B">
              <w:rPr>
                <w:color w:val="000000"/>
                <w:sz w:val="16"/>
                <w:szCs w:val="16"/>
              </w:rPr>
              <w:t>500</w:t>
            </w:r>
            <w:r w:rsidR="00AE2B27">
              <w:rPr>
                <w:color w:val="000000"/>
                <w:sz w:val="16"/>
                <w:szCs w:val="16"/>
              </w:rPr>
              <w:t>,</w:t>
            </w:r>
            <w:r w:rsidRPr="0057649B">
              <w:rPr>
                <w:color w:val="000000"/>
                <w:sz w:val="16"/>
                <w:szCs w:val="16"/>
              </w:rPr>
              <w:t>000</w:t>
            </w:r>
          </w:p>
          <w:p w14:paraId="6F44E15B" w14:textId="12B41CF8" w:rsidR="00203491" w:rsidRPr="0057649B" w:rsidRDefault="0057649B" w:rsidP="00D97046">
            <w:pPr>
              <w:rPr>
                <w:color w:val="000000"/>
                <w:sz w:val="16"/>
                <w:szCs w:val="16"/>
              </w:rPr>
            </w:pPr>
            <w:r>
              <w:rPr>
                <w:color w:val="000000"/>
                <w:sz w:val="16"/>
                <w:szCs w:val="16"/>
              </w:rPr>
              <w:t xml:space="preserve">SS           </w:t>
            </w:r>
            <w:r w:rsidR="00203491" w:rsidRPr="0057649B">
              <w:rPr>
                <w:color w:val="000000"/>
                <w:sz w:val="16"/>
                <w:szCs w:val="16"/>
              </w:rPr>
              <w:t>2</w:t>
            </w:r>
            <w:r w:rsidR="00AE2B27">
              <w:rPr>
                <w:color w:val="000000"/>
                <w:sz w:val="16"/>
                <w:szCs w:val="16"/>
              </w:rPr>
              <w:t>,</w:t>
            </w:r>
            <w:r w:rsidR="00203491" w:rsidRPr="0057649B">
              <w:rPr>
                <w:color w:val="000000"/>
                <w:sz w:val="16"/>
                <w:szCs w:val="16"/>
              </w:rPr>
              <w:t>500</w:t>
            </w:r>
            <w:r w:rsidR="00AE2B27">
              <w:rPr>
                <w:color w:val="000000"/>
                <w:sz w:val="16"/>
                <w:szCs w:val="16"/>
              </w:rPr>
              <w:t>,</w:t>
            </w:r>
            <w:r w:rsidR="00203491" w:rsidRPr="0057649B">
              <w:rPr>
                <w:color w:val="000000"/>
                <w:sz w:val="16"/>
                <w:szCs w:val="16"/>
              </w:rPr>
              <w:t>000</w:t>
            </w:r>
          </w:p>
          <w:p w14:paraId="40864882" w14:textId="6E29E2F6" w:rsidR="00203491" w:rsidRPr="0057649B" w:rsidRDefault="0057649B" w:rsidP="00D97046">
            <w:pPr>
              <w:rPr>
                <w:color w:val="000000"/>
                <w:sz w:val="16"/>
                <w:szCs w:val="16"/>
              </w:rPr>
            </w:pPr>
            <w:r w:rsidRPr="0057649B">
              <w:rPr>
                <w:color w:val="000000"/>
                <w:sz w:val="16"/>
                <w:szCs w:val="16"/>
              </w:rPr>
              <w:t>Third    55</w:t>
            </w:r>
            <w:r w:rsidR="00AE2B27">
              <w:rPr>
                <w:color w:val="000000"/>
                <w:sz w:val="16"/>
                <w:szCs w:val="16"/>
              </w:rPr>
              <w:t>,</w:t>
            </w:r>
            <w:r w:rsidRPr="0057649B">
              <w:rPr>
                <w:color w:val="000000"/>
                <w:sz w:val="16"/>
                <w:szCs w:val="16"/>
              </w:rPr>
              <w:t>700</w:t>
            </w:r>
            <w:r w:rsidR="00AE2B27">
              <w:rPr>
                <w:color w:val="000000"/>
                <w:sz w:val="16"/>
                <w:szCs w:val="16"/>
              </w:rPr>
              <w:t>,</w:t>
            </w:r>
            <w:r w:rsidRPr="0057649B">
              <w:rPr>
                <w:color w:val="000000"/>
                <w:sz w:val="16"/>
                <w:szCs w:val="16"/>
              </w:rPr>
              <w:t>000</w:t>
            </w:r>
          </w:p>
          <w:p w14:paraId="7A988528" w14:textId="67F639F5" w:rsidR="0057649B" w:rsidRPr="0057649B" w:rsidRDefault="0057649B" w:rsidP="00D97046">
            <w:pPr>
              <w:rPr>
                <w:color w:val="000000"/>
                <w:sz w:val="16"/>
                <w:szCs w:val="16"/>
              </w:rPr>
            </w:pPr>
            <w:r>
              <w:rPr>
                <w:color w:val="000000"/>
                <w:sz w:val="16"/>
                <w:szCs w:val="16"/>
              </w:rPr>
              <w:t xml:space="preserve">TF        </w:t>
            </w:r>
            <w:r w:rsidRPr="0057649B">
              <w:rPr>
                <w:color w:val="000000"/>
                <w:sz w:val="16"/>
                <w:szCs w:val="16"/>
              </w:rPr>
              <w:t>20</w:t>
            </w:r>
            <w:r w:rsidR="00AE2B27">
              <w:rPr>
                <w:color w:val="000000"/>
                <w:sz w:val="16"/>
                <w:szCs w:val="16"/>
              </w:rPr>
              <w:t>,</w:t>
            </w:r>
            <w:r w:rsidRPr="0057649B">
              <w:rPr>
                <w:color w:val="000000"/>
                <w:sz w:val="16"/>
                <w:szCs w:val="16"/>
              </w:rPr>
              <w:t>200</w:t>
            </w:r>
            <w:r w:rsidR="00AE2B27">
              <w:rPr>
                <w:color w:val="000000"/>
                <w:sz w:val="16"/>
                <w:szCs w:val="16"/>
              </w:rPr>
              <w:t>,</w:t>
            </w:r>
            <w:r w:rsidRPr="0057649B">
              <w:rPr>
                <w:color w:val="000000"/>
                <w:sz w:val="16"/>
                <w:szCs w:val="16"/>
              </w:rPr>
              <w:t>000</w:t>
            </w:r>
          </w:p>
          <w:p w14:paraId="483938E1" w14:textId="4C9C2017" w:rsidR="0057649B" w:rsidRPr="006C6258" w:rsidRDefault="0057649B" w:rsidP="00D97046">
            <w:pPr>
              <w:rPr>
                <w:b/>
                <w:color w:val="000000"/>
                <w:sz w:val="16"/>
                <w:szCs w:val="16"/>
              </w:rPr>
            </w:pPr>
            <w:r>
              <w:rPr>
                <w:color w:val="000000"/>
                <w:sz w:val="16"/>
                <w:szCs w:val="16"/>
              </w:rPr>
              <w:t xml:space="preserve">TTF        </w:t>
            </w:r>
            <w:r w:rsidRPr="0057649B">
              <w:rPr>
                <w:color w:val="000000"/>
                <w:sz w:val="16"/>
                <w:szCs w:val="16"/>
              </w:rPr>
              <w:t>3</w:t>
            </w:r>
            <w:r w:rsidR="00AE2B27">
              <w:rPr>
                <w:color w:val="000000"/>
                <w:sz w:val="16"/>
                <w:szCs w:val="16"/>
              </w:rPr>
              <w:t>,</w:t>
            </w:r>
            <w:r w:rsidRPr="0057649B">
              <w:rPr>
                <w:color w:val="000000"/>
                <w:sz w:val="16"/>
                <w:szCs w:val="16"/>
              </w:rPr>
              <w:t>700</w:t>
            </w:r>
            <w:r w:rsidR="00AE2B27">
              <w:rPr>
                <w:color w:val="000000"/>
                <w:sz w:val="16"/>
                <w:szCs w:val="16"/>
              </w:rPr>
              <w:t>,</w:t>
            </w:r>
            <w:r w:rsidRPr="0057649B">
              <w:rPr>
                <w:color w:val="000000"/>
                <w:sz w:val="16"/>
                <w:szCs w:val="16"/>
              </w:rPr>
              <w:t>000</w:t>
            </w:r>
          </w:p>
        </w:tc>
      </w:tr>
      <w:tr w:rsidR="003C17EA" w:rsidRPr="003C26C1" w14:paraId="7C2BF035" w14:textId="77777777" w:rsidTr="00754FF9">
        <w:trPr>
          <w:trHeight w:val="233"/>
        </w:trPr>
        <w:tc>
          <w:tcPr>
            <w:tcW w:w="5000" w:type="pct"/>
            <w:gridSpan w:val="10"/>
            <w:shd w:val="clear" w:color="auto" w:fill="auto"/>
            <w:tcMar>
              <w:top w:w="72" w:type="dxa"/>
              <w:left w:w="144" w:type="dxa"/>
              <w:bottom w:w="72" w:type="dxa"/>
              <w:right w:w="144" w:type="dxa"/>
            </w:tcMar>
          </w:tcPr>
          <w:p w14:paraId="22178A93" w14:textId="1C87EA8C" w:rsidR="003C17EA" w:rsidRPr="003C26C1" w:rsidRDefault="004D6E3F" w:rsidP="0082234B">
            <w:pPr>
              <w:rPr>
                <w:b/>
                <w:color w:val="000000"/>
                <w:sz w:val="16"/>
                <w:szCs w:val="16"/>
              </w:rPr>
            </w:pPr>
            <w:r>
              <w:rPr>
                <w:b/>
                <w:bCs/>
                <w:color w:val="000000"/>
                <w:sz w:val="16"/>
                <w:szCs w:val="16"/>
                <w:lang w:val="en-GB"/>
              </w:rPr>
              <w:t>NATIONAL PRIORITY</w:t>
            </w:r>
            <w:r w:rsidR="003C17EA" w:rsidRPr="003C26C1">
              <w:rPr>
                <w:b/>
                <w:bCs/>
                <w:color w:val="000000"/>
                <w:sz w:val="16"/>
                <w:szCs w:val="16"/>
                <w:lang w:val="en-GB"/>
              </w:rPr>
              <w:t xml:space="preserve">: </w:t>
            </w:r>
            <w:r w:rsidR="0082234B">
              <w:rPr>
                <w:color w:val="191919"/>
                <w:sz w:val="16"/>
                <w:szCs w:val="16"/>
                <w:lang w:eastAsia="en-GB"/>
              </w:rPr>
              <w:t>Boost and develop</w:t>
            </w:r>
            <w:r w:rsidRPr="008C541D">
              <w:rPr>
                <w:color w:val="191919"/>
                <w:sz w:val="16"/>
                <w:szCs w:val="16"/>
                <w:lang w:eastAsia="en-GB"/>
              </w:rPr>
              <w:t xml:space="preserve"> productive sectors</w:t>
            </w:r>
            <w:r w:rsidR="0082234B">
              <w:rPr>
                <w:color w:val="191919"/>
                <w:sz w:val="16"/>
                <w:szCs w:val="16"/>
                <w:lang w:eastAsia="en-GB"/>
              </w:rPr>
              <w:t xml:space="preserve">: </w:t>
            </w:r>
            <w:r w:rsidRPr="008C541D">
              <w:rPr>
                <w:color w:val="191919"/>
                <w:sz w:val="16"/>
                <w:szCs w:val="16"/>
                <w:lang w:eastAsia="en-GB"/>
              </w:rPr>
              <w:t>agriculture and livestock</w:t>
            </w:r>
            <w:r w:rsidR="0082234B">
              <w:rPr>
                <w:color w:val="191919"/>
                <w:sz w:val="16"/>
                <w:szCs w:val="16"/>
                <w:lang w:eastAsia="en-GB"/>
              </w:rPr>
              <w:t xml:space="preserve"> farming</w:t>
            </w:r>
            <w:r w:rsidRPr="008C541D">
              <w:rPr>
                <w:color w:val="191919"/>
                <w:sz w:val="16"/>
                <w:szCs w:val="16"/>
                <w:lang w:eastAsia="en-GB"/>
              </w:rPr>
              <w:t xml:space="preserve">, </w:t>
            </w:r>
            <w:r w:rsidR="0082234B">
              <w:rPr>
                <w:color w:val="191919"/>
                <w:sz w:val="16"/>
                <w:szCs w:val="16"/>
                <w:lang w:eastAsia="en-GB"/>
              </w:rPr>
              <w:t>extractive</w:t>
            </w:r>
            <w:r w:rsidRPr="008C541D">
              <w:rPr>
                <w:color w:val="191919"/>
                <w:sz w:val="16"/>
                <w:szCs w:val="16"/>
                <w:lang w:eastAsia="en-GB"/>
              </w:rPr>
              <w:t xml:space="preserve"> and forestry</w:t>
            </w:r>
            <w:r w:rsidR="0082234B">
              <w:rPr>
                <w:color w:val="191919"/>
                <w:sz w:val="16"/>
                <w:szCs w:val="16"/>
                <w:lang w:eastAsia="en-GB"/>
              </w:rPr>
              <w:t xml:space="preserve"> industries</w:t>
            </w:r>
            <w:r w:rsidRPr="008C541D">
              <w:rPr>
                <w:color w:val="191919"/>
                <w:sz w:val="16"/>
                <w:szCs w:val="16"/>
                <w:lang w:eastAsia="en-GB"/>
              </w:rPr>
              <w:t>) (RCPCA Pillar 3); E</w:t>
            </w:r>
            <w:r w:rsidR="0082234B">
              <w:rPr>
                <w:color w:val="191919"/>
                <w:sz w:val="16"/>
                <w:szCs w:val="16"/>
                <w:lang w:eastAsia="en-GB"/>
              </w:rPr>
              <w:t>stablish conditions</w:t>
            </w:r>
            <w:r w:rsidRPr="008C541D">
              <w:rPr>
                <w:color w:val="191919"/>
                <w:sz w:val="16"/>
                <w:szCs w:val="16"/>
                <w:lang w:eastAsia="en-GB"/>
              </w:rPr>
              <w:t xml:space="preserve"> </w:t>
            </w:r>
            <w:r w:rsidR="0082234B">
              <w:rPr>
                <w:color w:val="191919"/>
                <w:sz w:val="16"/>
                <w:szCs w:val="16"/>
                <w:lang w:eastAsia="en-GB"/>
              </w:rPr>
              <w:t xml:space="preserve">for private sector development and employment: improved business support and </w:t>
            </w:r>
            <w:r w:rsidR="006C786D">
              <w:rPr>
                <w:color w:val="191919"/>
                <w:sz w:val="16"/>
                <w:szCs w:val="16"/>
                <w:lang w:eastAsia="en-GB"/>
              </w:rPr>
              <w:t>financial</w:t>
            </w:r>
            <w:r w:rsidR="0082234B">
              <w:rPr>
                <w:color w:val="191919"/>
                <w:sz w:val="16"/>
                <w:szCs w:val="16"/>
                <w:lang w:eastAsia="en-GB"/>
              </w:rPr>
              <w:t xml:space="preserve"> services, vocational training, entrepreneurship, and employment</w:t>
            </w:r>
            <w:r w:rsidRPr="008C541D">
              <w:rPr>
                <w:color w:val="191919"/>
                <w:sz w:val="16"/>
                <w:szCs w:val="16"/>
                <w:lang w:eastAsia="en-GB"/>
              </w:rPr>
              <w:t xml:space="preserve"> (RCPCA Pillar</w:t>
            </w:r>
            <w:r>
              <w:rPr>
                <w:color w:val="191919"/>
                <w:sz w:val="16"/>
                <w:szCs w:val="16"/>
                <w:lang w:eastAsia="en-GB"/>
              </w:rPr>
              <w:t xml:space="preserve"> 3</w:t>
            </w:r>
            <w:r w:rsidRPr="008C541D">
              <w:rPr>
                <w:color w:val="191919"/>
                <w:sz w:val="16"/>
                <w:szCs w:val="16"/>
                <w:lang w:eastAsia="en-GB"/>
              </w:rPr>
              <w:t>).</w:t>
            </w:r>
          </w:p>
        </w:tc>
      </w:tr>
      <w:tr w:rsidR="003C17EA" w:rsidRPr="003C26C1" w14:paraId="0A2CCE54" w14:textId="77777777" w:rsidTr="00754FF9">
        <w:trPr>
          <w:trHeight w:val="233"/>
        </w:trPr>
        <w:tc>
          <w:tcPr>
            <w:tcW w:w="5000" w:type="pct"/>
            <w:gridSpan w:val="10"/>
            <w:shd w:val="clear" w:color="auto" w:fill="auto"/>
            <w:tcMar>
              <w:top w:w="72" w:type="dxa"/>
              <w:left w:w="144" w:type="dxa"/>
              <w:bottom w:w="72" w:type="dxa"/>
              <w:right w:w="144" w:type="dxa"/>
            </w:tcMar>
          </w:tcPr>
          <w:p w14:paraId="3CAB140B" w14:textId="253DCEAF" w:rsidR="003C17EA" w:rsidRPr="003C26C1" w:rsidRDefault="004319D8" w:rsidP="004B0139">
            <w:pPr>
              <w:rPr>
                <w:b/>
                <w:color w:val="000000"/>
                <w:sz w:val="16"/>
                <w:szCs w:val="16"/>
              </w:rPr>
            </w:pPr>
            <w:r>
              <w:rPr>
                <w:b/>
                <w:bCs/>
                <w:color w:val="000000"/>
                <w:sz w:val="16"/>
                <w:szCs w:val="16"/>
                <w:lang w:val="en-GB"/>
              </w:rPr>
              <w:t xml:space="preserve">UNDAF+ </w:t>
            </w:r>
            <w:r w:rsidR="00346649">
              <w:rPr>
                <w:b/>
                <w:bCs/>
                <w:color w:val="000000"/>
                <w:sz w:val="16"/>
                <w:szCs w:val="16"/>
                <w:lang w:val="en-GB"/>
              </w:rPr>
              <w:t>OUTCOME INVOLVING UNDP 3.</w:t>
            </w:r>
            <w:r w:rsidR="00865C8A">
              <w:rPr>
                <w:b/>
                <w:bCs/>
                <w:color w:val="000000"/>
                <w:sz w:val="16"/>
                <w:szCs w:val="16"/>
                <w:lang w:val="en-GB"/>
              </w:rPr>
              <w:t>2</w:t>
            </w:r>
            <w:r w:rsidR="004D6E3F" w:rsidRPr="003C26C1">
              <w:rPr>
                <w:b/>
                <w:bCs/>
                <w:color w:val="000000"/>
                <w:sz w:val="16"/>
                <w:szCs w:val="16"/>
                <w:lang w:val="en-GB"/>
              </w:rPr>
              <w:t>:</w:t>
            </w:r>
            <w:r w:rsidR="004D6E3F" w:rsidRPr="003C26C1">
              <w:rPr>
                <w:color w:val="000000"/>
                <w:sz w:val="16"/>
                <w:szCs w:val="16"/>
                <w:lang w:val="en-GB"/>
              </w:rPr>
              <w:t xml:space="preserve"> </w:t>
            </w:r>
            <w:r w:rsidR="00865C8A">
              <w:rPr>
                <w:color w:val="000000"/>
                <w:sz w:val="16"/>
                <w:szCs w:val="16"/>
                <w:lang w:val="en-GB"/>
              </w:rPr>
              <w:t xml:space="preserve"> By 2021, </w:t>
            </w:r>
            <w:r w:rsidR="00865C8A">
              <w:rPr>
                <w:color w:val="191919"/>
                <w:sz w:val="16"/>
                <w:szCs w:val="16"/>
                <w:lang w:eastAsia="en-GB"/>
              </w:rPr>
              <w:t>p</w:t>
            </w:r>
            <w:r w:rsidR="00FD5BE8" w:rsidRPr="00FD5BE8">
              <w:rPr>
                <w:color w:val="191919"/>
                <w:sz w:val="16"/>
                <w:szCs w:val="16"/>
                <w:lang w:eastAsia="en-GB"/>
              </w:rPr>
              <w:t xml:space="preserve">olitical and administrative institutions, civil society </w:t>
            </w:r>
            <w:r w:rsidR="006C786D" w:rsidRPr="00FD5BE8">
              <w:rPr>
                <w:color w:val="191919"/>
                <w:sz w:val="16"/>
                <w:szCs w:val="16"/>
                <w:lang w:eastAsia="en-GB"/>
              </w:rPr>
              <w:t>organizations</w:t>
            </w:r>
            <w:r w:rsidR="00FD5BE8" w:rsidRPr="00FD5BE8">
              <w:rPr>
                <w:color w:val="191919"/>
                <w:sz w:val="16"/>
                <w:szCs w:val="16"/>
                <w:lang w:eastAsia="en-GB"/>
              </w:rPr>
              <w:t xml:space="preserve"> and the private sector implement </w:t>
            </w:r>
            <w:r w:rsidR="00865C8A">
              <w:rPr>
                <w:color w:val="191919"/>
                <w:sz w:val="16"/>
                <w:szCs w:val="16"/>
                <w:lang w:eastAsia="en-GB"/>
              </w:rPr>
              <w:t xml:space="preserve">policies, </w:t>
            </w:r>
            <w:r w:rsidR="00FD5BE8" w:rsidRPr="00FD5BE8">
              <w:rPr>
                <w:color w:val="191919"/>
                <w:sz w:val="16"/>
                <w:szCs w:val="16"/>
                <w:lang w:eastAsia="en-GB"/>
              </w:rPr>
              <w:t xml:space="preserve">programmes and </w:t>
            </w:r>
            <w:r w:rsidR="00865C8A">
              <w:rPr>
                <w:color w:val="191919"/>
                <w:sz w:val="16"/>
                <w:szCs w:val="16"/>
                <w:lang w:eastAsia="en-GB"/>
              </w:rPr>
              <w:t>reforms aimed at</w:t>
            </w:r>
            <w:r w:rsidR="004B0139">
              <w:rPr>
                <w:color w:val="191919"/>
                <w:sz w:val="16"/>
                <w:szCs w:val="16"/>
                <w:lang w:eastAsia="en-GB"/>
              </w:rPr>
              <w:t xml:space="preserve"> inclusive economic growth (good governance, recovery and job creation) and ethical transparent and sustainable management of natural resources. </w:t>
            </w:r>
          </w:p>
        </w:tc>
      </w:tr>
      <w:tr w:rsidR="003C17EA" w:rsidRPr="003C26C1" w14:paraId="78BB3696" w14:textId="77777777" w:rsidTr="00754FF9">
        <w:trPr>
          <w:trHeight w:val="233"/>
        </w:trPr>
        <w:tc>
          <w:tcPr>
            <w:tcW w:w="5000" w:type="pct"/>
            <w:gridSpan w:val="10"/>
            <w:shd w:val="clear" w:color="auto" w:fill="auto"/>
            <w:tcMar>
              <w:top w:w="72" w:type="dxa"/>
              <w:left w:w="144" w:type="dxa"/>
              <w:bottom w:w="72" w:type="dxa"/>
              <w:right w:w="144" w:type="dxa"/>
            </w:tcMar>
          </w:tcPr>
          <w:p w14:paraId="73F4284E" w14:textId="77777777" w:rsidR="003C17EA" w:rsidRPr="003C26C1" w:rsidRDefault="004D6E3F" w:rsidP="00E24319">
            <w:pPr>
              <w:rPr>
                <w:b/>
                <w:color w:val="000000"/>
                <w:sz w:val="16"/>
                <w:szCs w:val="16"/>
              </w:rPr>
            </w:pPr>
            <w:r w:rsidRPr="003C26C1">
              <w:rPr>
                <w:b/>
                <w:bCs/>
                <w:color w:val="000000"/>
                <w:sz w:val="16"/>
                <w:szCs w:val="16"/>
                <w:lang w:val="en-GB"/>
              </w:rPr>
              <w:t xml:space="preserve">RELATED STRATEGIC PLAN OUTCOME: </w:t>
            </w:r>
            <w:r w:rsidRPr="00B51C24">
              <w:rPr>
                <w:sz w:val="16"/>
                <w:szCs w:val="16"/>
                <w:u w:val="single"/>
              </w:rPr>
              <w:t>Outcome 1:</w:t>
            </w:r>
            <w:r w:rsidRPr="001631F4">
              <w:rPr>
                <w:sz w:val="16"/>
                <w:szCs w:val="16"/>
              </w:rPr>
              <w:t xml:space="preserve">  Growth and development are inclusive and sustainable, incorporating productive capacities that create employment and livelihoods for the poor and excluded</w:t>
            </w:r>
          </w:p>
        </w:tc>
      </w:tr>
      <w:tr w:rsidR="003C17EA" w:rsidRPr="006C6258" w14:paraId="2C409146" w14:textId="77777777" w:rsidTr="00754FF9">
        <w:trPr>
          <w:trHeight w:val="233"/>
        </w:trPr>
        <w:tc>
          <w:tcPr>
            <w:tcW w:w="901" w:type="pct"/>
            <w:gridSpan w:val="2"/>
            <w:vMerge w:val="restart"/>
            <w:tcMar>
              <w:top w:w="72" w:type="dxa"/>
              <w:left w:w="144" w:type="dxa"/>
              <w:bottom w:w="72" w:type="dxa"/>
              <w:right w:w="144" w:type="dxa"/>
            </w:tcMar>
          </w:tcPr>
          <w:p w14:paraId="412A1B3E" w14:textId="1CC93991" w:rsidR="0019756B" w:rsidRPr="00757CDC" w:rsidRDefault="0019756B" w:rsidP="0019756B">
            <w:pPr>
              <w:rPr>
                <w:b/>
                <w:sz w:val="16"/>
                <w:szCs w:val="16"/>
              </w:rPr>
            </w:pPr>
            <w:r w:rsidRPr="00757CDC">
              <w:rPr>
                <w:b/>
                <w:sz w:val="16"/>
                <w:szCs w:val="16"/>
              </w:rPr>
              <w:t>Indicator 1.1.</w:t>
            </w:r>
            <w:r>
              <w:rPr>
                <w:b/>
                <w:sz w:val="16"/>
                <w:szCs w:val="16"/>
              </w:rPr>
              <w:t>3</w:t>
            </w:r>
            <w:r w:rsidRPr="00757CDC">
              <w:rPr>
                <w:b/>
                <w:sz w:val="16"/>
                <w:szCs w:val="16"/>
              </w:rPr>
              <w:t xml:space="preserve">: </w:t>
            </w:r>
            <w:r w:rsidR="00DF11E6">
              <w:rPr>
                <w:b/>
                <w:sz w:val="16"/>
                <w:szCs w:val="16"/>
              </w:rPr>
              <w:t xml:space="preserve"> </w:t>
            </w:r>
            <w:r w:rsidR="008F3982">
              <w:rPr>
                <w:sz w:val="16"/>
                <w:szCs w:val="16"/>
              </w:rPr>
              <w:t xml:space="preserve">Ranking of the Central African Republic </w:t>
            </w:r>
            <w:r w:rsidR="00DF11E6" w:rsidRPr="00DF11E6">
              <w:rPr>
                <w:sz w:val="16"/>
                <w:szCs w:val="16"/>
              </w:rPr>
              <w:t>in “Doing Business”</w:t>
            </w:r>
          </w:p>
          <w:p w14:paraId="0763F204" w14:textId="77777777" w:rsidR="0019756B" w:rsidRPr="00757CDC" w:rsidRDefault="0019756B" w:rsidP="0019756B">
            <w:pPr>
              <w:rPr>
                <w:b/>
                <w:sz w:val="16"/>
                <w:szCs w:val="16"/>
              </w:rPr>
            </w:pPr>
            <w:r w:rsidRPr="00757CDC">
              <w:rPr>
                <w:b/>
                <w:sz w:val="16"/>
                <w:szCs w:val="16"/>
              </w:rPr>
              <w:t>Baseline:</w:t>
            </w:r>
            <w:r w:rsidR="00DF11E6">
              <w:rPr>
                <w:b/>
                <w:sz w:val="16"/>
                <w:szCs w:val="16"/>
              </w:rPr>
              <w:t xml:space="preserve"> </w:t>
            </w:r>
            <w:r w:rsidR="00DF11E6" w:rsidRPr="00DF11E6">
              <w:rPr>
                <w:sz w:val="16"/>
                <w:szCs w:val="16"/>
              </w:rPr>
              <w:t>183 (2016)</w:t>
            </w:r>
          </w:p>
          <w:p w14:paraId="20484ACA" w14:textId="77777777" w:rsidR="0019756B" w:rsidRPr="00DF11E6" w:rsidRDefault="0019756B" w:rsidP="0019756B">
            <w:pPr>
              <w:rPr>
                <w:sz w:val="16"/>
                <w:szCs w:val="16"/>
              </w:rPr>
            </w:pPr>
            <w:r w:rsidRPr="00757CDC">
              <w:rPr>
                <w:b/>
                <w:sz w:val="16"/>
                <w:szCs w:val="16"/>
              </w:rPr>
              <w:t xml:space="preserve">Target: </w:t>
            </w:r>
            <w:r w:rsidR="00DF11E6">
              <w:rPr>
                <w:b/>
                <w:sz w:val="16"/>
                <w:szCs w:val="16"/>
              </w:rPr>
              <w:t xml:space="preserve"> </w:t>
            </w:r>
            <w:r w:rsidR="00DF11E6" w:rsidRPr="00DF11E6">
              <w:rPr>
                <w:sz w:val="16"/>
                <w:szCs w:val="16"/>
              </w:rPr>
              <w:t>150 (2021)</w:t>
            </w:r>
          </w:p>
          <w:p w14:paraId="1069D7DD" w14:textId="77777777" w:rsidR="0019756B" w:rsidRDefault="0019756B" w:rsidP="0019756B">
            <w:pPr>
              <w:rPr>
                <w:b/>
                <w:sz w:val="16"/>
                <w:szCs w:val="16"/>
              </w:rPr>
            </w:pPr>
          </w:p>
          <w:p w14:paraId="478B00C4" w14:textId="77777777" w:rsidR="0019756B" w:rsidRDefault="0019756B" w:rsidP="0019756B">
            <w:pPr>
              <w:rPr>
                <w:b/>
                <w:sz w:val="16"/>
                <w:szCs w:val="16"/>
              </w:rPr>
            </w:pPr>
          </w:p>
          <w:p w14:paraId="0AA1D9CA" w14:textId="77777777" w:rsidR="0019756B" w:rsidRPr="00757CDC" w:rsidRDefault="0019756B" w:rsidP="0019756B">
            <w:pPr>
              <w:rPr>
                <w:b/>
                <w:sz w:val="16"/>
                <w:szCs w:val="16"/>
              </w:rPr>
            </w:pPr>
            <w:r>
              <w:rPr>
                <w:b/>
                <w:sz w:val="16"/>
                <w:szCs w:val="16"/>
              </w:rPr>
              <w:t>Indicator 3.2.6</w:t>
            </w:r>
            <w:r w:rsidRPr="00757CDC">
              <w:rPr>
                <w:b/>
                <w:sz w:val="16"/>
                <w:szCs w:val="16"/>
              </w:rPr>
              <w:t xml:space="preserve">: </w:t>
            </w:r>
            <w:r w:rsidRPr="0019756B">
              <w:rPr>
                <w:color w:val="191919"/>
                <w:sz w:val="16"/>
                <w:szCs w:val="16"/>
                <w:lang w:eastAsia="en-GB"/>
              </w:rPr>
              <w:t>Share of forest and diamond mining revenues in total government revenues</w:t>
            </w:r>
          </w:p>
          <w:p w14:paraId="7E2CD98B" w14:textId="77777777" w:rsidR="0019756B" w:rsidRPr="00DF11E6" w:rsidRDefault="0019756B" w:rsidP="0019756B">
            <w:pPr>
              <w:rPr>
                <w:color w:val="191919"/>
                <w:sz w:val="16"/>
                <w:szCs w:val="16"/>
                <w:lang w:eastAsia="en-GB"/>
              </w:rPr>
            </w:pPr>
            <w:r w:rsidRPr="00DF11E6">
              <w:rPr>
                <w:b/>
                <w:color w:val="191919"/>
                <w:sz w:val="16"/>
                <w:szCs w:val="16"/>
                <w:lang w:eastAsia="en-GB"/>
              </w:rPr>
              <w:t>Baseline:</w:t>
            </w:r>
            <w:r w:rsidRPr="00DF11E6">
              <w:rPr>
                <w:color w:val="191919"/>
                <w:sz w:val="16"/>
                <w:szCs w:val="16"/>
                <w:lang w:eastAsia="en-GB"/>
              </w:rPr>
              <w:t xml:space="preserve"> Diamond revenue: approx.3% (2011)</w:t>
            </w:r>
          </w:p>
          <w:p w14:paraId="19A2AE6C" w14:textId="77777777" w:rsidR="0019756B" w:rsidRPr="00DF11E6" w:rsidRDefault="0019756B" w:rsidP="0019756B">
            <w:pPr>
              <w:rPr>
                <w:color w:val="191919"/>
                <w:sz w:val="16"/>
                <w:szCs w:val="16"/>
                <w:lang w:eastAsia="en-GB"/>
              </w:rPr>
            </w:pPr>
            <w:r w:rsidRPr="00DF11E6">
              <w:rPr>
                <w:color w:val="191919"/>
                <w:sz w:val="16"/>
                <w:szCs w:val="16"/>
                <w:lang w:eastAsia="en-GB"/>
              </w:rPr>
              <w:t>Forestry revenue: approximately 6% (2012)</w:t>
            </w:r>
          </w:p>
          <w:p w14:paraId="110A21B4" w14:textId="77777777" w:rsidR="0019756B" w:rsidRPr="00DF11E6" w:rsidRDefault="0019756B" w:rsidP="0019756B">
            <w:pPr>
              <w:rPr>
                <w:color w:val="191919"/>
                <w:sz w:val="16"/>
                <w:szCs w:val="16"/>
                <w:lang w:eastAsia="en-GB"/>
              </w:rPr>
            </w:pPr>
            <w:r w:rsidRPr="00DF11E6">
              <w:rPr>
                <w:b/>
                <w:color w:val="191919"/>
                <w:sz w:val="16"/>
                <w:szCs w:val="16"/>
                <w:lang w:eastAsia="en-GB"/>
              </w:rPr>
              <w:t>Target:</w:t>
            </w:r>
            <w:r w:rsidRPr="00DF11E6">
              <w:rPr>
                <w:color w:val="191919"/>
                <w:sz w:val="16"/>
                <w:szCs w:val="16"/>
                <w:lang w:eastAsia="en-GB"/>
              </w:rPr>
              <w:t xml:space="preserve">   Diamond revenue: 12% (2021)</w:t>
            </w:r>
          </w:p>
          <w:p w14:paraId="4CBBC045" w14:textId="77777777" w:rsidR="00757CDC" w:rsidRPr="0019756B" w:rsidRDefault="0019756B" w:rsidP="00757CDC">
            <w:pPr>
              <w:rPr>
                <w:color w:val="191919"/>
                <w:sz w:val="16"/>
                <w:szCs w:val="16"/>
                <w:lang w:eastAsia="en-GB"/>
              </w:rPr>
            </w:pPr>
            <w:r w:rsidRPr="00DF11E6">
              <w:rPr>
                <w:color w:val="191919"/>
                <w:sz w:val="16"/>
                <w:szCs w:val="16"/>
                <w:lang w:eastAsia="en-GB"/>
              </w:rPr>
              <w:t>Forestry revenue: 15% (2021)</w:t>
            </w:r>
          </w:p>
          <w:p w14:paraId="59CBF4A7" w14:textId="77777777" w:rsidR="0021228C" w:rsidRDefault="0021228C" w:rsidP="00757CDC">
            <w:pPr>
              <w:rPr>
                <w:b/>
                <w:sz w:val="16"/>
                <w:szCs w:val="16"/>
              </w:rPr>
            </w:pPr>
          </w:p>
          <w:p w14:paraId="00757F7E" w14:textId="4F2ED089" w:rsidR="00757CDC" w:rsidRPr="00757CDC" w:rsidRDefault="00757CDC" w:rsidP="00757CDC">
            <w:pPr>
              <w:rPr>
                <w:b/>
                <w:sz w:val="16"/>
                <w:szCs w:val="16"/>
              </w:rPr>
            </w:pPr>
            <w:r w:rsidRPr="00757CDC">
              <w:rPr>
                <w:b/>
                <w:sz w:val="16"/>
                <w:szCs w:val="16"/>
              </w:rPr>
              <w:lastRenderedPageBreak/>
              <w:t>Indicator 1.1.</w:t>
            </w:r>
            <w:r>
              <w:rPr>
                <w:b/>
                <w:sz w:val="16"/>
                <w:szCs w:val="16"/>
              </w:rPr>
              <w:t>3</w:t>
            </w:r>
            <w:r w:rsidRPr="00757CDC">
              <w:rPr>
                <w:b/>
                <w:sz w:val="16"/>
                <w:szCs w:val="16"/>
              </w:rPr>
              <w:t xml:space="preserve">: </w:t>
            </w:r>
            <w:r w:rsidR="00AE2B27">
              <w:rPr>
                <w:sz w:val="16"/>
                <w:szCs w:val="16"/>
              </w:rPr>
              <w:t xml:space="preserve">% </w:t>
            </w:r>
            <w:r>
              <w:rPr>
                <w:sz w:val="16"/>
                <w:szCs w:val="16"/>
              </w:rPr>
              <w:t xml:space="preserve">of refugees and displaced disaggregated by sex, age and region </w:t>
            </w:r>
            <w:r w:rsidR="00E24319">
              <w:rPr>
                <w:sz w:val="16"/>
                <w:szCs w:val="16"/>
              </w:rPr>
              <w:t>(</w:t>
            </w:r>
            <w:r>
              <w:rPr>
                <w:sz w:val="16"/>
                <w:szCs w:val="16"/>
              </w:rPr>
              <w:t>re</w:t>
            </w:r>
            <w:r w:rsidR="00E24319">
              <w:rPr>
                <w:sz w:val="16"/>
                <w:szCs w:val="16"/>
              </w:rPr>
              <w:t>)</w:t>
            </w:r>
            <w:r>
              <w:rPr>
                <w:sz w:val="16"/>
                <w:szCs w:val="16"/>
              </w:rPr>
              <w:t>integrated socially and economically in</w:t>
            </w:r>
            <w:r w:rsidR="00E24319">
              <w:rPr>
                <w:sz w:val="16"/>
                <w:szCs w:val="16"/>
              </w:rPr>
              <w:t>to</w:t>
            </w:r>
            <w:r>
              <w:rPr>
                <w:sz w:val="16"/>
                <w:szCs w:val="16"/>
              </w:rPr>
              <w:t xml:space="preserve"> their communities</w:t>
            </w:r>
            <w:r w:rsidRPr="00757CDC">
              <w:rPr>
                <w:sz w:val="16"/>
                <w:szCs w:val="16"/>
              </w:rPr>
              <w:t xml:space="preserve"> </w:t>
            </w:r>
          </w:p>
          <w:p w14:paraId="36A8A990" w14:textId="77777777" w:rsidR="00757CDC" w:rsidRPr="00757CDC" w:rsidRDefault="00757CDC" w:rsidP="00757CDC">
            <w:pPr>
              <w:rPr>
                <w:b/>
                <w:sz w:val="16"/>
                <w:szCs w:val="16"/>
              </w:rPr>
            </w:pPr>
            <w:r w:rsidRPr="00757CDC">
              <w:rPr>
                <w:b/>
                <w:sz w:val="16"/>
                <w:szCs w:val="16"/>
              </w:rPr>
              <w:t xml:space="preserve">Baseline: </w:t>
            </w:r>
            <w:r>
              <w:rPr>
                <w:sz w:val="16"/>
                <w:szCs w:val="16"/>
              </w:rPr>
              <w:t>0%</w:t>
            </w:r>
            <w:r w:rsidRPr="00757CDC">
              <w:rPr>
                <w:sz w:val="16"/>
                <w:szCs w:val="16"/>
              </w:rPr>
              <w:t xml:space="preserve"> (2016)</w:t>
            </w:r>
          </w:p>
          <w:p w14:paraId="7F7DDA44" w14:textId="77777777" w:rsidR="00757CDC" w:rsidRPr="00757CDC" w:rsidRDefault="00757CDC" w:rsidP="00757CDC">
            <w:pPr>
              <w:rPr>
                <w:sz w:val="16"/>
                <w:szCs w:val="16"/>
              </w:rPr>
            </w:pPr>
            <w:r w:rsidRPr="00757CDC">
              <w:rPr>
                <w:b/>
                <w:sz w:val="16"/>
                <w:szCs w:val="16"/>
              </w:rPr>
              <w:t xml:space="preserve">Target: </w:t>
            </w:r>
            <w:r>
              <w:rPr>
                <w:sz w:val="16"/>
                <w:szCs w:val="16"/>
              </w:rPr>
              <w:t>50%</w:t>
            </w:r>
            <w:r w:rsidRPr="00757CDC">
              <w:rPr>
                <w:sz w:val="16"/>
                <w:szCs w:val="16"/>
              </w:rPr>
              <w:t xml:space="preserve"> (2021)</w:t>
            </w:r>
          </w:p>
          <w:p w14:paraId="1A2B7005" w14:textId="77777777" w:rsidR="00B51C24" w:rsidRPr="006C6258" w:rsidRDefault="00B51C24" w:rsidP="00757CDC">
            <w:pPr>
              <w:rPr>
                <w:i/>
                <w:iCs/>
                <w:color w:val="000000"/>
                <w:sz w:val="16"/>
                <w:szCs w:val="16"/>
                <w:lang w:val="en-GB"/>
              </w:rPr>
            </w:pPr>
          </w:p>
        </w:tc>
        <w:tc>
          <w:tcPr>
            <w:tcW w:w="742" w:type="pct"/>
            <w:vMerge w:val="restart"/>
          </w:tcPr>
          <w:p w14:paraId="0F753979" w14:textId="77777777" w:rsidR="00BF5143" w:rsidRPr="00A366B0" w:rsidRDefault="00DF11E6" w:rsidP="00A366B0">
            <w:pPr>
              <w:rPr>
                <w:iCs/>
                <w:color w:val="000000"/>
                <w:sz w:val="16"/>
                <w:szCs w:val="16"/>
                <w:lang w:val="en-GB"/>
              </w:rPr>
            </w:pPr>
            <w:r w:rsidRPr="00A366B0">
              <w:rPr>
                <w:iCs/>
                <w:color w:val="000000"/>
                <w:sz w:val="16"/>
                <w:szCs w:val="16"/>
                <w:lang w:val="en-GB"/>
              </w:rPr>
              <w:lastRenderedPageBreak/>
              <w:t>Annual Doing Business report</w:t>
            </w:r>
          </w:p>
          <w:p w14:paraId="1F2A9FA4" w14:textId="77777777" w:rsidR="00BF5143" w:rsidRDefault="00BF5143" w:rsidP="00BF5143">
            <w:pPr>
              <w:rPr>
                <w:iCs/>
                <w:color w:val="000000"/>
                <w:sz w:val="16"/>
                <w:szCs w:val="16"/>
                <w:lang w:val="en-GB"/>
              </w:rPr>
            </w:pPr>
          </w:p>
          <w:p w14:paraId="413B1166" w14:textId="77777777" w:rsidR="00BF5143" w:rsidRDefault="00BF5143" w:rsidP="00BF5143">
            <w:pPr>
              <w:rPr>
                <w:iCs/>
                <w:color w:val="000000"/>
                <w:sz w:val="16"/>
                <w:szCs w:val="16"/>
                <w:lang w:val="en-GB"/>
              </w:rPr>
            </w:pPr>
          </w:p>
          <w:p w14:paraId="12174016" w14:textId="77777777" w:rsidR="00BF5143" w:rsidRDefault="00BF5143" w:rsidP="00BF5143">
            <w:pPr>
              <w:rPr>
                <w:iCs/>
                <w:color w:val="000000"/>
                <w:sz w:val="16"/>
                <w:szCs w:val="16"/>
                <w:lang w:val="en-GB"/>
              </w:rPr>
            </w:pPr>
          </w:p>
          <w:p w14:paraId="21025127" w14:textId="77777777" w:rsidR="00EA2398" w:rsidRDefault="00EA2398" w:rsidP="00BF5143">
            <w:pPr>
              <w:rPr>
                <w:iCs/>
                <w:color w:val="000000"/>
                <w:sz w:val="16"/>
                <w:szCs w:val="16"/>
                <w:lang w:val="en-GB"/>
              </w:rPr>
            </w:pPr>
          </w:p>
          <w:p w14:paraId="70F011BE" w14:textId="77777777" w:rsidR="00BF5143" w:rsidRPr="00BF5143" w:rsidRDefault="00BF5143" w:rsidP="00BF5143">
            <w:pPr>
              <w:rPr>
                <w:iCs/>
                <w:color w:val="000000"/>
                <w:sz w:val="16"/>
                <w:szCs w:val="16"/>
                <w:lang w:val="en-GB"/>
              </w:rPr>
            </w:pPr>
          </w:p>
          <w:p w14:paraId="44E5984A" w14:textId="77777777" w:rsidR="00DF11E6" w:rsidRPr="00A366B0" w:rsidRDefault="00DF11E6" w:rsidP="00A366B0">
            <w:pPr>
              <w:rPr>
                <w:iCs/>
                <w:color w:val="000000"/>
                <w:sz w:val="16"/>
                <w:szCs w:val="16"/>
                <w:lang w:val="en-GB"/>
              </w:rPr>
            </w:pPr>
            <w:r w:rsidRPr="00A366B0">
              <w:rPr>
                <w:iCs/>
                <w:color w:val="000000"/>
                <w:sz w:val="16"/>
                <w:szCs w:val="16"/>
                <w:lang w:val="en-GB"/>
              </w:rPr>
              <w:t>Government annual budget reports by sector</w:t>
            </w:r>
            <w:r w:rsidR="009B7459" w:rsidRPr="00A366B0">
              <w:rPr>
                <w:iCs/>
                <w:color w:val="000000"/>
                <w:sz w:val="16"/>
                <w:szCs w:val="16"/>
                <w:lang w:val="en-GB"/>
              </w:rPr>
              <w:t>; local media and informal assessments and verification</w:t>
            </w:r>
          </w:p>
          <w:p w14:paraId="371028DF" w14:textId="77777777" w:rsidR="00DF11E6" w:rsidRDefault="00DF11E6" w:rsidP="00D97046">
            <w:pPr>
              <w:rPr>
                <w:iCs/>
                <w:color w:val="000000"/>
                <w:sz w:val="16"/>
                <w:szCs w:val="16"/>
                <w:lang w:val="en-GB"/>
              </w:rPr>
            </w:pPr>
          </w:p>
          <w:p w14:paraId="01FCD2A0" w14:textId="77777777" w:rsidR="00DF11E6" w:rsidRDefault="00DF11E6" w:rsidP="00D97046">
            <w:pPr>
              <w:rPr>
                <w:iCs/>
                <w:color w:val="000000"/>
                <w:sz w:val="16"/>
                <w:szCs w:val="16"/>
                <w:lang w:val="en-GB"/>
              </w:rPr>
            </w:pPr>
          </w:p>
          <w:p w14:paraId="5B28EEE8" w14:textId="77777777" w:rsidR="00DF11E6" w:rsidRDefault="00DF11E6" w:rsidP="00D97046">
            <w:pPr>
              <w:rPr>
                <w:iCs/>
                <w:color w:val="000000"/>
                <w:sz w:val="16"/>
                <w:szCs w:val="16"/>
                <w:lang w:val="en-GB"/>
              </w:rPr>
            </w:pPr>
          </w:p>
          <w:p w14:paraId="4C622F9F" w14:textId="77777777" w:rsidR="00DF11E6" w:rsidRDefault="00DF11E6" w:rsidP="00D97046">
            <w:pPr>
              <w:rPr>
                <w:iCs/>
                <w:color w:val="000000"/>
                <w:sz w:val="16"/>
                <w:szCs w:val="16"/>
                <w:lang w:val="en-GB"/>
              </w:rPr>
            </w:pPr>
          </w:p>
          <w:p w14:paraId="6DC9C279" w14:textId="77777777" w:rsidR="00DF11E6" w:rsidRDefault="00DF11E6" w:rsidP="00D97046">
            <w:pPr>
              <w:rPr>
                <w:iCs/>
                <w:color w:val="000000"/>
                <w:sz w:val="16"/>
                <w:szCs w:val="16"/>
                <w:lang w:val="en-GB"/>
              </w:rPr>
            </w:pPr>
          </w:p>
          <w:p w14:paraId="70368262" w14:textId="77777777" w:rsidR="00DF11E6" w:rsidRDefault="00DF11E6" w:rsidP="00D97046">
            <w:pPr>
              <w:rPr>
                <w:iCs/>
                <w:color w:val="000000"/>
                <w:sz w:val="16"/>
                <w:szCs w:val="16"/>
                <w:lang w:val="en-GB"/>
              </w:rPr>
            </w:pPr>
          </w:p>
          <w:p w14:paraId="7634CF20" w14:textId="77777777" w:rsidR="00DF11E6" w:rsidRPr="001B487A" w:rsidRDefault="00DF11E6" w:rsidP="001B487A">
            <w:pPr>
              <w:rPr>
                <w:iCs/>
                <w:color w:val="000000"/>
                <w:sz w:val="16"/>
                <w:szCs w:val="16"/>
                <w:lang w:val="en-GB"/>
              </w:rPr>
            </w:pPr>
            <w:r w:rsidRPr="001B487A">
              <w:rPr>
                <w:iCs/>
                <w:color w:val="000000"/>
                <w:sz w:val="16"/>
                <w:szCs w:val="16"/>
                <w:lang w:val="en-GB"/>
              </w:rPr>
              <w:lastRenderedPageBreak/>
              <w:t xml:space="preserve">UNHCR </w:t>
            </w:r>
            <w:r w:rsidR="00BF5143" w:rsidRPr="001B487A">
              <w:rPr>
                <w:iCs/>
                <w:color w:val="000000"/>
                <w:sz w:val="16"/>
                <w:szCs w:val="16"/>
                <w:lang w:val="en-GB"/>
              </w:rPr>
              <w:t xml:space="preserve">quarterly </w:t>
            </w:r>
            <w:r w:rsidRPr="001B487A">
              <w:rPr>
                <w:iCs/>
                <w:color w:val="000000"/>
                <w:sz w:val="16"/>
                <w:szCs w:val="16"/>
                <w:lang w:val="en-GB"/>
              </w:rPr>
              <w:t>reports,</w:t>
            </w:r>
            <w:r w:rsidR="00BF5143" w:rsidRPr="001B487A">
              <w:rPr>
                <w:iCs/>
                <w:color w:val="000000"/>
                <w:sz w:val="16"/>
                <w:szCs w:val="16"/>
                <w:lang w:val="en-GB"/>
              </w:rPr>
              <w:t xml:space="preserve"> OCHA Sitreps,</w:t>
            </w:r>
            <w:r w:rsidRPr="001B487A">
              <w:rPr>
                <w:iCs/>
                <w:color w:val="000000"/>
                <w:sz w:val="16"/>
                <w:szCs w:val="16"/>
                <w:lang w:val="en-GB"/>
              </w:rPr>
              <w:t xml:space="preserve"> Ministry of Social Affairs </w:t>
            </w:r>
            <w:r w:rsidR="00BF5143" w:rsidRPr="001B487A">
              <w:rPr>
                <w:iCs/>
                <w:color w:val="000000"/>
                <w:sz w:val="16"/>
                <w:szCs w:val="16"/>
                <w:lang w:val="en-GB"/>
              </w:rPr>
              <w:t xml:space="preserve">reports </w:t>
            </w:r>
          </w:p>
        </w:tc>
        <w:tc>
          <w:tcPr>
            <w:tcW w:w="1960" w:type="pct"/>
            <w:gridSpan w:val="2"/>
            <w:vMerge w:val="restart"/>
            <w:tcMar>
              <w:top w:w="72" w:type="dxa"/>
              <w:left w:w="144" w:type="dxa"/>
              <w:bottom w:w="72" w:type="dxa"/>
              <w:right w:w="144" w:type="dxa"/>
            </w:tcMar>
          </w:tcPr>
          <w:p w14:paraId="62FB039F" w14:textId="77777777" w:rsidR="00B51C24" w:rsidRPr="006C6258" w:rsidRDefault="00B51C24" w:rsidP="00D97046">
            <w:pPr>
              <w:rPr>
                <w:color w:val="191919"/>
                <w:sz w:val="16"/>
                <w:szCs w:val="16"/>
                <w:lang w:eastAsia="en-GB"/>
              </w:rPr>
            </w:pPr>
            <w:r w:rsidRPr="006C6258">
              <w:rPr>
                <w:b/>
                <w:color w:val="191919"/>
                <w:sz w:val="16"/>
                <w:szCs w:val="16"/>
                <w:lang w:eastAsia="en-GB"/>
              </w:rPr>
              <w:lastRenderedPageBreak/>
              <w:t>Output</w:t>
            </w:r>
            <w:r w:rsidRPr="006C6258">
              <w:rPr>
                <w:color w:val="191919"/>
                <w:sz w:val="16"/>
                <w:szCs w:val="16"/>
                <w:lang w:eastAsia="en-GB"/>
              </w:rPr>
              <w:t xml:space="preserve"> </w:t>
            </w:r>
            <w:r w:rsidR="006D3C02">
              <w:rPr>
                <w:b/>
                <w:color w:val="191919"/>
                <w:sz w:val="16"/>
                <w:szCs w:val="16"/>
                <w:lang w:eastAsia="en-GB"/>
              </w:rPr>
              <w:t>2.1</w:t>
            </w:r>
            <w:r w:rsidRPr="006C6258">
              <w:rPr>
                <w:b/>
                <w:color w:val="191919"/>
                <w:sz w:val="16"/>
                <w:szCs w:val="16"/>
                <w:lang w:eastAsia="en-GB"/>
              </w:rPr>
              <w:t>:</w:t>
            </w:r>
            <w:r w:rsidRPr="006C6258">
              <w:rPr>
                <w:color w:val="191919"/>
                <w:sz w:val="16"/>
                <w:szCs w:val="16"/>
                <w:lang w:eastAsia="en-GB"/>
              </w:rPr>
              <w:t xml:space="preserve"> </w:t>
            </w:r>
            <w:r w:rsidR="004969CC">
              <w:rPr>
                <w:color w:val="191919"/>
                <w:sz w:val="16"/>
                <w:szCs w:val="16"/>
                <w:lang w:eastAsia="en-GB"/>
              </w:rPr>
              <w:t xml:space="preserve">Green growth objectives </w:t>
            </w:r>
            <w:r w:rsidRPr="006C6258">
              <w:rPr>
                <w:color w:val="191919"/>
                <w:sz w:val="16"/>
                <w:szCs w:val="16"/>
                <w:lang w:eastAsia="en-GB"/>
              </w:rPr>
              <w:t xml:space="preserve">are integrated </w:t>
            </w:r>
            <w:r w:rsidR="004348D5" w:rsidRPr="006C6258">
              <w:rPr>
                <w:color w:val="191919"/>
                <w:sz w:val="16"/>
                <w:szCs w:val="16"/>
                <w:lang w:eastAsia="en-GB"/>
              </w:rPr>
              <w:t xml:space="preserve">into sector specific policies at national level </w:t>
            </w:r>
            <w:r w:rsidRPr="006C6258">
              <w:rPr>
                <w:color w:val="191919"/>
                <w:sz w:val="16"/>
                <w:szCs w:val="16"/>
                <w:lang w:eastAsia="en-GB"/>
              </w:rPr>
              <w:t xml:space="preserve"> </w:t>
            </w:r>
          </w:p>
          <w:p w14:paraId="52C6D47C" w14:textId="77777777" w:rsidR="00B51C24" w:rsidRPr="006C6258" w:rsidRDefault="00413779" w:rsidP="00D97046">
            <w:pPr>
              <w:rPr>
                <w:color w:val="191919"/>
                <w:sz w:val="16"/>
                <w:szCs w:val="16"/>
                <w:lang w:eastAsia="en-GB"/>
              </w:rPr>
            </w:pPr>
            <w:r w:rsidRPr="006C6258">
              <w:rPr>
                <w:b/>
                <w:color w:val="191919"/>
                <w:sz w:val="16"/>
                <w:szCs w:val="16"/>
                <w:lang w:eastAsia="en-GB"/>
              </w:rPr>
              <w:t>Indicator 2.2</w:t>
            </w:r>
            <w:r w:rsidR="00B51C24" w:rsidRPr="006C6258">
              <w:rPr>
                <w:b/>
                <w:color w:val="191919"/>
                <w:sz w:val="16"/>
                <w:szCs w:val="16"/>
                <w:lang w:eastAsia="en-GB"/>
              </w:rPr>
              <w:t>:</w:t>
            </w:r>
            <w:r w:rsidR="00B51C24" w:rsidRPr="006C6258">
              <w:rPr>
                <w:color w:val="191919"/>
                <w:sz w:val="16"/>
                <w:szCs w:val="16"/>
                <w:lang w:eastAsia="en-GB"/>
              </w:rPr>
              <w:t xml:space="preserve"> </w:t>
            </w:r>
            <w:r w:rsidR="004969CC">
              <w:rPr>
                <w:color w:val="191919"/>
                <w:sz w:val="16"/>
                <w:szCs w:val="16"/>
                <w:lang w:eastAsia="en-GB"/>
              </w:rPr>
              <w:t>Number of tar</w:t>
            </w:r>
            <w:r w:rsidR="00834C11">
              <w:rPr>
                <w:color w:val="191919"/>
                <w:sz w:val="16"/>
                <w:szCs w:val="16"/>
                <w:lang w:eastAsia="en-GB"/>
              </w:rPr>
              <w:t>get sectors with specific policies</w:t>
            </w:r>
            <w:r w:rsidR="004969CC">
              <w:rPr>
                <w:color w:val="191919"/>
                <w:sz w:val="16"/>
                <w:szCs w:val="16"/>
                <w:lang w:eastAsia="en-GB"/>
              </w:rPr>
              <w:t xml:space="preserve"> oriented towards green growth </w:t>
            </w:r>
          </w:p>
          <w:p w14:paraId="30D27E34" w14:textId="77777777" w:rsidR="00B51C24" w:rsidRPr="006C6258" w:rsidRDefault="00B51C24" w:rsidP="00D97046">
            <w:pPr>
              <w:rPr>
                <w:color w:val="191919"/>
                <w:sz w:val="16"/>
                <w:szCs w:val="16"/>
                <w:lang w:eastAsia="en-GB"/>
              </w:rPr>
            </w:pPr>
            <w:r w:rsidRPr="006C6258">
              <w:rPr>
                <w:b/>
                <w:color w:val="191919"/>
                <w:sz w:val="16"/>
                <w:szCs w:val="16"/>
                <w:lang w:eastAsia="en-GB"/>
              </w:rPr>
              <w:t>Baseline:</w:t>
            </w:r>
            <w:r w:rsidRPr="006C6258">
              <w:rPr>
                <w:color w:val="191919"/>
                <w:sz w:val="16"/>
                <w:szCs w:val="16"/>
                <w:lang w:eastAsia="en-GB"/>
              </w:rPr>
              <w:t xml:space="preserve"> </w:t>
            </w:r>
            <w:r w:rsidR="004969CC">
              <w:rPr>
                <w:color w:val="191919"/>
                <w:sz w:val="16"/>
                <w:szCs w:val="16"/>
                <w:lang w:eastAsia="en-GB"/>
              </w:rPr>
              <w:t xml:space="preserve">1 </w:t>
            </w:r>
            <w:r w:rsidR="00FC7305">
              <w:rPr>
                <w:color w:val="191919"/>
                <w:sz w:val="16"/>
                <w:szCs w:val="16"/>
                <w:lang w:eastAsia="en-GB"/>
              </w:rPr>
              <w:t>Agriculture (PNIASAN, 2013)</w:t>
            </w:r>
          </w:p>
          <w:p w14:paraId="16404C9D" w14:textId="77777777" w:rsidR="00B51C24" w:rsidRPr="006C6258" w:rsidRDefault="00B51C24" w:rsidP="00D97046">
            <w:pPr>
              <w:rPr>
                <w:color w:val="191919"/>
                <w:sz w:val="16"/>
                <w:szCs w:val="16"/>
                <w:lang w:eastAsia="en-GB"/>
              </w:rPr>
            </w:pPr>
            <w:r w:rsidRPr="006C6258">
              <w:rPr>
                <w:b/>
                <w:color w:val="191919"/>
                <w:sz w:val="16"/>
                <w:szCs w:val="16"/>
                <w:lang w:eastAsia="en-GB"/>
              </w:rPr>
              <w:t>Target:</w:t>
            </w:r>
            <w:r w:rsidR="003E097E" w:rsidRPr="006C6258">
              <w:rPr>
                <w:color w:val="191919"/>
                <w:sz w:val="16"/>
                <w:szCs w:val="16"/>
                <w:lang w:eastAsia="en-GB"/>
              </w:rPr>
              <w:t xml:space="preserve"> </w:t>
            </w:r>
            <w:r w:rsidR="00FC7305">
              <w:rPr>
                <w:color w:val="191919"/>
                <w:sz w:val="16"/>
                <w:szCs w:val="16"/>
                <w:lang w:eastAsia="en-GB"/>
              </w:rPr>
              <w:t>3</w:t>
            </w:r>
            <w:r w:rsidR="004969CC">
              <w:rPr>
                <w:color w:val="191919"/>
                <w:sz w:val="16"/>
                <w:szCs w:val="16"/>
                <w:lang w:eastAsia="en-GB"/>
              </w:rPr>
              <w:t xml:space="preserve"> (2021): </w:t>
            </w:r>
            <w:r w:rsidR="003E097E" w:rsidRPr="006C6258">
              <w:rPr>
                <w:color w:val="191919"/>
                <w:sz w:val="16"/>
                <w:szCs w:val="16"/>
                <w:lang w:eastAsia="en-GB"/>
              </w:rPr>
              <w:t>E</w:t>
            </w:r>
            <w:r w:rsidRPr="006C6258">
              <w:rPr>
                <w:color w:val="191919"/>
                <w:sz w:val="16"/>
                <w:szCs w:val="16"/>
                <w:lang w:eastAsia="en-GB"/>
              </w:rPr>
              <w:t>nergy, forestry</w:t>
            </w:r>
            <w:r w:rsidR="00854829">
              <w:rPr>
                <w:color w:val="191919"/>
                <w:sz w:val="16"/>
                <w:szCs w:val="16"/>
                <w:lang w:eastAsia="en-GB"/>
              </w:rPr>
              <w:t xml:space="preserve"> and</w:t>
            </w:r>
            <w:r w:rsidRPr="006C6258">
              <w:rPr>
                <w:color w:val="191919"/>
                <w:sz w:val="16"/>
                <w:szCs w:val="16"/>
                <w:lang w:eastAsia="en-GB"/>
              </w:rPr>
              <w:t xml:space="preserve"> </w:t>
            </w:r>
            <w:r w:rsidR="004177E4">
              <w:rPr>
                <w:color w:val="191919"/>
                <w:sz w:val="16"/>
                <w:szCs w:val="16"/>
                <w:lang w:eastAsia="en-GB"/>
              </w:rPr>
              <w:t xml:space="preserve">mining </w:t>
            </w:r>
          </w:p>
          <w:p w14:paraId="3BC7CD98" w14:textId="77777777" w:rsidR="00935EB9" w:rsidRPr="006C6258" w:rsidRDefault="00935EB9" w:rsidP="00D97046">
            <w:pPr>
              <w:rPr>
                <w:b/>
                <w:color w:val="191919"/>
                <w:sz w:val="16"/>
                <w:szCs w:val="16"/>
                <w:lang w:eastAsia="en-GB"/>
              </w:rPr>
            </w:pPr>
          </w:p>
          <w:p w14:paraId="7B2720A6" w14:textId="77777777" w:rsidR="00B51C24" w:rsidRPr="006C6258" w:rsidRDefault="006D3C02" w:rsidP="00D97046">
            <w:pPr>
              <w:rPr>
                <w:color w:val="191919"/>
                <w:sz w:val="16"/>
                <w:szCs w:val="16"/>
                <w:lang w:eastAsia="en-GB"/>
              </w:rPr>
            </w:pPr>
            <w:r>
              <w:rPr>
                <w:b/>
                <w:color w:val="191919"/>
                <w:sz w:val="16"/>
                <w:szCs w:val="16"/>
                <w:lang w:eastAsia="en-GB"/>
              </w:rPr>
              <w:t>Output 2.2</w:t>
            </w:r>
            <w:r w:rsidR="00B51C24" w:rsidRPr="006C6258">
              <w:rPr>
                <w:b/>
                <w:color w:val="191919"/>
                <w:sz w:val="16"/>
                <w:szCs w:val="16"/>
                <w:lang w:eastAsia="en-GB"/>
              </w:rPr>
              <w:t>:</w:t>
            </w:r>
            <w:r w:rsidR="00B51C24" w:rsidRPr="006C6258">
              <w:rPr>
                <w:color w:val="191919"/>
                <w:sz w:val="16"/>
                <w:szCs w:val="16"/>
                <w:lang w:eastAsia="en-GB"/>
              </w:rPr>
              <w:t xml:space="preserve"> </w:t>
            </w:r>
            <w:r w:rsidR="0021228C">
              <w:rPr>
                <w:color w:val="191919"/>
                <w:sz w:val="16"/>
                <w:szCs w:val="16"/>
                <w:lang w:eastAsia="en-GB"/>
              </w:rPr>
              <w:t>Increased transparency in the forestry and mining sectors</w:t>
            </w:r>
          </w:p>
          <w:p w14:paraId="271C77BE" w14:textId="77777777" w:rsidR="00B51C24" w:rsidRPr="0021228C" w:rsidRDefault="00413779" w:rsidP="00D97046">
            <w:pPr>
              <w:rPr>
                <w:color w:val="191919"/>
                <w:sz w:val="16"/>
                <w:szCs w:val="16"/>
                <w:lang w:eastAsia="en-GB"/>
              </w:rPr>
            </w:pPr>
            <w:r w:rsidRPr="0021228C">
              <w:rPr>
                <w:b/>
                <w:color w:val="191919"/>
                <w:sz w:val="16"/>
                <w:szCs w:val="16"/>
                <w:lang w:eastAsia="en-GB"/>
              </w:rPr>
              <w:t>Indicator 2.3</w:t>
            </w:r>
            <w:r w:rsidR="00B51C24" w:rsidRPr="0021228C">
              <w:rPr>
                <w:b/>
                <w:color w:val="191919"/>
                <w:sz w:val="16"/>
                <w:szCs w:val="16"/>
                <w:lang w:eastAsia="en-GB"/>
              </w:rPr>
              <w:t>:</w:t>
            </w:r>
            <w:r w:rsidR="00BF5143" w:rsidRPr="0021228C">
              <w:rPr>
                <w:color w:val="191919"/>
                <w:sz w:val="16"/>
                <w:szCs w:val="16"/>
                <w:lang w:eastAsia="en-GB"/>
              </w:rPr>
              <w:t xml:space="preserve"> </w:t>
            </w:r>
            <w:r w:rsidR="00053F0A">
              <w:rPr>
                <w:color w:val="191919"/>
                <w:sz w:val="16"/>
                <w:szCs w:val="16"/>
                <w:lang w:eastAsia="en-GB"/>
              </w:rPr>
              <w:t xml:space="preserve">Number of </w:t>
            </w:r>
            <w:r w:rsidR="00FC7305">
              <w:rPr>
                <w:color w:val="191919"/>
                <w:sz w:val="16"/>
                <w:szCs w:val="16"/>
                <w:lang w:eastAsia="en-GB"/>
              </w:rPr>
              <w:t>corrective measures proposed</w:t>
            </w:r>
            <w:r w:rsidR="00053F0A">
              <w:rPr>
                <w:color w:val="191919"/>
                <w:sz w:val="16"/>
                <w:szCs w:val="16"/>
                <w:lang w:eastAsia="en-GB"/>
              </w:rPr>
              <w:t xml:space="preserve"> by the High Authority on Good Governance to mitigate corruption risks in the forestry and mining sectors (SP</w:t>
            </w:r>
            <w:r w:rsidR="00F7610B">
              <w:rPr>
                <w:color w:val="191919"/>
                <w:sz w:val="16"/>
                <w:szCs w:val="16"/>
                <w:lang w:eastAsia="en-GB"/>
              </w:rPr>
              <w:t xml:space="preserve"> 2.2.2)</w:t>
            </w:r>
          </w:p>
          <w:p w14:paraId="0A2A7C2F" w14:textId="77777777" w:rsidR="00492BEE" w:rsidRPr="0021228C" w:rsidRDefault="00B51C24" w:rsidP="00D97046">
            <w:pPr>
              <w:rPr>
                <w:color w:val="191919"/>
                <w:sz w:val="16"/>
                <w:szCs w:val="16"/>
                <w:lang w:eastAsia="en-GB"/>
              </w:rPr>
            </w:pPr>
            <w:r w:rsidRPr="0021228C">
              <w:rPr>
                <w:b/>
                <w:color w:val="191919"/>
                <w:sz w:val="16"/>
                <w:szCs w:val="16"/>
                <w:lang w:eastAsia="en-GB"/>
              </w:rPr>
              <w:t>Baseline:</w:t>
            </w:r>
            <w:r w:rsidR="000470E6" w:rsidRPr="0021228C">
              <w:rPr>
                <w:color w:val="191919"/>
                <w:sz w:val="16"/>
                <w:szCs w:val="16"/>
                <w:lang w:eastAsia="en-GB"/>
              </w:rPr>
              <w:t xml:space="preserve"> </w:t>
            </w:r>
            <w:r w:rsidR="00F7610B">
              <w:rPr>
                <w:color w:val="191919"/>
                <w:sz w:val="16"/>
                <w:szCs w:val="16"/>
                <w:lang w:eastAsia="en-GB"/>
              </w:rPr>
              <w:t xml:space="preserve"> 0 (2017)</w:t>
            </w:r>
            <w:r w:rsidR="00214494" w:rsidRPr="0021228C">
              <w:rPr>
                <w:color w:val="191919"/>
                <w:sz w:val="16"/>
                <w:szCs w:val="16"/>
                <w:lang w:eastAsia="en-GB"/>
              </w:rPr>
              <w:t xml:space="preserve">         </w:t>
            </w:r>
          </w:p>
          <w:p w14:paraId="1AEAC77B" w14:textId="77777777" w:rsidR="008D1371" w:rsidRPr="00DF11E6" w:rsidRDefault="00B51C24" w:rsidP="00D97046">
            <w:pPr>
              <w:rPr>
                <w:color w:val="191919"/>
                <w:sz w:val="16"/>
                <w:szCs w:val="16"/>
                <w:lang w:eastAsia="en-GB"/>
              </w:rPr>
            </w:pPr>
            <w:r w:rsidRPr="0021228C">
              <w:rPr>
                <w:b/>
                <w:color w:val="191919"/>
                <w:sz w:val="16"/>
                <w:szCs w:val="16"/>
                <w:lang w:eastAsia="en-GB"/>
              </w:rPr>
              <w:t>Target:</w:t>
            </w:r>
            <w:r w:rsidR="004453FC" w:rsidRPr="00DF11E6">
              <w:rPr>
                <w:color w:val="191919"/>
                <w:sz w:val="16"/>
                <w:szCs w:val="16"/>
                <w:lang w:eastAsia="en-GB"/>
              </w:rPr>
              <w:t xml:space="preserve"> </w:t>
            </w:r>
            <w:r w:rsidR="008D1371" w:rsidRPr="00DF11E6">
              <w:rPr>
                <w:color w:val="191919"/>
                <w:sz w:val="16"/>
                <w:szCs w:val="16"/>
                <w:lang w:eastAsia="en-GB"/>
              </w:rPr>
              <w:t xml:space="preserve"> </w:t>
            </w:r>
            <w:r w:rsidR="00214494" w:rsidRPr="00DF11E6">
              <w:rPr>
                <w:color w:val="191919"/>
                <w:sz w:val="16"/>
                <w:szCs w:val="16"/>
                <w:lang w:eastAsia="en-GB"/>
              </w:rPr>
              <w:t xml:space="preserve"> </w:t>
            </w:r>
            <w:r w:rsidR="00F7610B">
              <w:rPr>
                <w:color w:val="191919"/>
                <w:sz w:val="16"/>
                <w:szCs w:val="16"/>
                <w:lang w:eastAsia="en-GB"/>
              </w:rPr>
              <w:t xml:space="preserve">  8 (2021)</w:t>
            </w:r>
          </w:p>
          <w:p w14:paraId="3BF37A33" w14:textId="77777777" w:rsidR="00B51C24" w:rsidRDefault="00B51C24" w:rsidP="008D1371">
            <w:pPr>
              <w:rPr>
                <w:color w:val="191919"/>
                <w:sz w:val="16"/>
                <w:szCs w:val="16"/>
                <w:lang w:eastAsia="en-GB"/>
              </w:rPr>
            </w:pPr>
          </w:p>
          <w:p w14:paraId="06A3B911" w14:textId="77777777" w:rsidR="006D3C02" w:rsidRDefault="006D3C02" w:rsidP="008D1371">
            <w:pPr>
              <w:rPr>
                <w:color w:val="191919"/>
                <w:sz w:val="16"/>
                <w:szCs w:val="16"/>
                <w:lang w:eastAsia="en-GB"/>
              </w:rPr>
            </w:pPr>
          </w:p>
          <w:p w14:paraId="51FF800A" w14:textId="77777777" w:rsidR="00EA2398" w:rsidRDefault="00EA2398" w:rsidP="008D1371">
            <w:pPr>
              <w:rPr>
                <w:color w:val="191919"/>
                <w:sz w:val="16"/>
                <w:szCs w:val="16"/>
                <w:lang w:eastAsia="en-GB"/>
              </w:rPr>
            </w:pPr>
          </w:p>
          <w:p w14:paraId="51DFE8AE" w14:textId="77777777" w:rsidR="00484522" w:rsidRDefault="00484522" w:rsidP="006D3C02">
            <w:pPr>
              <w:rPr>
                <w:b/>
                <w:color w:val="191919"/>
                <w:sz w:val="16"/>
                <w:szCs w:val="16"/>
                <w:lang w:eastAsia="en-GB"/>
              </w:rPr>
            </w:pPr>
          </w:p>
          <w:p w14:paraId="15EE4E61" w14:textId="77777777" w:rsidR="0021228C" w:rsidRDefault="0021228C" w:rsidP="006D3C02">
            <w:pPr>
              <w:rPr>
                <w:b/>
                <w:color w:val="191919"/>
                <w:sz w:val="16"/>
                <w:szCs w:val="16"/>
                <w:lang w:eastAsia="en-GB"/>
              </w:rPr>
            </w:pPr>
          </w:p>
          <w:p w14:paraId="724199AE" w14:textId="77777777" w:rsidR="006D3C02" w:rsidRPr="006C6258" w:rsidRDefault="006D3C02" w:rsidP="006D3C02">
            <w:pPr>
              <w:rPr>
                <w:color w:val="191919"/>
                <w:sz w:val="16"/>
                <w:szCs w:val="16"/>
                <w:lang w:eastAsia="en-GB"/>
              </w:rPr>
            </w:pPr>
            <w:r w:rsidRPr="006C6258">
              <w:rPr>
                <w:b/>
                <w:color w:val="191919"/>
                <w:sz w:val="16"/>
                <w:szCs w:val="16"/>
                <w:lang w:eastAsia="en-GB"/>
              </w:rPr>
              <w:lastRenderedPageBreak/>
              <w:t>Output 2.</w:t>
            </w:r>
            <w:r>
              <w:rPr>
                <w:b/>
                <w:color w:val="191919"/>
                <w:sz w:val="16"/>
                <w:szCs w:val="16"/>
                <w:lang w:eastAsia="en-GB"/>
              </w:rPr>
              <w:t>3</w:t>
            </w:r>
            <w:r w:rsidRPr="006C6258">
              <w:rPr>
                <w:b/>
                <w:color w:val="191919"/>
                <w:sz w:val="16"/>
                <w:szCs w:val="16"/>
                <w:lang w:eastAsia="en-GB"/>
              </w:rPr>
              <w:t>:</w:t>
            </w:r>
            <w:r w:rsidRPr="006C6258">
              <w:rPr>
                <w:color w:val="191919"/>
                <w:sz w:val="16"/>
                <w:szCs w:val="16"/>
                <w:lang w:eastAsia="en-GB"/>
              </w:rPr>
              <w:t xml:space="preserve"> </w:t>
            </w:r>
            <w:r w:rsidR="00214494">
              <w:rPr>
                <w:color w:val="191919"/>
                <w:sz w:val="16"/>
                <w:szCs w:val="16"/>
                <w:lang w:eastAsia="en-GB"/>
              </w:rPr>
              <w:t>Vulnerable populations including r</w:t>
            </w:r>
            <w:r w:rsidRPr="006C6258">
              <w:rPr>
                <w:color w:val="191919"/>
                <w:sz w:val="16"/>
                <w:szCs w:val="16"/>
                <w:lang w:eastAsia="en-GB"/>
              </w:rPr>
              <w:t>eturning refugees, displaced persons, ex-combatants, women and youth have access to</w:t>
            </w:r>
            <w:r w:rsidR="00214494">
              <w:rPr>
                <w:color w:val="191919"/>
                <w:sz w:val="16"/>
                <w:szCs w:val="16"/>
                <w:lang w:eastAsia="en-GB"/>
              </w:rPr>
              <w:t xml:space="preserve"> </w:t>
            </w:r>
            <w:r w:rsidRPr="006C6258">
              <w:rPr>
                <w:color w:val="191919"/>
                <w:sz w:val="16"/>
                <w:szCs w:val="16"/>
                <w:lang w:eastAsia="en-GB"/>
              </w:rPr>
              <w:t>livelihoods opportunities</w:t>
            </w:r>
            <w:r w:rsidR="007B4AC8">
              <w:rPr>
                <w:color w:val="191919"/>
                <w:sz w:val="16"/>
                <w:szCs w:val="16"/>
                <w:lang w:eastAsia="en-GB"/>
              </w:rPr>
              <w:t xml:space="preserve"> and sustainable employment</w:t>
            </w:r>
          </w:p>
          <w:p w14:paraId="59B19C20" w14:textId="77777777" w:rsidR="006D3C02" w:rsidRPr="006D3C02" w:rsidRDefault="006D3C02" w:rsidP="006D3C02">
            <w:pPr>
              <w:pStyle w:val="CommentText"/>
            </w:pPr>
            <w:r w:rsidRPr="006C6258">
              <w:rPr>
                <w:b/>
                <w:color w:val="191919"/>
                <w:sz w:val="16"/>
                <w:szCs w:val="16"/>
                <w:lang w:eastAsia="en-GB"/>
              </w:rPr>
              <w:t>Indicator 2.</w:t>
            </w:r>
            <w:r>
              <w:rPr>
                <w:b/>
                <w:color w:val="191919"/>
                <w:sz w:val="16"/>
                <w:szCs w:val="16"/>
                <w:lang w:eastAsia="en-GB"/>
              </w:rPr>
              <w:t>3</w:t>
            </w:r>
            <w:r w:rsidRPr="006C6258">
              <w:rPr>
                <w:b/>
                <w:color w:val="191919"/>
                <w:sz w:val="16"/>
                <w:szCs w:val="16"/>
                <w:lang w:eastAsia="en-GB"/>
              </w:rPr>
              <w:t>:</w:t>
            </w:r>
            <w:r w:rsidRPr="006C6258">
              <w:rPr>
                <w:color w:val="191919"/>
                <w:sz w:val="16"/>
                <w:szCs w:val="16"/>
                <w:lang w:eastAsia="en-GB"/>
              </w:rPr>
              <w:t xml:space="preserve"> </w:t>
            </w:r>
            <w:r w:rsidRPr="006D3C02">
              <w:rPr>
                <w:color w:val="191919"/>
                <w:sz w:val="16"/>
                <w:szCs w:val="16"/>
                <w:lang w:eastAsia="en-GB"/>
              </w:rPr>
              <w:t>Number of people benefitting from emergency jobs and other livelihoods in crisis or post-crisis settings, disaggregated by sex</w:t>
            </w:r>
            <w:r>
              <w:rPr>
                <w:color w:val="191919"/>
                <w:sz w:val="16"/>
                <w:szCs w:val="16"/>
                <w:lang w:eastAsia="en-GB"/>
              </w:rPr>
              <w:t xml:space="preserve"> (SP </w:t>
            </w:r>
            <w:r w:rsidRPr="006D3C02">
              <w:rPr>
                <w:color w:val="191919"/>
                <w:sz w:val="16"/>
                <w:szCs w:val="16"/>
                <w:lang w:eastAsia="en-GB"/>
              </w:rPr>
              <w:t>6.1.1.A</w:t>
            </w:r>
            <w:r>
              <w:rPr>
                <w:color w:val="191919"/>
                <w:sz w:val="16"/>
                <w:szCs w:val="16"/>
                <w:lang w:eastAsia="en-GB"/>
              </w:rPr>
              <w:t>)</w:t>
            </w:r>
          </w:p>
          <w:p w14:paraId="0DBF5178" w14:textId="77777777" w:rsidR="006D3C02" w:rsidRPr="006C6258" w:rsidRDefault="006D3C02" w:rsidP="006D3C02">
            <w:pPr>
              <w:rPr>
                <w:color w:val="191919"/>
                <w:sz w:val="16"/>
                <w:szCs w:val="16"/>
                <w:lang w:eastAsia="en-GB"/>
              </w:rPr>
            </w:pPr>
            <w:r w:rsidRPr="006C6258">
              <w:rPr>
                <w:b/>
                <w:color w:val="191919"/>
                <w:sz w:val="16"/>
                <w:szCs w:val="16"/>
                <w:lang w:eastAsia="en-GB"/>
              </w:rPr>
              <w:t>Baseline:</w:t>
            </w:r>
            <w:r>
              <w:rPr>
                <w:color w:val="191919"/>
                <w:sz w:val="16"/>
                <w:szCs w:val="16"/>
                <w:lang w:eastAsia="en-GB"/>
              </w:rPr>
              <w:t xml:space="preserve"> </w:t>
            </w:r>
            <w:r w:rsidR="00FC7305">
              <w:rPr>
                <w:color w:val="191919"/>
                <w:sz w:val="16"/>
                <w:szCs w:val="16"/>
                <w:lang w:eastAsia="en-GB"/>
              </w:rPr>
              <w:t>2,619</w:t>
            </w:r>
            <w:r w:rsidRPr="006C6258">
              <w:rPr>
                <w:color w:val="191919"/>
                <w:sz w:val="16"/>
                <w:szCs w:val="16"/>
                <w:lang w:eastAsia="en-GB"/>
              </w:rPr>
              <w:t xml:space="preserve"> </w:t>
            </w:r>
            <w:r w:rsidR="004969CC">
              <w:rPr>
                <w:color w:val="191919"/>
                <w:sz w:val="16"/>
                <w:szCs w:val="16"/>
                <w:lang w:eastAsia="en-GB"/>
              </w:rPr>
              <w:t xml:space="preserve"> (</w:t>
            </w:r>
            <w:r w:rsidR="00FC7305">
              <w:rPr>
                <w:color w:val="191919"/>
                <w:sz w:val="16"/>
                <w:szCs w:val="16"/>
                <w:lang w:eastAsia="en-GB"/>
              </w:rPr>
              <w:t>1,057</w:t>
            </w:r>
            <w:r w:rsidR="004969CC">
              <w:rPr>
                <w:color w:val="191919"/>
                <w:sz w:val="16"/>
                <w:szCs w:val="16"/>
                <w:lang w:eastAsia="en-GB"/>
              </w:rPr>
              <w:t xml:space="preserve"> women/</w:t>
            </w:r>
            <w:r w:rsidR="00FC7305">
              <w:rPr>
                <w:color w:val="191919"/>
                <w:sz w:val="16"/>
                <w:szCs w:val="16"/>
                <w:lang w:eastAsia="en-GB"/>
              </w:rPr>
              <w:t>1,569</w:t>
            </w:r>
            <w:r w:rsidR="004969CC">
              <w:rPr>
                <w:color w:val="191919"/>
                <w:sz w:val="16"/>
                <w:szCs w:val="16"/>
                <w:lang w:eastAsia="en-GB"/>
              </w:rPr>
              <w:t xml:space="preserve"> men)</w:t>
            </w:r>
            <w:r w:rsidRPr="006C6258">
              <w:rPr>
                <w:color w:val="191919"/>
                <w:sz w:val="16"/>
                <w:szCs w:val="16"/>
                <w:lang w:eastAsia="en-GB"/>
              </w:rPr>
              <w:t xml:space="preserve"> (2016)</w:t>
            </w:r>
          </w:p>
          <w:p w14:paraId="7FA513E6" w14:textId="77777777" w:rsidR="006D3C02" w:rsidRPr="001B487A" w:rsidRDefault="006D3C02" w:rsidP="001B487A">
            <w:pPr>
              <w:rPr>
                <w:color w:val="191919"/>
                <w:sz w:val="16"/>
                <w:szCs w:val="16"/>
                <w:lang w:eastAsia="en-GB"/>
              </w:rPr>
            </w:pPr>
            <w:r w:rsidRPr="006C6258">
              <w:rPr>
                <w:b/>
                <w:color w:val="191919"/>
                <w:sz w:val="16"/>
                <w:szCs w:val="16"/>
                <w:lang w:eastAsia="en-GB"/>
              </w:rPr>
              <w:t>Target:</w:t>
            </w:r>
            <w:r w:rsidRPr="006C6258">
              <w:rPr>
                <w:color w:val="191919"/>
                <w:sz w:val="16"/>
                <w:szCs w:val="16"/>
                <w:lang w:eastAsia="en-GB"/>
              </w:rPr>
              <w:t xml:space="preserve"> </w:t>
            </w:r>
            <w:r w:rsidR="00BF5143">
              <w:rPr>
                <w:color w:val="191919"/>
                <w:sz w:val="16"/>
                <w:szCs w:val="16"/>
                <w:lang w:eastAsia="en-GB"/>
              </w:rPr>
              <w:t xml:space="preserve">  </w:t>
            </w:r>
            <w:r w:rsidR="00FC7305">
              <w:rPr>
                <w:color w:val="191919"/>
                <w:sz w:val="16"/>
                <w:szCs w:val="16"/>
                <w:lang w:eastAsia="en-GB"/>
              </w:rPr>
              <w:t>25,</w:t>
            </w:r>
            <w:r w:rsidRPr="006C6258">
              <w:rPr>
                <w:color w:val="191919"/>
                <w:sz w:val="16"/>
                <w:szCs w:val="16"/>
                <w:lang w:eastAsia="en-GB"/>
              </w:rPr>
              <w:t>000 temporary jobs</w:t>
            </w:r>
            <w:r w:rsidR="004969CC">
              <w:rPr>
                <w:color w:val="191919"/>
                <w:sz w:val="16"/>
                <w:szCs w:val="16"/>
                <w:lang w:eastAsia="en-GB"/>
              </w:rPr>
              <w:t xml:space="preserve"> (</w:t>
            </w:r>
            <w:r w:rsidR="00FC7305">
              <w:rPr>
                <w:color w:val="191919"/>
                <w:sz w:val="16"/>
                <w:szCs w:val="16"/>
                <w:lang w:eastAsia="en-GB"/>
              </w:rPr>
              <w:t>12</w:t>
            </w:r>
            <w:r w:rsidR="004969CC">
              <w:rPr>
                <w:color w:val="191919"/>
                <w:sz w:val="16"/>
                <w:szCs w:val="16"/>
                <w:lang w:eastAsia="en-GB"/>
              </w:rPr>
              <w:t>,</w:t>
            </w:r>
            <w:r w:rsidR="00FC7305">
              <w:rPr>
                <w:color w:val="191919"/>
                <w:sz w:val="16"/>
                <w:szCs w:val="16"/>
                <w:lang w:eastAsia="en-GB"/>
              </w:rPr>
              <w:t>75</w:t>
            </w:r>
            <w:r w:rsidR="004969CC">
              <w:rPr>
                <w:color w:val="191919"/>
                <w:sz w:val="16"/>
                <w:szCs w:val="16"/>
                <w:lang w:eastAsia="en-GB"/>
              </w:rPr>
              <w:t>0 women/</w:t>
            </w:r>
            <w:r w:rsidR="00FC7305">
              <w:rPr>
                <w:color w:val="191919"/>
                <w:sz w:val="16"/>
                <w:szCs w:val="16"/>
                <w:lang w:eastAsia="en-GB"/>
              </w:rPr>
              <w:t>12</w:t>
            </w:r>
            <w:r w:rsidR="004969CC">
              <w:rPr>
                <w:color w:val="191919"/>
                <w:sz w:val="16"/>
                <w:szCs w:val="16"/>
                <w:lang w:eastAsia="en-GB"/>
              </w:rPr>
              <w:t>,</w:t>
            </w:r>
            <w:r w:rsidR="00FC7305">
              <w:rPr>
                <w:color w:val="191919"/>
                <w:sz w:val="16"/>
                <w:szCs w:val="16"/>
                <w:lang w:eastAsia="en-GB"/>
              </w:rPr>
              <w:t>25</w:t>
            </w:r>
            <w:r w:rsidR="004969CC">
              <w:rPr>
                <w:color w:val="191919"/>
                <w:sz w:val="16"/>
                <w:szCs w:val="16"/>
                <w:lang w:eastAsia="en-GB"/>
              </w:rPr>
              <w:t xml:space="preserve">0 men) </w:t>
            </w:r>
            <w:r w:rsidRPr="006C6258">
              <w:rPr>
                <w:color w:val="191919"/>
                <w:sz w:val="16"/>
                <w:szCs w:val="16"/>
                <w:lang w:eastAsia="en-GB"/>
              </w:rPr>
              <w:t xml:space="preserve"> (2021)</w:t>
            </w:r>
          </w:p>
        </w:tc>
        <w:tc>
          <w:tcPr>
            <w:tcW w:w="801" w:type="pct"/>
            <w:gridSpan w:val="3"/>
            <w:vMerge w:val="restart"/>
          </w:tcPr>
          <w:p w14:paraId="7AF95E4E" w14:textId="77777777" w:rsidR="00B51C24" w:rsidRPr="006C6258" w:rsidRDefault="00B51C24" w:rsidP="00D97046">
            <w:pPr>
              <w:rPr>
                <w:color w:val="191919"/>
                <w:sz w:val="16"/>
                <w:szCs w:val="16"/>
                <w:lang w:eastAsia="en-GB"/>
              </w:rPr>
            </w:pPr>
            <w:r w:rsidRPr="006C6258">
              <w:rPr>
                <w:color w:val="191919"/>
                <w:sz w:val="16"/>
                <w:szCs w:val="16"/>
                <w:lang w:eastAsia="en-GB"/>
              </w:rPr>
              <w:lastRenderedPageBreak/>
              <w:t>High Authority on Good Governance, Ministry of Planning, Ministry of</w:t>
            </w:r>
            <w:r w:rsidR="00D97046" w:rsidRPr="006C6258">
              <w:rPr>
                <w:color w:val="191919"/>
                <w:sz w:val="16"/>
                <w:szCs w:val="16"/>
                <w:lang w:eastAsia="en-GB"/>
              </w:rPr>
              <w:t xml:space="preserve"> Environment, Ministry of Water</w:t>
            </w:r>
            <w:r w:rsidRPr="006C6258">
              <w:rPr>
                <w:color w:val="191919"/>
                <w:sz w:val="16"/>
                <w:szCs w:val="16"/>
                <w:lang w:eastAsia="en-GB"/>
              </w:rPr>
              <w:t xml:space="preserve">, Forests and Hunting, </w:t>
            </w:r>
          </w:p>
          <w:p w14:paraId="4BA3CB00" w14:textId="77777777" w:rsidR="00B51C24" w:rsidRPr="006C6258" w:rsidRDefault="00B51C24" w:rsidP="00D97046">
            <w:pPr>
              <w:rPr>
                <w:color w:val="191919"/>
                <w:sz w:val="16"/>
                <w:szCs w:val="16"/>
                <w:lang w:eastAsia="en-GB"/>
              </w:rPr>
            </w:pPr>
            <w:r w:rsidRPr="006C6258">
              <w:rPr>
                <w:color w:val="191919"/>
                <w:sz w:val="16"/>
                <w:szCs w:val="16"/>
                <w:lang w:eastAsia="en-GB"/>
              </w:rPr>
              <w:t xml:space="preserve">Ministry of Energy, Ministry of Mines, Ministry of Agriculture and Livestock, </w:t>
            </w:r>
          </w:p>
          <w:p w14:paraId="65AF91CB" w14:textId="77777777" w:rsidR="00B51C24" w:rsidRPr="006C6258" w:rsidRDefault="00B51C24" w:rsidP="00D97046">
            <w:pPr>
              <w:rPr>
                <w:color w:val="191919"/>
                <w:sz w:val="16"/>
                <w:szCs w:val="16"/>
                <w:lang w:eastAsia="en-GB"/>
              </w:rPr>
            </w:pPr>
            <w:r w:rsidRPr="006C6258">
              <w:rPr>
                <w:color w:val="191919"/>
                <w:sz w:val="16"/>
                <w:szCs w:val="16"/>
                <w:lang w:eastAsia="en-GB"/>
              </w:rPr>
              <w:t xml:space="preserve">Ministry of Public Works, </w:t>
            </w:r>
          </w:p>
          <w:p w14:paraId="1B790DF0" w14:textId="7B3CFC37" w:rsidR="00B51C24" w:rsidRPr="006C6258" w:rsidRDefault="006C786D" w:rsidP="00D97046">
            <w:pPr>
              <w:rPr>
                <w:color w:val="191919"/>
                <w:sz w:val="16"/>
                <w:szCs w:val="16"/>
                <w:lang w:eastAsia="en-GB"/>
              </w:rPr>
            </w:pPr>
            <w:r w:rsidRPr="006C6258">
              <w:rPr>
                <w:color w:val="191919"/>
                <w:sz w:val="16"/>
                <w:szCs w:val="16"/>
                <w:lang w:eastAsia="en-GB"/>
              </w:rPr>
              <w:t xml:space="preserve">Ministry of Social Affairs and Reconciliation, Ministry of Employment and Training, Global Environment Facility, </w:t>
            </w:r>
            <w:r>
              <w:rPr>
                <w:color w:val="191919"/>
                <w:sz w:val="16"/>
                <w:szCs w:val="16"/>
                <w:lang w:eastAsia="en-GB"/>
              </w:rPr>
              <w:t xml:space="preserve">Green Climate Fund, University of Bangui, Local media, </w:t>
            </w:r>
            <w:r w:rsidR="006D0E74">
              <w:rPr>
                <w:color w:val="191919"/>
                <w:sz w:val="16"/>
                <w:szCs w:val="16"/>
                <w:lang w:eastAsia="en-GB"/>
              </w:rPr>
              <w:t>International Fund for Agricultural Development (IFAD)</w:t>
            </w:r>
            <w:r>
              <w:rPr>
                <w:color w:val="191919"/>
                <w:sz w:val="16"/>
                <w:szCs w:val="16"/>
                <w:lang w:eastAsia="en-GB"/>
              </w:rPr>
              <w:t xml:space="preserve"> </w:t>
            </w:r>
            <w:r w:rsidRPr="006C6258">
              <w:rPr>
                <w:color w:val="191919"/>
                <w:sz w:val="16"/>
                <w:szCs w:val="16"/>
                <w:lang w:eastAsia="en-GB"/>
              </w:rPr>
              <w:t xml:space="preserve">UNFPA, UNCDF, </w:t>
            </w:r>
            <w:r w:rsidR="006D0E74">
              <w:rPr>
                <w:color w:val="191919"/>
                <w:sz w:val="16"/>
                <w:szCs w:val="16"/>
                <w:lang w:eastAsia="en-GB"/>
              </w:rPr>
              <w:t xml:space="preserve">International Labour </w:t>
            </w:r>
            <w:r w:rsidR="00980C4E">
              <w:rPr>
                <w:color w:val="191919"/>
                <w:sz w:val="16"/>
                <w:szCs w:val="16"/>
                <w:lang w:eastAsia="en-GB"/>
              </w:rPr>
              <w:lastRenderedPageBreak/>
              <w:t>Organization</w:t>
            </w:r>
            <w:r w:rsidR="006D0E74">
              <w:rPr>
                <w:color w:val="191919"/>
                <w:sz w:val="16"/>
                <w:szCs w:val="16"/>
                <w:lang w:eastAsia="en-GB"/>
              </w:rPr>
              <w:t xml:space="preserve"> (</w:t>
            </w:r>
            <w:r w:rsidRPr="006C6258">
              <w:rPr>
                <w:color w:val="191919"/>
                <w:sz w:val="16"/>
                <w:szCs w:val="16"/>
                <w:lang w:eastAsia="en-GB"/>
              </w:rPr>
              <w:t>ILO</w:t>
            </w:r>
            <w:r w:rsidR="006D0E74">
              <w:rPr>
                <w:color w:val="191919"/>
                <w:sz w:val="16"/>
                <w:szCs w:val="16"/>
                <w:lang w:eastAsia="en-GB"/>
              </w:rPr>
              <w:t>)</w:t>
            </w:r>
            <w:r w:rsidRPr="006C6258">
              <w:rPr>
                <w:color w:val="191919"/>
                <w:sz w:val="16"/>
                <w:szCs w:val="16"/>
                <w:lang w:eastAsia="en-GB"/>
              </w:rPr>
              <w:t>, FAO,</w:t>
            </w:r>
            <w:r>
              <w:rPr>
                <w:color w:val="191919"/>
                <w:sz w:val="16"/>
                <w:szCs w:val="16"/>
                <w:lang w:eastAsia="en-GB"/>
              </w:rPr>
              <w:t xml:space="preserve"> UNHCR,</w:t>
            </w:r>
            <w:r w:rsidRPr="006C6258">
              <w:rPr>
                <w:color w:val="191919"/>
                <w:sz w:val="16"/>
                <w:szCs w:val="16"/>
                <w:lang w:eastAsia="en-GB"/>
              </w:rPr>
              <w:t xml:space="preserve"> UNICEF, UN</w:t>
            </w:r>
            <w:r>
              <w:rPr>
                <w:color w:val="191919"/>
                <w:sz w:val="16"/>
                <w:szCs w:val="16"/>
                <w:lang w:eastAsia="en-GB"/>
              </w:rPr>
              <w:t xml:space="preserve"> </w:t>
            </w:r>
            <w:r w:rsidRPr="006C6258">
              <w:rPr>
                <w:color w:val="191919"/>
                <w:sz w:val="16"/>
                <w:szCs w:val="16"/>
                <w:lang w:eastAsia="en-GB"/>
              </w:rPr>
              <w:t>Women,</w:t>
            </w:r>
            <w:r>
              <w:rPr>
                <w:color w:val="191919"/>
                <w:sz w:val="16"/>
                <w:szCs w:val="16"/>
                <w:lang w:eastAsia="en-GB"/>
              </w:rPr>
              <w:t xml:space="preserve"> UNESCO,</w:t>
            </w:r>
            <w:r w:rsidRPr="006C6258">
              <w:rPr>
                <w:color w:val="191919"/>
                <w:sz w:val="16"/>
                <w:szCs w:val="16"/>
                <w:lang w:eastAsia="en-GB"/>
              </w:rPr>
              <w:t xml:space="preserve"> </w:t>
            </w:r>
            <w:r>
              <w:rPr>
                <w:color w:val="191919"/>
                <w:sz w:val="16"/>
                <w:szCs w:val="16"/>
                <w:lang w:eastAsia="en-GB"/>
              </w:rPr>
              <w:t>National Organisation of Persons with Disabilities (ONAPHA)</w:t>
            </w:r>
          </w:p>
          <w:p w14:paraId="0E1866F7" w14:textId="77777777" w:rsidR="00B51C24" w:rsidRPr="006C6258" w:rsidRDefault="00B51C24" w:rsidP="00D97046">
            <w:pPr>
              <w:rPr>
                <w:color w:val="191919"/>
                <w:sz w:val="16"/>
                <w:szCs w:val="16"/>
                <w:lang w:eastAsia="en-GB"/>
              </w:rPr>
            </w:pPr>
            <w:r w:rsidRPr="006C6258">
              <w:rPr>
                <w:color w:val="191919"/>
                <w:sz w:val="16"/>
                <w:szCs w:val="16"/>
                <w:lang w:eastAsia="en-GB"/>
              </w:rPr>
              <w:t>Local Authorities, Local Peace Committees,</w:t>
            </w:r>
            <w:r w:rsidR="00FE1ECA">
              <w:rPr>
                <w:color w:val="191919"/>
                <w:sz w:val="16"/>
                <w:szCs w:val="16"/>
                <w:lang w:eastAsia="en-GB"/>
              </w:rPr>
              <w:t xml:space="preserve"> local micro-finance institutions (MFIs),</w:t>
            </w:r>
          </w:p>
          <w:p w14:paraId="5932BCBD" w14:textId="77777777" w:rsidR="00B51C24" w:rsidRPr="006C6258" w:rsidRDefault="004C070C" w:rsidP="00D97046">
            <w:pPr>
              <w:rPr>
                <w:color w:val="191919"/>
                <w:sz w:val="16"/>
                <w:szCs w:val="16"/>
                <w:lang w:eastAsia="en-GB"/>
              </w:rPr>
            </w:pPr>
            <w:r>
              <w:rPr>
                <w:color w:val="191919"/>
                <w:sz w:val="16"/>
                <w:szCs w:val="16"/>
                <w:lang w:eastAsia="en-GB"/>
              </w:rPr>
              <w:t>MINUSCA, OCHA, CHF</w:t>
            </w:r>
            <w:r w:rsidR="00B51C24" w:rsidRPr="006C6258">
              <w:rPr>
                <w:color w:val="191919"/>
                <w:sz w:val="16"/>
                <w:szCs w:val="16"/>
                <w:lang w:eastAsia="en-GB"/>
              </w:rPr>
              <w:t>, Cluster MSSC, Peacebuilding Fund (PBF), Human Security Trust Fund (HSTF),</w:t>
            </w:r>
          </w:p>
          <w:p w14:paraId="0A7F828B" w14:textId="2236C052" w:rsidR="00B51C24" w:rsidRPr="006C6258" w:rsidRDefault="006C786D" w:rsidP="00D97046">
            <w:pPr>
              <w:rPr>
                <w:color w:val="191919"/>
                <w:sz w:val="16"/>
                <w:szCs w:val="16"/>
                <w:lang w:eastAsia="en-GB"/>
              </w:rPr>
            </w:pPr>
            <w:r w:rsidRPr="006C6258">
              <w:rPr>
                <w:color w:val="191919"/>
                <w:sz w:val="16"/>
                <w:szCs w:val="16"/>
                <w:lang w:eastAsia="en-GB"/>
              </w:rPr>
              <w:t>Office for Policy and Program Support (BPPS)</w:t>
            </w:r>
            <w:r>
              <w:rPr>
                <w:color w:val="191919"/>
                <w:sz w:val="16"/>
                <w:szCs w:val="16"/>
                <w:lang w:eastAsia="en-GB"/>
              </w:rPr>
              <w:t xml:space="preserve">, European Union, World Bank, </w:t>
            </w:r>
          </w:p>
          <w:p w14:paraId="58BFC6D7" w14:textId="77777777" w:rsidR="00B51C24" w:rsidRPr="001B487A" w:rsidRDefault="00484522" w:rsidP="00D97046">
            <w:pPr>
              <w:rPr>
                <w:color w:val="191919"/>
                <w:sz w:val="16"/>
                <w:szCs w:val="16"/>
                <w:lang w:eastAsia="en-GB"/>
              </w:rPr>
            </w:pPr>
            <w:r>
              <w:rPr>
                <w:color w:val="191919"/>
                <w:sz w:val="16"/>
                <w:szCs w:val="16"/>
                <w:lang w:eastAsia="en-GB"/>
              </w:rPr>
              <w:t>CEMAC, CEEAC, AfDB.</w:t>
            </w:r>
          </w:p>
        </w:tc>
        <w:tc>
          <w:tcPr>
            <w:tcW w:w="596" w:type="pct"/>
            <w:gridSpan w:val="2"/>
            <w:tcMar>
              <w:top w:w="15" w:type="dxa"/>
              <w:left w:w="108" w:type="dxa"/>
              <w:bottom w:w="0" w:type="dxa"/>
              <w:right w:w="108" w:type="dxa"/>
            </w:tcMar>
          </w:tcPr>
          <w:p w14:paraId="503C16B9" w14:textId="64C93746" w:rsidR="00B51C24" w:rsidRPr="006C6258" w:rsidRDefault="00B51C24" w:rsidP="00B2751F">
            <w:pPr>
              <w:rPr>
                <w:b/>
                <w:color w:val="000000"/>
                <w:sz w:val="16"/>
                <w:szCs w:val="16"/>
              </w:rPr>
            </w:pPr>
            <w:r w:rsidRPr="006C6258">
              <w:rPr>
                <w:b/>
                <w:color w:val="000000"/>
                <w:sz w:val="16"/>
                <w:szCs w:val="16"/>
              </w:rPr>
              <w:lastRenderedPageBreak/>
              <w:t xml:space="preserve">Regular </w:t>
            </w:r>
            <w:r w:rsidR="002B1A64">
              <w:rPr>
                <w:b/>
                <w:color w:val="000000"/>
                <w:sz w:val="16"/>
                <w:szCs w:val="16"/>
              </w:rPr>
              <w:t xml:space="preserve"> </w:t>
            </w:r>
            <w:r w:rsidR="00E35863">
              <w:rPr>
                <w:b/>
                <w:color w:val="000000"/>
                <w:sz w:val="16"/>
                <w:szCs w:val="16"/>
              </w:rPr>
              <w:t>10</w:t>
            </w:r>
            <w:r w:rsidR="00AE2B27">
              <w:rPr>
                <w:b/>
                <w:color w:val="000000"/>
                <w:sz w:val="16"/>
                <w:szCs w:val="16"/>
              </w:rPr>
              <w:t>,</w:t>
            </w:r>
            <w:r w:rsidR="00E35863">
              <w:rPr>
                <w:b/>
                <w:color w:val="000000"/>
                <w:sz w:val="16"/>
                <w:szCs w:val="16"/>
              </w:rPr>
              <w:t>872</w:t>
            </w:r>
            <w:r w:rsidR="00AE2B27">
              <w:rPr>
                <w:b/>
                <w:color w:val="000000"/>
                <w:sz w:val="16"/>
                <w:szCs w:val="16"/>
              </w:rPr>
              <w:t>,</w:t>
            </w:r>
            <w:r w:rsidR="0078370F">
              <w:rPr>
                <w:b/>
                <w:color w:val="000000"/>
                <w:sz w:val="16"/>
                <w:szCs w:val="16"/>
              </w:rPr>
              <w:t>0</w:t>
            </w:r>
            <w:r w:rsidR="007B1E70">
              <w:rPr>
                <w:b/>
                <w:color w:val="000000"/>
                <w:sz w:val="16"/>
                <w:szCs w:val="16"/>
              </w:rPr>
              <w:t>00</w:t>
            </w:r>
          </w:p>
        </w:tc>
      </w:tr>
      <w:tr w:rsidR="003C17EA" w:rsidRPr="006C6258" w14:paraId="17C49D01" w14:textId="77777777" w:rsidTr="00754FF9">
        <w:trPr>
          <w:trHeight w:val="232"/>
        </w:trPr>
        <w:tc>
          <w:tcPr>
            <w:tcW w:w="901" w:type="pct"/>
            <w:gridSpan w:val="2"/>
            <w:vMerge/>
            <w:tcMar>
              <w:top w:w="72" w:type="dxa"/>
              <w:left w:w="144" w:type="dxa"/>
              <w:bottom w:w="72" w:type="dxa"/>
              <w:right w:w="144" w:type="dxa"/>
            </w:tcMar>
          </w:tcPr>
          <w:p w14:paraId="4411EAA5" w14:textId="77777777" w:rsidR="00B51C24" w:rsidRPr="006C6258" w:rsidRDefault="00B51C24" w:rsidP="00D97046">
            <w:pPr>
              <w:rPr>
                <w:i/>
                <w:iCs/>
                <w:color w:val="000000"/>
                <w:sz w:val="16"/>
                <w:szCs w:val="16"/>
                <w:lang w:val="en-GB"/>
              </w:rPr>
            </w:pPr>
          </w:p>
        </w:tc>
        <w:tc>
          <w:tcPr>
            <w:tcW w:w="742" w:type="pct"/>
            <w:vMerge/>
          </w:tcPr>
          <w:p w14:paraId="7E6388F7" w14:textId="77777777" w:rsidR="00B51C24" w:rsidRPr="006C6258" w:rsidRDefault="00B51C24" w:rsidP="00D97046">
            <w:pPr>
              <w:rPr>
                <w:i/>
                <w:iCs/>
                <w:color w:val="000000"/>
                <w:sz w:val="16"/>
                <w:szCs w:val="16"/>
                <w:lang w:val="en-GB"/>
              </w:rPr>
            </w:pPr>
          </w:p>
        </w:tc>
        <w:tc>
          <w:tcPr>
            <w:tcW w:w="1960" w:type="pct"/>
            <w:gridSpan w:val="2"/>
            <w:vMerge/>
            <w:tcMar>
              <w:top w:w="72" w:type="dxa"/>
              <w:left w:w="144" w:type="dxa"/>
              <w:bottom w:w="72" w:type="dxa"/>
              <w:right w:w="144" w:type="dxa"/>
            </w:tcMar>
          </w:tcPr>
          <w:p w14:paraId="4B8A6171" w14:textId="77777777" w:rsidR="00B51C24" w:rsidRPr="006C6258" w:rsidRDefault="00B51C24" w:rsidP="00D97046">
            <w:pPr>
              <w:rPr>
                <w:i/>
                <w:iCs/>
                <w:color w:val="000000"/>
                <w:sz w:val="16"/>
                <w:szCs w:val="16"/>
                <w:lang w:val="en-GB"/>
              </w:rPr>
            </w:pPr>
          </w:p>
        </w:tc>
        <w:tc>
          <w:tcPr>
            <w:tcW w:w="801" w:type="pct"/>
            <w:gridSpan w:val="3"/>
            <w:vMerge/>
          </w:tcPr>
          <w:p w14:paraId="16C913AE" w14:textId="77777777" w:rsidR="00B51C24" w:rsidRPr="006C6258" w:rsidRDefault="00B51C24" w:rsidP="00D97046">
            <w:pPr>
              <w:rPr>
                <w:i/>
                <w:iCs/>
                <w:color w:val="000000"/>
                <w:sz w:val="16"/>
                <w:szCs w:val="16"/>
                <w:lang w:val="en-GB"/>
              </w:rPr>
            </w:pPr>
          </w:p>
        </w:tc>
        <w:tc>
          <w:tcPr>
            <w:tcW w:w="596" w:type="pct"/>
            <w:gridSpan w:val="2"/>
            <w:tcMar>
              <w:top w:w="15" w:type="dxa"/>
              <w:left w:w="108" w:type="dxa"/>
              <w:bottom w:w="0" w:type="dxa"/>
              <w:right w:w="108" w:type="dxa"/>
            </w:tcMar>
          </w:tcPr>
          <w:p w14:paraId="3B04B5B4" w14:textId="22FBC844" w:rsidR="00B51C24" w:rsidRDefault="007F5C14" w:rsidP="00415DF7">
            <w:pPr>
              <w:rPr>
                <w:b/>
                <w:color w:val="000000"/>
                <w:sz w:val="16"/>
                <w:szCs w:val="16"/>
              </w:rPr>
            </w:pPr>
            <w:r>
              <w:rPr>
                <w:b/>
                <w:color w:val="000000"/>
                <w:sz w:val="16"/>
                <w:szCs w:val="16"/>
              </w:rPr>
              <w:t>Other   71</w:t>
            </w:r>
            <w:r w:rsidR="00AE2B27">
              <w:rPr>
                <w:b/>
                <w:color w:val="000000"/>
                <w:sz w:val="16"/>
                <w:szCs w:val="16"/>
              </w:rPr>
              <w:t>,</w:t>
            </w:r>
            <w:r>
              <w:rPr>
                <w:b/>
                <w:color w:val="000000"/>
                <w:sz w:val="16"/>
                <w:szCs w:val="16"/>
              </w:rPr>
              <w:t>200</w:t>
            </w:r>
            <w:r w:rsidR="00AE2B27">
              <w:rPr>
                <w:b/>
                <w:color w:val="000000"/>
                <w:sz w:val="16"/>
                <w:szCs w:val="16"/>
              </w:rPr>
              <w:t>,</w:t>
            </w:r>
            <w:r w:rsidR="00415DF7">
              <w:rPr>
                <w:b/>
                <w:color w:val="000000"/>
                <w:sz w:val="16"/>
                <w:szCs w:val="16"/>
              </w:rPr>
              <w:t>000</w:t>
            </w:r>
          </w:p>
          <w:p w14:paraId="3EBB9CC6" w14:textId="77777777" w:rsidR="0057649B" w:rsidRDefault="0057649B" w:rsidP="00415DF7">
            <w:pPr>
              <w:rPr>
                <w:b/>
                <w:color w:val="000000"/>
                <w:sz w:val="16"/>
                <w:szCs w:val="16"/>
              </w:rPr>
            </w:pPr>
          </w:p>
          <w:p w14:paraId="3E7A1E5D" w14:textId="77777777" w:rsidR="0057649B" w:rsidRDefault="0057649B" w:rsidP="00415DF7">
            <w:pPr>
              <w:rPr>
                <w:b/>
                <w:color w:val="000000"/>
                <w:sz w:val="16"/>
                <w:szCs w:val="16"/>
              </w:rPr>
            </w:pPr>
          </w:p>
          <w:p w14:paraId="6DEBA5BB" w14:textId="77777777" w:rsidR="0057649B" w:rsidRDefault="0057649B" w:rsidP="00415DF7">
            <w:pPr>
              <w:rPr>
                <w:b/>
                <w:color w:val="000000"/>
                <w:sz w:val="16"/>
                <w:szCs w:val="16"/>
              </w:rPr>
            </w:pPr>
          </w:p>
          <w:p w14:paraId="0441EFDF" w14:textId="6C3B1F5F" w:rsidR="0057649B" w:rsidRPr="0057649B" w:rsidRDefault="00EF50C2" w:rsidP="00415DF7">
            <w:pPr>
              <w:rPr>
                <w:color w:val="000000"/>
                <w:sz w:val="16"/>
                <w:szCs w:val="16"/>
              </w:rPr>
            </w:pPr>
            <w:r>
              <w:rPr>
                <w:color w:val="000000"/>
                <w:sz w:val="16"/>
                <w:szCs w:val="16"/>
              </w:rPr>
              <w:t>SS        12</w:t>
            </w:r>
            <w:r w:rsidR="00AE2B27">
              <w:rPr>
                <w:color w:val="000000"/>
                <w:sz w:val="16"/>
                <w:szCs w:val="16"/>
              </w:rPr>
              <w:t>,</w:t>
            </w:r>
            <w:r w:rsidR="0057649B" w:rsidRPr="0057649B">
              <w:rPr>
                <w:color w:val="000000"/>
                <w:sz w:val="16"/>
                <w:szCs w:val="16"/>
              </w:rPr>
              <w:t>000</w:t>
            </w:r>
            <w:r w:rsidR="00AE2B27">
              <w:rPr>
                <w:color w:val="000000"/>
                <w:sz w:val="16"/>
                <w:szCs w:val="16"/>
              </w:rPr>
              <w:t>,</w:t>
            </w:r>
            <w:r w:rsidR="0057649B" w:rsidRPr="0057649B">
              <w:rPr>
                <w:color w:val="000000"/>
                <w:sz w:val="16"/>
                <w:szCs w:val="16"/>
              </w:rPr>
              <w:t>000</w:t>
            </w:r>
          </w:p>
          <w:p w14:paraId="709BF814" w14:textId="3BA5F64E" w:rsidR="0057649B" w:rsidRPr="0057649B" w:rsidRDefault="0057649B" w:rsidP="00415DF7">
            <w:pPr>
              <w:rPr>
                <w:color w:val="000000"/>
                <w:sz w:val="16"/>
                <w:szCs w:val="16"/>
              </w:rPr>
            </w:pPr>
            <w:r>
              <w:rPr>
                <w:color w:val="000000"/>
                <w:sz w:val="16"/>
                <w:szCs w:val="16"/>
              </w:rPr>
              <w:t>Third     40</w:t>
            </w:r>
            <w:r w:rsidR="00AE2B27">
              <w:rPr>
                <w:color w:val="000000"/>
                <w:sz w:val="16"/>
                <w:szCs w:val="16"/>
              </w:rPr>
              <w:t>,</w:t>
            </w:r>
            <w:r>
              <w:rPr>
                <w:color w:val="000000"/>
                <w:sz w:val="16"/>
                <w:szCs w:val="16"/>
              </w:rPr>
              <w:t>700</w:t>
            </w:r>
            <w:r w:rsidR="00AE2B27">
              <w:rPr>
                <w:color w:val="000000"/>
                <w:sz w:val="16"/>
                <w:szCs w:val="16"/>
              </w:rPr>
              <w:t>,</w:t>
            </w:r>
            <w:r w:rsidRPr="0057649B">
              <w:rPr>
                <w:color w:val="000000"/>
                <w:sz w:val="16"/>
                <w:szCs w:val="16"/>
              </w:rPr>
              <w:t>000</w:t>
            </w:r>
          </w:p>
          <w:p w14:paraId="2A890EB4" w14:textId="7E31EED5" w:rsidR="0057649B" w:rsidRPr="0057649B" w:rsidRDefault="00EF50C2" w:rsidP="00415DF7">
            <w:pPr>
              <w:rPr>
                <w:color w:val="000000"/>
                <w:sz w:val="16"/>
                <w:szCs w:val="16"/>
              </w:rPr>
            </w:pPr>
            <w:r>
              <w:rPr>
                <w:color w:val="000000"/>
                <w:sz w:val="16"/>
                <w:szCs w:val="16"/>
              </w:rPr>
              <w:t>TF           9</w:t>
            </w:r>
            <w:r w:rsidR="00AE2B27">
              <w:rPr>
                <w:color w:val="000000"/>
                <w:sz w:val="16"/>
                <w:szCs w:val="16"/>
              </w:rPr>
              <w:t>,</w:t>
            </w:r>
            <w:r>
              <w:rPr>
                <w:color w:val="000000"/>
                <w:sz w:val="16"/>
                <w:szCs w:val="16"/>
              </w:rPr>
              <w:t>0</w:t>
            </w:r>
            <w:r w:rsidR="0057649B" w:rsidRPr="0057649B">
              <w:rPr>
                <w:color w:val="000000"/>
                <w:sz w:val="16"/>
                <w:szCs w:val="16"/>
              </w:rPr>
              <w:t>00</w:t>
            </w:r>
            <w:r w:rsidR="00AE2B27">
              <w:rPr>
                <w:color w:val="000000"/>
                <w:sz w:val="16"/>
                <w:szCs w:val="16"/>
              </w:rPr>
              <w:t>,</w:t>
            </w:r>
            <w:r w:rsidR="0057649B" w:rsidRPr="0057649B">
              <w:rPr>
                <w:color w:val="000000"/>
                <w:sz w:val="16"/>
                <w:szCs w:val="16"/>
              </w:rPr>
              <w:t>000</w:t>
            </w:r>
          </w:p>
          <w:p w14:paraId="6705D78B" w14:textId="2B542AE1" w:rsidR="0057649B" w:rsidRPr="0057649B" w:rsidRDefault="00EF50C2" w:rsidP="00415DF7">
            <w:pPr>
              <w:rPr>
                <w:color w:val="000000"/>
                <w:sz w:val="16"/>
                <w:szCs w:val="16"/>
              </w:rPr>
            </w:pPr>
            <w:r>
              <w:rPr>
                <w:color w:val="000000"/>
                <w:sz w:val="16"/>
                <w:szCs w:val="16"/>
              </w:rPr>
              <w:t>TTF         9</w:t>
            </w:r>
            <w:r w:rsidR="00AE2B27">
              <w:rPr>
                <w:color w:val="000000"/>
                <w:sz w:val="16"/>
                <w:szCs w:val="16"/>
              </w:rPr>
              <w:t>,</w:t>
            </w:r>
            <w:r>
              <w:rPr>
                <w:color w:val="000000"/>
                <w:sz w:val="16"/>
                <w:szCs w:val="16"/>
              </w:rPr>
              <w:t>5</w:t>
            </w:r>
            <w:r w:rsidR="0057649B" w:rsidRPr="0057649B">
              <w:rPr>
                <w:color w:val="000000"/>
                <w:sz w:val="16"/>
                <w:szCs w:val="16"/>
              </w:rPr>
              <w:t>00</w:t>
            </w:r>
            <w:r w:rsidR="00AE2B27">
              <w:rPr>
                <w:color w:val="000000"/>
                <w:sz w:val="16"/>
                <w:szCs w:val="16"/>
              </w:rPr>
              <w:t>,</w:t>
            </w:r>
            <w:r w:rsidR="0057649B" w:rsidRPr="0057649B">
              <w:rPr>
                <w:color w:val="000000"/>
                <w:sz w:val="16"/>
                <w:szCs w:val="16"/>
              </w:rPr>
              <w:t>000</w:t>
            </w:r>
          </w:p>
          <w:p w14:paraId="662AECA0" w14:textId="77777777" w:rsidR="0057649B" w:rsidRPr="006C6258" w:rsidRDefault="0057649B" w:rsidP="00415DF7">
            <w:pPr>
              <w:rPr>
                <w:b/>
                <w:color w:val="000000"/>
                <w:sz w:val="16"/>
                <w:szCs w:val="16"/>
              </w:rPr>
            </w:pPr>
          </w:p>
        </w:tc>
      </w:tr>
    </w:tbl>
    <w:p w14:paraId="6CC7F1E6" w14:textId="77777777" w:rsidR="00D6679C" w:rsidRDefault="00D6679C" w:rsidP="00261D66">
      <w:pPr>
        <w:jc w:val="both"/>
        <w:rPr>
          <w:color w:val="000000"/>
        </w:rPr>
      </w:pPr>
    </w:p>
    <w:p w14:paraId="4D97E9C8" w14:textId="77777777" w:rsidR="001B487A" w:rsidRDefault="001B487A" w:rsidP="001B487A">
      <w:pPr>
        <w:jc w:val="center"/>
        <w:rPr>
          <w:color w:val="000000"/>
        </w:rPr>
      </w:pPr>
      <w:r w:rsidRPr="00AE4C43">
        <w:rPr>
          <w:b/>
          <w:noProof/>
          <w:color w:val="000000"/>
          <w:sz w:val="16"/>
          <w:szCs w:val="16"/>
        </w:rPr>
        <w:drawing>
          <wp:inline distT="0" distB="0" distL="0" distR="0" wp14:anchorId="57F086C8" wp14:editId="416F7A6D">
            <wp:extent cx="942975" cy="285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2975" cy="28575"/>
                    </a:xfrm>
                    <a:prstGeom prst="rect">
                      <a:avLst/>
                    </a:prstGeom>
                    <a:noFill/>
                    <a:ln>
                      <a:noFill/>
                    </a:ln>
                  </pic:spPr>
                </pic:pic>
              </a:graphicData>
            </a:graphic>
          </wp:inline>
        </w:drawing>
      </w:r>
    </w:p>
    <w:sectPr w:rsidR="001B487A" w:rsidSect="00AE2876">
      <w:headerReference w:type="even" r:id="rId18"/>
      <w:headerReference w:type="default" r:id="rId19"/>
      <w:pgSz w:w="15840" w:h="12240" w:orient="landscape"/>
      <w:pgMar w:top="1440" w:right="1152" w:bottom="1440"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CCBC3" w14:textId="77777777" w:rsidR="003E2551" w:rsidRDefault="003E2551" w:rsidP="00441061">
      <w:r>
        <w:separator/>
      </w:r>
    </w:p>
  </w:endnote>
  <w:endnote w:type="continuationSeparator" w:id="0">
    <w:p w14:paraId="38F8E7AB" w14:textId="77777777" w:rsidR="003E2551" w:rsidRDefault="003E2551" w:rsidP="0044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FC609" w14:textId="21FC6868" w:rsidR="007F1EF7" w:rsidRPr="005841A3" w:rsidRDefault="007F1EF7">
    <w:pPr>
      <w:pStyle w:val="Footer"/>
      <w:rPr>
        <w:b/>
        <w:sz w:val="17"/>
        <w:szCs w:val="17"/>
      </w:rPr>
    </w:pPr>
    <w:r w:rsidRPr="005841A3">
      <w:rPr>
        <w:b/>
        <w:sz w:val="17"/>
        <w:szCs w:val="17"/>
      </w:rPr>
      <w:fldChar w:fldCharType="begin"/>
    </w:r>
    <w:r w:rsidRPr="005841A3">
      <w:rPr>
        <w:b/>
        <w:sz w:val="17"/>
        <w:szCs w:val="17"/>
      </w:rPr>
      <w:instrText xml:space="preserve"> PAGE   \* MERGEFORMAT </w:instrText>
    </w:r>
    <w:r w:rsidRPr="005841A3">
      <w:rPr>
        <w:b/>
        <w:sz w:val="17"/>
        <w:szCs w:val="17"/>
      </w:rPr>
      <w:fldChar w:fldCharType="separate"/>
    </w:r>
    <w:r w:rsidR="005658AE">
      <w:rPr>
        <w:b/>
        <w:noProof/>
        <w:sz w:val="17"/>
        <w:szCs w:val="17"/>
      </w:rPr>
      <w:t>12</w:t>
    </w:r>
    <w:r w:rsidRPr="005841A3">
      <w:rPr>
        <w:b/>
        <w:sz w:val="17"/>
        <w:szCs w:val="1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7F874" w14:textId="6388E9BC" w:rsidR="007F1EF7" w:rsidRPr="00CE68BD" w:rsidRDefault="007F1EF7" w:rsidP="00CE68BD">
    <w:pPr>
      <w:pStyle w:val="Footer"/>
      <w:jc w:val="right"/>
      <w:rPr>
        <w:b/>
        <w:sz w:val="17"/>
        <w:szCs w:val="17"/>
      </w:rPr>
    </w:pPr>
    <w:r w:rsidRPr="005841A3">
      <w:rPr>
        <w:b/>
        <w:sz w:val="17"/>
        <w:szCs w:val="17"/>
      </w:rPr>
      <w:fldChar w:fldCharType="begin"/>
    </w:r>
    <w:r w:rsidRPr="005841A3">
      <w:rPr>
        <w:b/>
        <w:sz w:val="17"/>
        <w:szCs w:val="17"/>
      </w:rPr>
      <w:instrText xml:space="preserve"> PAGE   \* MERGEFORMAT </w:instrText>
    </w:r>
    <w:r w:rsidRPr="005841A3">
      <w:rPr>
        <w:b/>
        <w:sz w:val="17"/>
        <w:szCs w:val="17"/>
      </w:rPr>
      <w:fldChar w:fldCharType="separate"/>
    </w:r>
    <w:r w:rsidR="005658AE">
      <w:rPr>
        <w:b/>
        <w:noProof/>
        <w:sz w:val="17"/>
        <w:szCs w:val="17"/>
      </w:rPr>
      <w:t>11</w:t>
    </w:r>
    <w:r w:rsidRPr="005841A3">
      <w:rPr>
        <w:b/>
        <w:sz w:val="17"/>
        <w:szCs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7B5ED" w14:textId="77777777" w:rsidR="003E2551" w:rsidRDefault="003E2551" w:rsidP="00441061">
      <w:r>
        <w:separator/>
      </w:r>
    </w:p>
  </w:footnote>
  <w:footnote w:type="continuationSeparator" w:id="0">
    <w:p w14:paraId="63AC4B5E" w14:textId="77777777" w:rsidR="003E2551" w:rsidRDefault="003E2551" w:rsidP="00441061">
      <w:r>
        <w:continuationSeparator/>
      </w:r>
    </w:p>
  </w:footnote>
  <w:footnote w:id="1">
    <w:p w14:paraId="682ADD0E" w14:textId="6AC522B6" w:rsidR="007F1EF7" w:rsidRPr="002D4581" w:rsidRDefault="007F1EF7" w:rsidP="00360C28">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Ranked 188 out of 188 countries with a Human Development Index of 0.352, Human Development Report, 2016</w:t>
      </w:r>
      <w:r>
        <w:rPr>
          <w:rFonts w:ascii="Times New Roman" w:hAnsi="Times New Roman"/>
          <w:sz w:val="16"/>
          <w:szCs w:val="16"/>
        </w:rPr>
        <w:t>.</w:t>
      </w:r>
    </w:p>
  </w:footnote>
  <w:footnote w:id="2">
    <w:p w14:paraId="4F6F4F68" w14:textId="3B922C1A" w:rsidR="007F1EF7" w:rsidRPr="002D4581" w:rsidRDefault="007F1EF7">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w:t>
      </w:r>
      <w:r>
        <w:rPr>
          <w:rFonts w:ascii="Times New Roman" w:hAnsi="Times New Roman"/>
          <w:sz w:val="16"/>
          <w:szCs w:val="16"/>
        </w:rPr>
        <w:t xml:space="preserve">Accessed from: </w:t>
      </w:r>
      <w:r w:rsidRPr="002D4581">
        <w:rPr>
          <w:rFonts w:ascii="Times New Roman" w:hAnsi="Times New Roman"/>
          <w:sz w:val="16"/>
          <w:szCs w:val="16"/>
        </w:rPr>
        <w:t>data.worldbank.org, 2017</w:t>
      </w:r>
      <w:r>
        <w:rPr>
          <w:rFonts w:ascii="Times New Roman" w:hAnsi="Times New Roman"/>
          <w:sz w:val="16"/>
          <w:szCs w:val="16"/>
        </w:rPr>
        <w:t>.</w:t>
      </w:r>
    </w:p>
  </w:footnote>
  <w:footnote w:id="3">
    <w:p w14:paraId="7C462324" w14:textId="66F22C8F" w:rsidR="007F1EF7" w:rsidRPr="002D4581" w:rsidRDefault="007F1EF7" w:rsidP="001C79E6">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w:t>
      </w:r>
      <w:r>
        <w:rPr>
          <w:rFonts w:ascii="Times New Roman" w:hAnsi="Times New Roman"/>
          <w:sz w:val="16"/>
          <w:szCs w:val="16"/>
        </w:rPr>
        <w:t xml:space="preserve">Accessed from: </w:t>
      </w:r>
      <w:r w:rsidRPr="002D4581">
        <w:rPr>
          <w:rFonts w:ascii="Times New Roman" w:hAnsi="Times New Roman"/>
          <w:sz w:val="16"/>
          <w:szCs w:val="16"/>
        </w:rPr>
        <w:t>https://eiti.org/CAR</w:t>
      </w:r>
      <w:r>
        <w:rPr>
          <w:rFonts w:ascii="Times New Roman" w:hAnsi="Times New Roman"/>
          <w:sz w:val="16"/>
          <w:szCs w:val="16"/>
        </w:rPr>
        <w:t>.</w:t>
      </w:r>
    </w:p>
  </w:footnote>
  <w:footnote w:id="4">
    <w:p w14:paraId="29BF1E88" w14:textId="56FDB1A2" w:rsidR="007F1EF7" w:rsidRPr="002D4581" w:rsidRDefault="007F1EF7" w:rsidP="001C79E6">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w:t>
      </w:r>
      <w:r w:rsidRPr="00E4151E">
        <w:rPr>
          <w:rFonts w:ascii="Times New Roman" w:hAnsi="Times New Roman"/>
          <w:i/>
          <w:sz w:val="16"/>
          <w:szCs w:val="16"/>
        </w:rPr>
        <w:t>Ibid</w:t>
      </w:r>
      <w:r>
        <w:rPr>
          <w:rFonts w:ascii="Times New Roman" w:hAnsi="Times New Roman"/>
          <w:sz w:val="16"/>
          <w:szCs w:val="16"/>
        </w:rPr>
        <w:t>.</w:t>
      </w:r>
    </w:p>
  </w:footnote>
  <w:footnote w:id="5">
    <w:p w14:paraId="24030406" w14:textId="32245FFF" w:rsidR="007F1EF7" w:rsidRPr="002D4581" w:rsidRDefault="007F1EF7" w:rsidP="001C79E6">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Clarkson and Matthysen, 2013, Gold and Diamonds in the Central African Republic</w:t>
      </w:r>
      <w:r>
        <w:rPr>
          <w:rFonts w:ascii="Times New Roman" w:hAnsi="Times New Roman"/>
          <w:sz w:val="16"/>
          <w:szCs w:val="16"/>
        </w:rPr>
        <w:t>.</w:t>
      </w:r>
    </w:p>
  </w:footnote>
  <w:footnote w:id="6">
    <w:p w14:paraId="22BE31FF" w14:textId="5D948105" w:rsidR="007F1EF7" w:rsidRPr="002D4581" w:rsidRDefault="007F1EF7" w:rsidP="00040BD5">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w:t>
      </w:r>
      <w:r>
        <w:rPr>
          <w:rFonts w:ascii="Times New Roman" w:hAnsi="Times New Roman"/>
          <w:sz w:val="16"/>
          <w:szCs w:val="16"/>
        </w:rPr>
        <w:t xml:space="preserve">See </w:t>
      </w:r>
      <w:hyperlink r:id="rId1" w:history="1">
        <w:r w:rsidRPr="00F55BD7">
          <w:rPr>
            <w:rStyle w:val="Hyperlink"/>
            <w:rFonts w:ascii="Times New Roman" w:hAnsi="Times New Roman"/>
            <w:sz w:val="16"/>
            <w:szCs w:val="16"/>
          </w:rPr>
          <w:t>http://www.un.org/en/peacekeeping/missions/minusca/</w:t>
        </w:r>
      </w:hyperlink>
      <w:r>
        <w:rPr>
          <w:rFonts w:ascii="Times New Roman" w:hAnsi="Times New Roman"/>
          <w:sz w:val="16"/>
          <w:szCs w:val="16"/>
        </w:rPr>
        <w:t xml:space="preserve">. </w:t>
      </w:r>
    </w:p>
  </w:footnote>
  <w:footnote w:id="7">
    <w:p w14:paraId="7590D8FA" w14:textId="25268F9C" w:rsidR="007F1EF7" w:rsidRPr="002D4581" w:rsidRDefault="007F1EF7" w:rsidP="00AE12F2">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w:t>
      </w:r>
      <w:r>
        <w:rPr>
          <w:rFonts w:ascii="Times New Roman" w:hAnsi="Times New Roman"/>
          <w:sz w:val="16"/>
          <w:szCs w:val="16"/>
        </w:rPr>
        <w:t>National recovery and peacebuilding plan</w:t>
      </w:r>
      <w:r w:rsidRPr="002D4581">
        <w:rPr>
          <w:rFonts w:ascii="Times New Roman" w:hAnsi="Times New Roman"/>
          <w:sz w:val="16"/>
          <w:szCs w:val="16"/>
        </w:rPr>
        <w:t>, 2017</w:t>
      </w:r>
    </w:p>
  </w:footnote>
  <w:footnote w:id="8">
    <w:p w14:paraId="674E23AD" w14:textId="536011A3" w:rsidR="007F1EF7" w:rsidRPr="002D4581" w:rsidRDefault="007F1EF7">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w:t>
      </w:r>
      <w:r w:rsidRPr="00E4151E">
        <w:rPr>
          <w:rFonts w:ascii="Times New Roman" w:hAnsi="Times New Roman"/>
          <w:i/>
          <w:sz w:val="16"/>
          <w:szCs w:val="16"/>
        </w:rPr>
        <w:t>Ibid</w:t>
      </w:r>
      <w:r>
        <w:rPr>
          <w:rFonts w:ascii="Times New Roman" w:hAnsi="Times New Roman"/>
          <w:sz w:val="16"/>
          <w:szCs w:val="16"/>
        </w:rPr>
        <w:t>.</w:t>
      </w:r>
    </w:p>
  </w:footnote>
  <w:footnote w:id="9">
    <w:p w14:paraId="5F9AB25F" w14:textId="237C7BCB" w:rsidR="007F1EF7" w:rsidRPr="002D4581" w:rsidRDefault="007F1EF7" w:rsidP="00BD3DBA">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OCHA Situation Report, February 2017</w:t>
      </w:r>
      <w:r>
        <w:rPr>
          <w:rFonts w:ascii="Times New Roman" w:hAnsi="Times New Roman"/>
          <w:sz w:val="16"/>
          <w:szCs w:val="16"/>
        </w:rPr>
        <w:t>.</w:t>
      </w:r>
    </w:p>
  </w:footnote>
  <w:footnote w:id="10">
    <w:p w14:paraId="4CB9D28F" w14:textId="541D5B9C" w:rsidR="007F1EF7" w:rsidRPr="002D4581" w:rsidRDefault="007F1EF7" w:rsidP="00584C35">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RCPCA, 2017</w:t>
      </w:r>
      <w:r>
        <w:rPr>
          <w:rFonts w:ascii="Times New Roman" w:hAnsi="Times New Roman"/>
          <w:sz w:val="16"/>
          <w:szCs w:val="16"/>
        </w:rPr>
        <w:t>.</w:t>
      </w:r>
    </w:p>
  </w:footnote>
  <w:footnote w:id="11">
    <w:p w14:paraId="0FCF8EF2" w14:textId="05505D39" w:rsidR="007F1EF7" w:rsidRPr="002D4581" w:rsidRDefault="007F1EF7" w:rsidP="00584C35">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Integrated Food Security Phase Classification IPC, February 2017</w:t>
      </w:r>
      <w:r>
        <w:rPr>
          <w:rFonts w:ascii="Times New Roman" w:hAnsi="Times New Roman"/>
          <w:sz w:val="16"/>
          <w:szCs w:val="16"/>
        </w:rPr>
        <w:t>.</w:t>
      </w:r>
    </w:p>
  </w:footnote>
  <w:footnote w:id="12">
    <w:p w14:paraId="28AB88F9" w14:textId="775C9A7E" w:rsidR="007F1EF7" w:rsidRPr="002D4581" w:rsidRDefault="007F1EF7">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RCPCA, 2017</w:t>
      </w:r>
      <w:r>
        <w:rPr>
          <w:rFonts w:ascii="Times New Roman" w:hAnsi="Times New Roman"/>
          <w:sz w:val="16"/>
          <w:szCs w:val="16"/>
        </w:rPr>
        <w:t>.</w:t>
      </w:r>
    </w:p>
  </w:footnote>
  <w:footnote w:id="13">
    <w:p w14:paraId="57B26EA1" w14:textId="470BF206" w:rsidR="007F1EF7" w:rsidRPr="002D4581" w:rsidRDefault="007F1EF7" w:rsidP="005D4DF1">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008F3982">
        <w:rPr>
          <w:rFonts w:ascii="Times New Roman" w:hAnsi="Times New Roman"/>
          <w:sz w:val="16"/>
          <w:szCs w:val="16"/>
        </w:rPr>
        <w:t xml:space="preserve"> In 2016, the country</w:t>
      </w:r>
      <w:r w:rsidRPr="002D4581">
        <w:rPr>
          <w:rFonts w:ascii="Times New Roman" w:hAnsi="Times New Roman"/>
          <w:sz w:val="16"/>
          <w:szCs w:val="16"/>
        </w:rPr>
        <w:t xml:space="preserve">’s Gender Inequality Index </w:t>
      </w:r>
      <w:r>
        <w:rPr>
          <w:rFonts w:ascii="Times New Roman" w:hAnsi="Times New Roman"/>
          <w:sz w:val="16"/>
          <w:szCs w:val="16"/>
        </w:rPr>
        <w:t>had a</w:t>
      </w:r>
      <w:r w:rsidRPr="002D4581">
        <w:rPr>
          <w:rFonts w:ascii="Times New Roman" w:hAnsi="Times New Roman"/>
          <w:sz w:val="16"/>
          <w:szCs w:val="16"/>
        </w:rPr>
        <w:t xml:space="preserve"> 0.648 ranking 149 out of 159 countries</w:t>
      </w:r>
      <w:r>
        <w:rPr>
          <w:rFonts w:ascii="Times New Roman" w:hAnsi="Times New Roman"/>
          <w:sz w:val="16"/>
          <w:szCs w:val="16"/>
        </w:rPr>
        <w:t>.</w:t>
      </w:r>
    </w:p>
  </w:footnote>
  <w:footnote w:id="14">
    <w:p w14:paraId="734AFCD6" w14:textId="5104086B" w:rsidR="007F1EF7" w:rsidRPr="002D4581" w:rsidRDefault="007F1EF7">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w:t>
      </w:r>
      <w:r>
        <w:rPr>
          <w:rFonts w:ascii="Times New Roman" w:hAnsi="Times New Roman"/>
          <w:sz w:val="16"/>
          <w:szCs w:val="16"/>
        </w:rPr>
        <w:t xml:space="preserve">Gender-Based Violence Information Management </w:t>
      </w:r>
      <w:r w:rsidRPr="00E4151E">
        <w:rPr>
          <w:rFonts w:ascii="Times New Roman" w:hAnsi="Times New Roman"/>
          <w:sz w:val="16"/>
          <w:szCs w:val="16"/>
        </w:rPr>
        <w:t>System (</w:t>
      </w:r>
      <w:r w:rsidRPr="00D0320C">
        <w:rPr>
          <w:rFonts w:ascii="Times New Roman" w:hAnsi="Times New Roman"/>
          <w:sz w:val="16"/>
          <w:szCs w:val="16"/>
        </w:rPr>
        <w:t>GBVIMS</w:t>
      </w:r>
      <w:r>
        <w:rPr>
          <w:rFonts w:ascii="Times New Roman" w:hAnsi="Times New Roman"/>
          <w:sz w:val="16"/>
          <w:szCs w:val="16"/>
        </w:rPr>
        <w:t>)</w:t>
      </w:r>
      <w:r w:rsidRPr="002D4581">
        <w:rPr>
          <w:rFonts w:ascii="Times New Roman" w:hAnsi="Times New Roman"/>
          <w:sz w:val="16"/>
          <w:szCs w:val="16"/>
        </w:rPr>
        <w:t>, 2016</w:t>
      </w:r>
      <w:r>
        <w:rPr>
          <w:rFonts w:ascii="Times New Roman" w:hAnsi="Times New Roman"/>
          <w:sz w:val="16"/>
          <w:szCs w:val="16"/>
        </w:rPr>
        <w:t>.</w:t>
      </w:r>
    </w:p>
  </w:footnote>
  <w:footnote w:id="15">
    <w:p w14:paraId="1ED2A298" w14:textId="76B0EBBA" w:rsidR="007F1EF7" w:rsidRPr="002D4581" w:rsidRDefault="007F1EF7">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No recent statistical data </w:t>
      </w:r>
      <w:r>
        <w:rPr>
          <w:rFonts w:ascii="Times New Roman" w:hAnsi="Times New Roman"/>
          <w:sz w:val="16"/>
          <w:szCs w:val="16"/>
        </w:rPr>
        <w:t xml:space="preserve">is </w:t>
      </w:r>
      <w:r w:rsidRPr="002D4581">
        <w:rPr>
          <w:rFonts w:ascii="Times New Roman" w:hAnsi="Times New Roman"/>
          <w:sz w:val="16"/>
          <w:szCs w:val="16"/>
        </w:rPr>
        <w:t>available but estimates suggest a youth unemployment rate of above 50</w:t>
      </w:r>
      <w:r>
        <w:rPr>
          <w:rFonts w:ascii="Times New Roman" w:hAnsi="Times New Roman"/>
          <w:sz w:val="16"/>
          <w:szCs w:val="16"/>
        </w:rPr>
        <w:t xml:space="preserve"> per cent</w:t>
      </w:r>
      <w:r w:rsidRPr="002D4581">
        <w:rPr>
          <w:rFonts w:ascii="Times New Roman" w:hAnsi="Times New Roman"/>
          <w:sz w:val="16"/>
          <w:szCs w:val="16"/>
        </w:rPr>
        <w:t>.</w:t>
      </w:r>
    </w:p>
  </w:footnote>
  <w:footnote w:id="16">
    <w:p w14:paraId="11B456A5" w14:textId="4E67C0A6" w:rsidR="007F1EF7" w:rsidRPr="002D4581" w:rsidRDefault="007F1EF7">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Signed in Brazzaville </w:t>
      </w:r>
      <w:r w:rsidR="000B2130" w:rsidRPr="002D4581">
        <w:rPr>
          <w:rFonts w:ascii="Times New Roman" w:hAnsi="Times New Roman"/>
          <w:sz w:val="16"/>
          <w:szCs w:val="16"/>
        </w:rPr>
        <w:t>on 23</w:t>
      </w:r>
      <w:r w:rsidRPr="002D4581">
        <w:rPr>
          <w:rFonts w:ascii="Times New Roman" w:hAnsi="Times New Roman"/>
          <w:sz w:val="16"/>
          <w:szCs w:val="16"/>
        </w:rPr>
        <w:t xml:space="preserve"> July 2014 under President Sassou Nguessou’s </w:t>
      </w:r>
      <w:r>
        <w:rPr>
          <w:rFonts w:ascii="Times New Roman" w:hAnsi="Times New Roman"/>
          <w:sz w:val="16"/>
          <w:szCs w:val="16"/>
        </w:rPr>
        <w:t>role</w:t>
      </w:r>
      <w:r w:rsidRPr="002D4581">
        <w:rPr>
          <w:rFonts w:ascii="Times New Roman" w:hAnsi="Times New Roman"/>
          <w:sz w:val="16"/>
          <w:szCs w:val="16"/>
        </w:rPr>
        <w:t xml:space="preserve"> as mediator</w:t>
      </w:r>
      <w:r>
        <w:rPr>
          <w:rFonts w:ascii="Times New Roman" w:hAnsi="Times New Roman"/>
          <w:sz w:val="16"/>
          <w:szCs w:val="16"/>
        </w:rPr>
        <w:t>.</w:t>
      </w:r>
    </w:p>
  </w:footnote>
  <w:footnote w:id="17">
    <w:p w14:paraId="4E6CBEF9" w14:textId="1F7FCCBE" w:rsidR="007F1EF7" w:rsidRPr="002D4581" w:rsidRDefault="007F1EF7">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Common Country Analysis, United Nations, January 2017</w:t>
      </w:r>
      <w:r>
        <w:rPr>
          <w:rFonts w:ascii="Times New Roman" w:hAnsi="Times New Roman"/>
          <w:sz w:val="16"/>
          <w:szCs w:val="16"/>
        </w:rPr>
        <w:t>.</w:t>
      </w:r>
    </w:p>
  </w:footnote>
  <w:footnote w:id="18">
    <w:p w14:paraId="2146AED6" w14:textId="32334CEB" w:rsidR="007F1EF7" w:rsidRPr="00E4151E" w:rsidRDefault="007F1EF7">
      <w:pPr>
        <w:pStyle w:val="FootnoteText"/>
        <w:rPr>
          <w:rFonts w:ascii="Times New Roman" w:hAnsi="Times New Roman"/>
          <w:sz w:val="16"/>
          <w:szCs w:val="16"/>
        </w:rPr>
      </w:pPr>
      <w:r w:rsidRPr="00E4151E">
        <w:rPr>
          <w:rStyle w:val="FootnoteReference"/>
          <w:rFonts w:ascii="Times New Roman" w:hAnsi="Times New Roman"/>
          <w:sz w:val="16"/>
          <w:szCs w:val="16"/>
        </w:rPr>
        <w:footnoteRef/>
      </w:r>
      <w:r w:rsidRPr="00E4151E">
        <w:rPr>
          <w:rFonts w:ascii="Times New Roman" w:hAnsi="Times New Roman"/>
          <w:sz w:val="16"/>
          <w:szCs w:val="16"/>
        </w:rPr>
        <w:t xml:space="preserve"> </w:t>
      </w:r>
      <w:r>
        <w:rPr>
          <w:rFonts w:ascii="Times New Roman" w:hAnsi="Times New Roman"/>
          <w:sz w:val="16"/>
          <w:szCs w:val="16"/>
        </w:rPr>
        <w:t>This includes s</w:t>
      </w:r>
      <w:r w:rsidRPr="00E20B4D">
        <w:rPr>
          <w:rFonts w:ascii="Times New Roman" w:hAnsi="Times New Roman"/>
          <w:sz w:val="16"/>
          <w:szCs w:val="16"/>
        </w:rPr>
        <w:t>ustainably managing forests;</w:t>
      </w:r>
      <w:r w:rsidRPr="00E4151E">
        <w:rPr>
          <w:rFonts w:ascii="Times New Roman" w:hAnsi="Times New Roman"/>
          <w:sz w:val="16"/>
          <w:szCs w:val="16"/>
        </w:rPr>
        <w:t xml:space="preserve"> combat</w:t>
      </w:r>
      <w:r>
        <w:rPr>
          <w:rFonts w:ascii="Times New Roman" w:hAnsi="Times New Roman"/>
          <w:sz w:val="16"/>
          <w:szCs w:val="16"/>
        </w:rPr>
        <w:t>ting desertification;</w:t>
      </w:r>
      <w:r w:rsidRPr="00E20B4D">
        <w:rPr>
          <w:rFonts w:ascii="Times New Roman" w:hAnsi="Times New Roman"/>
          <w:sz w:val="16"/>
          <w:szCs w:val="16"/>
        </w:rPr>
        <w:t xml:space="preserve"> halt</w:t>
      </w:r>
      <w:r>
        <w:rPr>
          <w:rFonts w:ascii="Times New Roman" w:hAnsi="Times New Roman"/>
          <w:sz w:val="16"/>
          <w:szCs w:val="16"/>
        </w:rPr>
        <w:t>ing</w:t>
      </w:r>
      <w:r w:rsidRPr="00E20B4D">
        <w:rPr>
          <w:rFonts w:ascii="Times New Roman" w:hAnsi="Times New Roman"/>
          <w:sz w:val="16"/>
          <w:szCs w:val="16"/>
        </w:rPr>
        <w:t xml:space="preserve"> and reversing</w:t>
      </w:r>
      <w:r w:rsidRPr="00E4151E">
        <w:rPr>
          <w:rFonts w:ascii="Times New Roman" w:hAnsi="Times New Roman"/>
          <w:sz w:val="16"/>
          <w:szCs w:val="16"/>
        </w:rPr>
        <w:t xml:space="preserve"> </w:t>
      </w:r>
      <w:r w:rsidRPr="00E20B4D">
        <w:rPr>
          <w:rFonts w:ascii="Times New Roman" w:hAnsi="Times New Roman"/>
          <w:sz w:val="16"/>
          <w:szCs w:val="16"/>
        </w:rPr>
        <w:t xml:space="preserve">land degradation, and </w:t>
      </w:r>
      <w:r w:rsidRPr="00E4151E">
        <w:rPr>
          <w:rFonts w:ascii="Times New Roman" w:hAnsi="Times New Roman"/>
          <w:sz w:val="16"/>
          <w:szCs w:val="16"/>
        </w:rPr>
        <w:t>halt</w:t>
      </w:r>
      <w:r>
        <w:rPr>
          <w:rFonts w:ascii="Times New Roman" w:hAnsi="Times New Roman"/>
          <w:sz w:val="16"/>
          <w:szCs w:val="16"/>
        </w:rPr>
        <w:t>ing</w:t>
      </w:r>
      <w:r w:rsidRPr="00E4151E">
        <w:rPr>
          <w:rFonts w:ascii="Times New Roman" w:hAnsi="Times New Roman"/>
          <w:sz w:val="16"/>
          <w:szCs w:val="16"/>
        </w:rPr>
        <w:t xml:space="preserve"> the loss of biodiversity</w:t>
      </w:r>
      <w:r>
        <w:rPr>
          <w:rFonts w:ascii="Times New Roman" w:hAnsi="Times New Roman"/>
          <w:sz w:val="16"/>
          <w:szCs w:val="16"/>
        </w:rPr>
        <w:t>.</w:t>
      </w:r>
    </w:p>
  </w:footnote>
  <w:footnote w:id="19">
    <w:p w14:paraId="3CE737CA" w14:textId="2C43122A" w:rsidR="007F1EF7" w:rsidRPr="002D4581" w:rsidRDefault="007F1EF7">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w:t>
      </w:r>
      <w:r>
        <w:rPr>
          <w:rFonts w:ascii="Times New Roman" w:hAnsi="Times New Roman"/>
          <w:sz w:val="16"/>
          <w:szCs w:val="16"/>
        </w:rPr>
        <w:t>Other mechanisms include</w:t>
      </w:r>
      <w:r w:rsidRPr="002D4581">
        <w:rPr>
          <w:rFonts w:ascii="Times New Roman" w:hAnsi="Times New Roman"/>
          <w:sz w:val="16"/>
          <w:szCs w:val="16"/>
        </w:rPr>
        <w:t xml:space="preserve"> the Central African Economic and Monetary Community (CEMAC) and Economic Community of Central African States </w:t>
      </w:r>
      <w:r>
        <w:rPr>
          <w:rFonts w:ascii="Times New Roman" w:hAnsi="Times New Roman"/>
          <w:sz w:val="16"/>
          <w:szCs w:val="16"/>
        </w:rPr>
        <w:t>(</w:t>
      </w:r>
      <w:r w:rsidRPr="002D4581">
        <w:rPr>
          <w:rFonts w:ascii="Times New Roman" w:hAnsi="Times New Roman"/>
          <w:sz w:val="16"/>
          <w:szCs w:val="16"/>
        </w:rPr>
        <w:t>CEEAC</w:t>
      </w:r>
      <w:r>
        <w:rPr>
          <w:rFonts w:ascii="Times New Roman" w:hAnsi="Times New Roman"/>
          <w:sz w:val="16"/>
          <w:szCs w:val="16"/>
        </w:rPr>
        <w:t>)</w:t>
      </w:r>
      <w:r w:rsidRPr="002D4581">
        <w:rPr>
          <w:rFonts w:ascii="Times New Roman" w:hAnsi="Times New Roman"/>
          <w:sz w:val="16"/>
          <w:szCs w:val="16"/>
        </w:rPr>
        <w:t>.</w:t>
      </w:r>
    </w:p>
  </w:footnote>
  <w:footnote w:id="20">
    <w:p w14:paraId="0D54185A" w14:textId="3E0DB91D" w:rsidR="007F1EF7" w:rsidRPr="002D4581" w:rsidRDefault="007F1EF7" w:rsidP="000E7166">
      <w:pPr>
        <w:pStyle w:val="FootnoteText"/>
        <w:rPr>
          <w:rFonts w:ascii="Times New Roman" w:hAnsi="Times New Roman"/>
          <w:sz w:val="16"/>
          <w:szCs w:val="16"/>
        </w:rPr>
      </w:pPr>
      <w:r w:rsidRPr="002D4581">
        <w:rPr>
          <w:rStyle w:val="FootnoteReference"/>
          <w:rFonts w:ascii="Times New Roman" w:hAnsi="Times New Roman"/>
          <w:sz w:val="16"/>
          <w:szCs w:val="16"/>
        </w:rPr>
        <w:footnoteRef/>
      </w:r>
      <w:r w:rsidRPr="002D4581">
        <w:rPr>
          <w:rFonts w:ascii="Times New Roman" w:hAnsi="Times New Roman"/>
          <w:sz w:val="16"/>
          <w:szCs w:val="16"/>
        </w:rPr>
        <w:t xml:space="preserve"> </w:t>
      </w:r>
      <w:r>
        <w:rPr>
          <w:rFonts w:ascii="Times New Roman" w:hAnsi="Times New Roman"/>
          <w:sz w:val="16"/>
          <w:szCs w:val="16"/>
        </w:rPr>
        <w:t>Because of</w:t>
      </w:r>
      <w:r w:rsidRPr="002D4581">
        <w:rPr>
          <w:rFonts w:ascii="Times New Roman" w:hAnsi="Times New Roman"/>
          <w:sz w:val="16"/>
          <w:szCs w:val="16"/>
        </w:rPr>
        <w:t xml:space="preserve"> limited availability of data, UNDP </w:t>
      </w:r>
      <w:r>
        <w:rPr>
          <w:rFonts w:ascii="Times New Roman" w:hAnsi="Times New Roman"/>
          <w:sz w:val="16"/>
          <w:szCs w:val="16"/>
        </w:rPr>
        <w:t>uses</w:t>
      </w:r>
      <w:r w:rsidRPr="002D4581">
        <w:rPr>
          <w:rFonts w:ascii="Times New Roman" w:hAnsi="Times New Roman"/>
          <w:sz w:val="16"/>
          <w:szCs w:val="16"/>
        </w:rPr>
        <w:t xml:space="preserve"> non-traditional sources of data throughout the programme cycle.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85"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5047"/>
    </w:tblGrid>
    <w:tr w:rsidR="007F1EF7" w:rsidRPr="00CE68BD" w14:paraId="7E084B0A" w14:textId="77777777" w:rsidTr="00CE68BD">
      <w:trPr>
        <w:trHeight w:hRule="exact" w:val="864"/>
      </w:trPr>
      <w:tc>
        <w:tcPr>
          <w:tcW w:w="4838" w:type="dxa"/>
          <w:tcBorders>
            <w:bottom w:val="single" w:sz="4" w:space="0" w:color="auto"/>
          </w:tcBorders>
          <w:vAlign w:val="bottom"/>
        </w:tcPr>
        <w:p w14:paraId="73244758" w14:textId="77777777" w:rsidR="007F1EF7" w:rsidRPr="00CE68BD" w:rsidRDefault="007F1EF7" w:rsidP="00CE68BD">
          <w:pPr>
            <w:widowControl w:val="0"/>
            <w:tabs>
              <w:tab w:val="center" w:pos="4320"/>
              <w:tab w:val="right" w:pos="8640"/>
            </w:tabs>
            <w:spacing w:after="80"/>
            <w:ind w:left="-1838" w:firstLine="1838"/>
            <w:rPr>
              <w:b/>
              <w:sz w:val="17"/>
              <w:szCs w:val="17"/>
            </w:rPr>
          </w:pPr>
          <w:r w:rsidRPr="00CE68BD">
            <w:rPr>
              <w:b/>
              <w:sz w:val="17"/>
              <w:szCs w:val="17"/>
            </w:rPr>
            <w:t>DP/DCP/</w:t>
          </w:r>
          <w:r>
            <w:rPr>
              <w:b/>
              <w:sz w:val="17"/>
              <w:szCs w:val="17"/>
            </w:rPr>
            <w:t>CAF</w:t>
          </w:r>
          <w:r w:rsidRPr="00CE68BD">
            <w:rPr>
              <w:b/>
              <w:sz w:val="17"/>
              <w:szCs w:val="17"/>
            </w:rPr>
            <w:t>/</w:t>
          </w:r>
          <w:r>
            <w:rPr>
              <w:b/>
              <w:sz w:val="17"/>
              <w:szCs w:val="17"/>
            </w:rPr>
            <w:t>4</w:t>
          </w:r>
        </w:p>
      </w:tc>
      <w:tc>
        <w:tcPr>
          <w:tcW w:w="5047" w:type="dxa"/>
          <w:tcBorders>
            <w:bottom w:val="single" w:sz="4" w:space="0" w:color="auto"/>
          </w:tcBorders>
          <w:vAlign w:val="bottom"/>
        </w:tcPr>
        <w:p w14:paraId="51D1F09B" w14:textId="77777777" w:rsidR="007F1EF7" w:rsidRPr="00CE68BD" w:rsidRDefault="007F1EF7" w:rsidP="00CE68BD">
          <w:pPr>
            <w:widowControl w:val="0"/>
            <w:tabs>
              <w:tab w:val="center" w:pos="4320"/>
              <w:tab w:val="right" w:pos="8640"/>
            </w:tabs>
            <w:rPr>
              <w:sz w:val="17"/>
              <w:szCs w:val="17"/>
            </w:rPr>
          </w:pPr>
        </w:p>
      </w:tc>
    </w:tr>
  </w:tbl>
  <w:p w14:paraId="1F33AB95" w14:textId="77777777" w:rsidR="007F1EF7" w:rsidRPr="00AE2876" w:rsidRDefault="007F1EF7" w:rsidP="00E83C8A">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85"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5047"/>
    </w:tblGrid>
    <w:tr w:rsidR="007F1EF7" w:rsidRPr="009962BD" w14:paraId="203B9FFC" w14:textId="77777777" w:rsidTr="001457AA">
      <w:trPr>
        <w:trHeight w:hRule="exact" w:val="864"/>
      </w:trPr>
      <w:tc>
        <w:tcPr>
          <w:tcW w:w="4838" w:type="dxa"/>
          <w:tcBorders>
            <w:bottom w:val="single" w:sz="4" w:space="0" w:color="auto"/>
          </w:tcBorders>
          <w:vAlign w:val="bottom"/>
        </w:tcPr>
        <w:p w14:paraId="6458D2BC" w14:textId="77777777" w:rsidR="007F1EF7" w:rsidRPr="001457AA" w:rsidRDefault="007F1EF7" w:rsidP="001457AA">
          <w:pPr>
            <w:widowControl w:val="0"/>
            <w:tabs>
              <w:tab w:val="center" w:pos="4320"/>
              <w:tab w:val="right" w:pos="8640"/>
            </w:tabs>
            <w:spacing w:after="80"/>
            <w:rPr>
              <w:b/>
              <w:sz w:val="17"/>
              <w:szCs w:val="17"/>
            </w:rPr>
          </w:pPr>
        </w:p>
      </w:tc>
      <w:tc>
        <w:tcPr>
          <w:tcW w:w="5047" w:type="dxa"/>
          <w:tcBorders>
            <w:bottom w:val="single" w:sz="4" w:space="0" w:color="auto"/>
          </w:tcBorders>
          <w:vAlign w:val="bottom"/>
        </w:tcPr>
        <w:p w14:paraId="3E997573" w14:textId="77777777" w:rsidR="007F1EF7" w:rsidRPr="009962BD" w:rsidRDefault="007F1EF7" w:rsidP="001457AA">
          <w:pPr>
            <w:widowControl w:val="0"/>
            <w:tabs>
              <w:tab w:val="center" w:pos="4320"/>
              <w:tab w:val="right" w:pos="8640"/>
            </w:tabs>
            <w:jc w:val="right"/>
            <w:rPr>
              <w:sz w:val="17"/>
              <w:szCs w:val="17"/>
            </w:rPr>
          </w:pPr>
          <w:r w:rsidRPr="009962BD">
            <w:rPr>
              <w:b/>
              <w:sz w:val="17"/>
              <w:szCs w:val="17"/>
            </w:rPr>
            <w:t>DP/DCP/CAF/4</w:t>
          </w:r>
        </w:p>
      </w:tc>
    </w:tr>
  </w:tbl>
  <w:p w14:paraId="2A754CE8" w14:textId="77777777" w:rsidR="007F1EF7" w:rsidRPr="00AE2876" w:rsidRDefault="007F1EF7" w:rsidP="001457AA">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07"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140"/>
      <w:gridCol w:w="28"/>
    </w:tblGrid>
    <w:tr w:rsidR="007F1EF7" w:rsidRPr="00C8562A" w14:paraId="328FB42D" w14:textId="77777777" w:rsidTr="00C8562A">
      <w:trPr>
        <w:trHeight w:hRule="exact" w:val="864"/>
      </w:trPr>
      <w:tc>
        <w:tcPr>
          <w:tcW w:w="1267" w:type="dxa"/>
          <w:tcBorders>
            <w:bottom w:val="single" w:sz="4" w:space="0" w:color="auto"/>
          </w:tcBorders>
          <w:shd w:val="clear" w:color="auto" w:fill="auto"/>
          <w:vAlign w:val="bottom"/>
        </w:tcPr>
        <w:p w14:paraId="294209F6" w14:textId="77777777" w:rsidR="007F1EF7" w:rsidRPr="00C8562A" w:rsidRDefault="007F1EF7" w:rsidP="00C8562A">
          <w:pPr>
            <w:tabs>
              <w:tab w:val="center" w:pos="4320"/>
              <w:tab w:val="right" w:pos="8640"/>
            </w:tabs>
            <w:spacing w:after="120"/>
            <w:rPr>
              <w:noProof/>
              <w:sz w:val="17"/>
              <w:szCs w:val="20"/>
            </w:rPr>
          </w:pPr>
        </w:p>
      </w:tc>
      <w:tc>
        <w:tcPr>
          <w:tcW w:w="1872" w:type="dxa"/>
          <w:tcBorders>
            <w:bottom w:val="single" w:sz="4" w:space="0" w:color="auto"/>
          </w:tcBorders>
          <w:shd w:val="clear" w:color="auto" w:fill="auto"/>
          <w:vAlign w:val="bottom"/>
        </w:tcPr>
        <w:p w14:paraId="6584DA09" w14:textId="77777777" w:rsidR="007F1EF7" w:rsidRPr="00C8562A" w:rsidRDefault="007F1EF7" w:rsidP="00C8562A">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80" w:line="300" w:lineRule="exact"/>
            <w:outlineLvl w:val="0"/>
            <w:rPr>
              <w:spacing w:val="2"/>
              <w:w w:val="96"/>
              <w:kern w:val="14"/>
              <w:sz w:val="28"/>
              <w:szCs w:val="20"/>
              <w:lang w:val="en-GB"/>
            </w:rPr>
          </w:pPr>
          <w:r w:rsidRPr="00C8562A">
            <w:rPr>
              <w:spacing w:val="2"/>
              <w:w w:val="96"/>
              <w:kern w:val="14"/>
              <w:sz w:val="28"/>
              <w:szCs w:val="20"/>
              <w:lang w:val="en-GB"/>
            </w:rPr>
            <w:t>United Nations</w:t>
          </w:r>
        </w:p>
      </w:tc>
      <w:tc>
        <w:tcPr>
          <w:tcW w:w="245" w:type="dxa"/>
          <w:tcBorders>
            <w:bottom w:val="single" w:sz="4" w:space="0" w:color="auto"/>
          </w:tcBorders>
          <w:shd w:val="clear" w:color="auto" w:fill="auto"/>
          <w:vAlign w:val="bottom"/>
        </w:tcPr>
        <w:p w14:paraId="34AD89E6" w14:textId="77777777" w:rsidR="007F1EF7" w:rsidRPr="00C8562A" w:rsidRDefault="007F1EF7" w:rsidP="00C8562A">
          <w:pPr>
            <w:tabs>
              <w:tab w:val="center" w:pos="4320"/>
              <w:tab w:val="right" w:pos="8640"/>
            </w:tabs>
            <w:spacing w:after="120"/>
            <w:rPr>
              <w:noProof/>
              <w:sz w:val="17"/>
              <w:szCs w:val="20"/>
            </w:rPr>
          </w:pPr>
        </w:p>
      </w:tc>
      <w:tc>
        <w:tcPr>
          <w:tcW w:w="6523" w:type="dxa"/>
          <w:gridSpan w:val="4"/>
          <w:tcBorders>
            <w:bottom w:val="single" w:sz="4" w:space="0" w:color="auto"/>
          </w:tcBorders>
          <w:shd w:val="clear" w:color="auto" w:fill="auto"/>
          <w:vAlign w:val="bottom"/>
        </w:tcPr>
        <w:p w14:paraId="00901559" w14:textId="77777777" w:rsidR="007F1EF7" w:rsidRPr="00C8562A" w:rsidRDefault="007F1EF7" w:rsidP="00C8562A">
          <w:pPr>
            <w:suppressAutoHyphens/>
            <w:spacing w:after="80"/>
            <w:jc w:val="right"/>
            <w:rPr>
              <w:spacing w:val="4"/>
              <w:w w:val="103"/>
              <w:kern w:val="14"/>
              <w:position w:val="-4"/>
              <w:sz w:val="20"/>
              <w:szCs w:val="20"/>
              <w:lang w:val="en-GB"/>
            </w:rPr>
          </w:pPr>
          <w:r w:rsidRPr="00C8562A">
            <w:rPr>
              <w:spacing w:val="4"/>
              <w:w w:val="103"/>
              <w:kern w:val="14"/>
              <w:position w:val="-4"/>
              <w:sz w:val="40"/>
              <w:szCs w:val="20"/>
              <w:lang w:val="en-GB"/>
            </w:rPr>
            <w:t>DP</w:t>
          </w:r>
          <w:r w:rsidRPr="00C8562A">
            <w:rPr>
              <w:spacing w:val="4"/>
              <w:w w:val="103"/>
              <w:kern w:val="14"/>
              <w:position w:val="-4"/>
              <w:sz w:val="20"/>
              <w:szCs w:val="20"/>
              <w:lang w:val="en-GB"/>
            </w:rPr>
            <w:t>/DCP/</w:t>
          </w:r>
          <w:r>
            <w:rPr>
              <w:spacing w:val="4"/>
              <w:w w:val="103"/>
              <w:kern w:val="14"/>
              <w:position w:val="-4"/>
              <w:sz w:val="20"/>
              <w:szCs w:val="20"/>
              <w:lang w:val="en-GB"/>
            </w:rPr>
            <w:t>CAF</w:t>
          </w:r>
          <w:r w:rsidRPr="00C8562A">
            <w:rPr>
              <w:spacing w:val="4"/>
              <w:w w:val="103"/>
              <w:kern w:val="14"/>
              <w:position w:val="-4"/>
              <w:sz w:val="20"/>
              <w:szCs w:val="20"/>
              <w:lang w:val="en-GB"/>
            </w:rPr>
            <w:t>/</w:t>
          </w:r>
          <w:r>
            <w:rPr>
              <w:spacing w:val="4"/>
              <w:w w:val="103"/>
              <w:kern w:val="14"/>
              <w:position w:val="-4"/>
              <w:sz w:val="20"/>
              <w:szCs w:val="20"/>
              <w:lang w:val="en-GB"/>
            </w:rPr>
            <w:t>4</w:t>
          </w:r>
        </w:p>
      </w:tc>
    </w:tr>
    <w:tr w:rsidR="007F1EF7" w:rsidRPr="00C8562A" w14:paraId="35C2D6C4" w14:textId="77777777" w:rsidTr="00C8562A">
      <w:trPr>
        <w:gridAfter w:val="1"/>
        <w:wAfter w:w="28" w:type="dxa"/>
        <w:trHeight w:hRule="exact" w:val="2880"/>
      </w:trPr>
      <w:tc>
        <w:tcPr>
          <w:tcW w:w="1267" w:type="dxa"/>
          <w:tcBorders>
            <w:top w:val="single" w:sz="4" w:space="0" w:color="auto"/>
            <w:bottom w:val="single" w:sz="12" w:space="0" w:color="auto"/>
          </w:tcBorders>
          <w:shd w:val="clear" w:color="auto" w:fill="auto"/>
        </w:tcPr>
        <w:p w14:paraId="4DFFE8B5" w14:textId="77777777" w:rsidR="007F1EF7" w:rsidRPr="00C8562A" w:rsidRDefault="007F1EF7" w:rsidP="00C8562A">
          <w:pPr>
            <w:tabs>
              <w:tab w:val="center" w:pos="4320"/>
              <w:tab w:val="right" w:pos="8640"/>
            </w:tabs>
            <w:spacing w:before="109"/>
            <w:rPr>
              <w:noProof/>
              <w:sz w:val="17"/>
              <w:szCs w:val="20"/>
            </w:rPr>
          </w:pPr>
          <w:r w:rsidRPr="00C8562A">
            <w:rPr>
              <w:noProof/>
              <w:sz w:val="17"/>
              <w:szCs w:val="20"/>
            </w:rPr>
            <w:t xml:space="preserve"> </w:t>
          </w:r>
          <w:r w:rsidRPr="00C8562A">
            <w:rPr>
              <w:noProof/>
              <w:sz w:val="17"/>
              <w:szCs w:val="20"/>
            </w:rPr>
            <w:drawing>
              <wp:inline distT="0" distB="0" distL="0" distR="0" wp14:anchorId="5A1FC9F1" wp14:editId="1092F7BF">
                <wp:extent cx="702945" cy="592455"/>
                <wp:effectExtent l="0" t="0" r="1905" b="0"/>
                <wp:docPr id="1" name="Pictur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945" cy="592455"/>
                        </a:xfrm>
                        <a:prstGeom prst="rect">
                          <a:avLst/>
                        </a:prstGeom>
                        <a:noFill/>
                        <a:ln>
                          <a:noFill/>
                        </a:ln>
                      </pic:spPr>
                    </pic:pic>
                  </a:graphicData>
                </a:graphic>
              </wp:inline>
            </w:drawing>
          </w:r>
        </w:p>
        <w:p w14:paraId="6D8F3C3C" w14:textId="77777777" w:rsidR="007F1EF7" w:rsidRPr="00C8562A" w:rsidRDefault="007F1EF7" w:rsidP="00C8562A">
          <w:pPr>
            <w:tabs>
              <w:tab w:val="center" w:pos="4320"/>
              <w:tab w:val="right" w:pos="8640"/>
            </w:tabs>
            <w:spacing w:before="109"/>
            <w:rPr>
              <w:noProof/>
              <w:sz w:val="17"/>
              <w:szCs w:val="20"/>
            </w:rPr>
          </w:pPr>
        </w:p>
      </w:tc>
      <w:tc>
        <w:tcPr>
          <w:tcW w:w="5227" w:type="dxa"/>
          <w:gridSpan w:val="3"/>
          <w:tcBorders>
            <w:top w:val="single" w:sz="4" w:space="0" w:color="auto"/>
            <w:bottom w:val="single" w:sz="12" w:space="0" w:color="auto"/>
          </w:tcBorders>
          <w:shd w:val="clear" w:color="auto" w:fill="auto"/>
        </w:tcPr>
        <w:p w14:paraId="2B06AF1A" w14:textId="77777777" w:rsidR="007F1EF7" w:rsidRPr="00C8562A" w:rsidRDefault="007F1EF7" w:rsidP="00C8562A">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before="109"/>
            <w:outlineLvl w:val="0"/>
            <w:rPr>
              <w:b/>
              <w:spacing w:val="-4"/>
              <w:w w:val="98"/>
              <w:kern w:val="14"/>
              <w:sz w:val="34"/>
              <w:szCs w:val="20"/>
              <w:lang w:val="en-GB"/>
            </w:rPr>
          </w:pPr>
          <w:r w:rsidRPr="00C8562A">
            <w:rPr>
              <w:b/>
              <w:sz w:val="34"/>
              <w:szCs w:val="20"/>
            </w:rPr>
            <w:t>Executive Board of the</w:t>
          </w:r>
          <w:r w:rsidRPr="00C8562A">
            <w:rPr>
              <w:b/>
              <w:sz w:val="34"/>
              <w:szCs w:val="20"/>
            </w:rPr>
            <w:br/>
            <w:t>United Nations Development</w:t>
          </w:r>
          <w:r w:rsidRPr="00C8562A">
            <w:rPr>
              <w:b/>
              <w:sz w:val="34"/>
              <w:szCs w:val="20"/>
            </w:rPr>
            <w:br/>
            <w:t xml:space="preserve">Programme, the United Nations Population Fund and the </w:t>
          </w:r>
          <w:r w:rsidRPr="00C8562A">
            <w:rPr>
              <w:b/>
              <w:sz w:val="34"/>
              <w:szCs w:val="20"/>
            </w:rPr>
            <w:br/>
            <w:t xml:space="preserve">United Nations Office for </w:t>
          </w:r>
          <w:r w:rsidRPr="00C8562A">
            <w:rPr>
              <w:b/>
              <w:sz w:val="34"/>
              <w:szCs w:val="20"/>
            </w:rPr>
            <w:br/>
            <w:t>Project Services</w:t>
          </w:r>
        </w:p>
        <w:p w14:paraId="3A78421A" w14:textId="77777777" w:rsidR="007F1EF7" w:rsidRPr="00C8562A" w:rsidRDefault="007F1EF7" w:rsidP="00C8562A">
          <w:pPr>
            <w:rPr>
              <w:sz w:val="34"/>
              <w:szCs w:val="20"/>
              <w:lang w:val="en-GB"/>
            </w:rPr>
          </w:pPr>
        </w:p>
        <w:p w14:paraId="328CA820" w14:textId="77777777" w:rsidR="007F1EF7" w:rsidRPr="00C8562A" w:rsidRDefault="007F1EF7" w:rsidP="00C8562A">
          <w:pPr>
            <w:ind w:firstLine="720"/>
            <w:rPr>
              <w:sz w:val="34"/>
              <w:szCs w:val="20"/>
              <w:lang w:val="en-GB"/>
            </w:rPr>
          </w:pPr>
        </w:p>
      </w:tc>
      <w:tc>
        <w:tcPr>
          <w:tcW w:w="245" w:type="dxa"/>
          <w:tcBorders>
            <w:top w:val="single" w:sz="4" w:space="0" w:color="auto"/>
            <w:bottom w:val="single" w:sz="12" w:space="0" w:color="auto"/>
          </w:tcBorders>
          <w:shd w:val="clear" w:color="auto" w:fill="auto"/>
        </w:tcPr>
        <w:p w14:paraId="591AB4CE" w14:textId="77777777" w:rsidR="007F1EF7" w:rsidRPr="009962BD" w:rsidRDefault="007F1EF7" w:rsidP="00C8562A">
          <w:pPr>
            <w:tabs>
              <w:tab w:val="center" w:pos="4320"/>
              <w:tab w:val="right" w:pos="8640"/>
            </w:tabs>
            <w:spacing w:before="109"/>
            <w:rPr>
              <w:noProof/>
              <w:sz w:val="17"/>
              <w:szCs w:val="20"/>
            </w:rPr>
          </w:pPr>
        </w:p>
      </w:tc>
      <w:tc>
        <w:tcPr>
          <w:tcW w:w="3140" w:type="dxa"/>
          <w:tcBorders>
            <w:top w:val="single" w:sz="4" w:space="0" w:color="auto"/>
            <w:bottom w:val="single" w:sz="12" w:space="0" w:color="auto"/>
          </w:tcBorders>
          <w:shd w:val="clear" w:color="auto" w:fill="auto"/>
        </w:tcPr>
        <w:p w14:paraId="7097333A" w14:textId="77777777" w:rsidR="007F1EF7" w:rsidRPr="009962BD" w:rsidRDefault="007F1EF7" w:rsidP="00C8562A">
          <w:pPr>
            <w:suppressAutoHyphens/>
            <w:spacing w:before="240" w:line="240" w:lineRule="exact"/>
            <w:rPr>
              <w:spacing w:val="4"/>
              <w:w w:val="103"/>
              <w:kern w:val="14"/>
              <w:sz w:val="20"/>
              <w:szCs w:val="20"/>
              <w:lang w:val="en-GB"/>
            </w:rPr>
          </w:pPr>
          <w:r w:rsidRPr="009962BD">
            <w:rPr>
              <w:spacing w:val="4"/>
              <w:w w:val="103"/>
              <w:kern w:val="14"/>
              <w:sz w:val="20"/>
              <w:szCs w:val="20"/>
              <w:lang w:val="en-GB"/>
            </w:rPr>
            <w:t>Distr.: General</w:t>
          </w:r>
        </w:p>
        <w:p w14:paraId="73952397" w14:textId="1EE3BFCA" w:rsidR="007F1EF7" w:rsidRPr="009962BD" w:rsidRDefault="00C007FE" w:rsidP="00C8562A">
          <w:pPr>
            <w:suppressAutoHyphens/>
            <w:spacing w:line="240" w:lineRule="exact"/>
            <w:rPr>
              <w:spacing w:val="4"/>
              <w:w w:val="103"/>
              <w:kern w:val="14"/>
              <w:sz w:val="20"/>
              <w:szCs w:val="20"/>
              <w:lang w:val="en-GB"/>
            </w:rPr>
          </w:pPr>
          <w:r>
            <w:rPr>
              <w:spacing w:val="4"/>
              <w:w w:val="103"/>
              <w:kern w:val="14"/>
              <w:sz w:val="20"/>
              <w:szCs w:val="20"/>
              <w:lang w:val="en-GB"/>
            </w:rPr>
            <w:t>13</w:t>
          </w:r>
          <w:r w:rsidR="009962BD" w:rsidRPr="009962BD">
            <w:rPr>
              <w:spacing w:val="4"/>
              <w:w w:val="103"/>
              <w:kern w:val="14"/>
              <w:sz w:val="20"/>
              <w:szCs w:val="20"/>
              <w:lang w:val="en-GB"/>
            </w:rPr>
            <w:t xml:space="preserve"> </w:t>
          </w:r>
          <w:r>
            <w:rPr>
              <w:spacing w:val="4"/>
              <w:w w:val="103"/>
              <w:kern w:val="14"/>
              <w:sz w:val="20"/>
              <w:szCs w:val="20"/>
              <w:lang w:val="en-GB"/>
            </w:rPr>
            <w:t>June</w:t>
          </w:r>
          <w:r w:rsidR="007F1EF7" w:rsidRPr="009962BD">
            <w:rPr>
              <w:spacing w:val="4"/>
              <w:w w:val="103"/>
              <w:kern w:val="14"/>
              <w:sz w:val="20"/>
              <w:szCs w:val="20"/>
              <w:lang w:val="en-GB"/>
            </w:rPr>
            <w:t xml:space="preserve"> 2017</w:t>
          </w:r>
        </w:p>
        <w:p w14:paraId="3B834ADF" w14:textId="77777777" w:rsidR="007F1EF7" w:rsidRPr="009962BD" w:rsidRDefault="007F1EF7" w:rsidP="00C8562A">
          <w:pPr>
            <w:suppressAutoHyphens/>
            <w:spacing w:line="240" w:lineRule="exact"/>
            <w:rPr>
              <w:spacing w:val="4"/>
              <w:w w:val="103"/>
              <w:kern w:val="14"/>
              <w:sz w:val="20"/>
              <w:szCs w:val="20"/>
              <w:lang w:val="en-GB"/>
            </w:rPr>
          </w:pPr>
        </w:p>
        <w:p w14:paraId="36DC1FF5" w14:textId="77777777" w:rsidR="007F1EF7" w:rsidRPr="009962BD" w:rsidRDefault="007F1EF7" w:rsidP="00C8562A">
          <w:pPr>
            <w:suppressAutoHyphens/>
            <w:spacing w:line="240" w:lineRule="exact"/>
            <w:rPr>
              <w:spacing w:val="4"/>
              <w:w w:val="103"/>
              <w:kern w:val="14"/>
              <w:sz w:val="20"/>
              <w:szCs w:val="20"/>
              <w:lang w:val="en-GB"/>
            </w:rPr>
          </w:pPr>
          <w:r w:rsidRPr="009962BD">
            <w:rPr>
              <w:spacing w:val="4"/>
              <w:w w:val="103"/>
              <w:kern w:val="14"/>
              <w:sz w:val="20"/>
              <w:szCs w:val="20"/>
              <w:lang w:val="en-GB"/>
            </w:rPr>
            <w:t>Original: English</w:t>
          </w:r>
        </w:p>
      </w:tc>
    </w:tr>
  </w:tbl>
  <w:p w14:paraId="0EB5F21A" w14:textId="77777777" w:rsidR="007F1EF7" w:rsidRPr="00C8562A" w:rsidRDefault="007F1EF7">
    <w:pPr>
      <w:pStyle w:val="Heade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456BA" w14:textId="77777777" w:rsidR="007F1EF7" w:rsidRDefault="007F1EF7">
    <w:pPr>
      <w:pStyle w:val="Header"/>
    </w:pPr>
    <w:r>
      <w:rPr>
        <w:noProof/>
        <w:lang w:val="en-US" w:eastAsia="en-US"/>
      </w:rPr>
      <mc:AlternateContent>
        <mc:Choice Requires="wps">
          <w:drawing>
            <wp:anchor distT="0" distB="0" distL="114300" distR="114300" simplePos="0" relativeHeight="251657216" behindDoc="0" locked="0" layoutInCell="0" allowOverlap="1" wp14:anchorId="71372204" wp14:editId="6B20E62B">
              <wp:simplePos x="0" y="0"/>
              <wp:positionH relativeFrom="column">
                <wp:posOffset>-73025</wp:posOffset>
              </wp:positionH>
              <wp:positionV relativeFrom="paragraph">
                <wp:posOffset>-302895</wp:posOffset>
              </wp:positionV>
              <wp:extent cx="8464550" cy="640080"/>
              <wp:effectExtent l="3175" t="190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4550" cy="6400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W w:w="13114"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8276"/>
                          </w:tblGrid>
                          <w:tr w:rsidR="007F1EF7" w:rsidRPr="005841A3" w14:paraId="6E759E01" w14:textId="77777777">
                            <w:trPr>
                              <w:trHeight w:hRule="exact" w:val="864"/>
                            </w:trPr>
                            <w:tc>
                              <w:tcPr>
                                <w:tcW w:w="4838" w:type="dxa"/>
                                <w:tcBorders>
                                  <w:bottom w:val="single" w:sz="4" w:space="0" w:color="auto"/>
                                </w:tcBorders>
                                <w:vAlign w:val="bottom"/>
                              </w:tcPr>
                              <w:p w14:paraId="4CDFE15C" w14:textId="6ACAD0EE" w:rsidR="007F1EF7" w:rsidRPr="007C6F85" w:rsidRDefault="007F1EF7" w:rsidP="005841A3">
                                <w:pPr>
                                  <w:pStyle w:val="Header"/>
                                  <w:spacing w:after="80"/>
                                  <w:rPr>
                                    <w:rFonts w:ascii="Times New Roman" w:hAnsi="Times New Roman"/>
                                    <w:b/>
                                    <w:sz w:val="17"/>
                                    <w:szCs w:val="17"/>
                                    <w:lang w:val="en-US" w:eastAsia="en-US"/>
                                  </w:rPr>
                                </w:pPr>
                                <w:r w:rsidRPr="009962BD">
                                  <w:rPr>
                                    <w:rFonts w:ascii="Times New Roman" w:hAnsi="Times New Roman"/>
                                    <w:b/>
                                    <w:sz w:val="17"/>
                                    <w:szCs w:val="17"/>
                                    <w:lang w:val="en-US" w:eastAsia="en-US"/>
                                  </w:rPr>
                                  <w:t>DP/DCP/</w:t>
                                </w:r>
                                <w:r w:rsidR="009962BD">
                                  <w:rPr>
                                    <w:rFonts w:ascii="Times New Roman" w:hAnsi="Times New Roman"/>
                                    <w:b/>
                                    <w:sz w:val="17"/>
                                    <w:szCs w:val="17"/>
                                    <w:lang w:val="en-US" w:eastAsia="en-US"/>
                                  </w:rPr>
                                  <w:t>CAF/4</w:t>
                                </w:r>
                              </w:p>
                            </w:tc>
                            <w:tc>
                              <w:tcPr>
                                <w:tcW w:w="8276" w:type="dxa"/>
                                <w:tcBorders>
                                  <w:bottom w:val="single" w:sz="4" w:space="0" w:color="auto"/>
                                </w:tcBorders>
                                <w:vAlign w:val="bottom"/>
                              </w:tcPr>
                              <w:p w14:paraId="43D571A5" w14:textId="77777777" w:rsidR="007F1EF7" w:rsidRPr="007C6F85" w:rsidRDefault="007F1EF7">
                                <w:pPr>
                                  <w:pStyle w:val="Header"/>
                                  <w:rPr>
                                    <w:rFonts w:ascii="Times New Roman" w:hAnsi="Times New Roman"/>
                                    <w:sz w:val="17"/>
                                    <w:szCs w:val="17"/>
                                    <w:lang w:val="en-US" w:eastAsia="en-US"/>
                                  </w:rPr>
                                </w:pPr>
                              </w:p>
                            </w:tc>
                          </w:tr>
                        </w:tbl>
                        <w:p w14:paraId="313B8F1D" w14:textId="77777777" w:rsidR="007F1EF7" w:rsidRDefault="007F1EF7"/>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71372204" id="_x0000_t202" coordsize="21600,21600" o:spt="202" path="m,l,21600r21600,l21600,xe">
              <v:stroke joinstyle="miter"/>
              <v:path gradientshapeok="t" o:connecttype="rect"/>
            </v:shapetype>
            <v:shape id="Text Box 2" o:spid="_x0000_s1026" type="#_x0000_t202" style="position:absolute;margin-left:-5.75pt;margin-top:-23.85pt;width:666.5pt;height:5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" o:allowincell="f" stroked="f">
              <v:textbox inset="0,0,0,0">
                <w:txbxContent>
                  <w:tbl>
                    <w:tblPr>
                      <w:tblW w:w="13114"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8276"/>
                    </w:tblGrid>
                    <w:tr w:rsidR="007F1EF7" w:rsidRPr="005841A3" w14:paraId="6E759E01" w14:textId="77777777">
                      <w:trPr>
                        <w:trHeight w:hRule="exact" w:val="864"/>
                      </w:trPr>
                      <w:tc>
                        <w:tcPr>
                          <w:tcW w:w="4838" w:type="dxa"/>
                          <w:tcBorders>
                            <w:bottom w:val="single" w:sz="4" w:space="0" w:color="auto"/>
                          </w:tcBorders>
                          <w:vAlign w:val="bottom"/>
                        </w:tcPr>
                        <w:p w14:paraId="4CDFE15C" w14:textId="6ACAD0EE" w:rsidR="007F1EF7" w:rsidRPr="007C6F85" w:rsidRDefault="007F1EF7" w:rsidP="005841A3">
                          <w:pPr>
                            <w:pStyle w:val="Header"/>
                            <w:spacing w:after="80"/>
                            <w:rPr>
                              <w:rFonts w:ascii="Times New Roman" w:hAnsi="Times New Roman"/>
                              <w:b/>
                              <w:sz w:val="17"/>
                              <w:szCs w:val="17"/>
                              <w:lang w:val="en-US" w:eastAsia="en-US"/>
                            </w:rPr>
                          </w:pPr>
                          <w:r w:rsidRPr="009962BD">
                            <w:rPr>
                              <w:rFonts w:ascii="Times New Roman" w:hAnsi="Times New Roman"/>
                              <w:b/>
                              <w:sz w:val="17"/>
                              <w:szCs w:val="17"/>
                              <w:lang w:val="en-US" w:eastAsia="en-US"/>
                            </w:rPr>
                            <w:t>DP/DCP/</w:t>
                          </w:r>
                          <w:r w:rsidR="009962BD">
                            <w:rPr>
                              <w:rFonts w:ascii="Times New Roman" w:hAnsi="Times New Roman"/>
                              <w:b/>
                              <w:sz w:val="17"/>
                              <w:szCs w:val="17"/>
                              <w:lang w:val="en-US" w:eastAsia="en-US"/>
                            </w:rPr>
                            <w:t>CAF/4</w:t>
                          </w:r>
                        </w:p>
                      </w:tc>
                      <w:tc>
                        <w:tcPr>
                          <w:tcW w:w="8276" w:type="dxa"/>
                          <w:tcBorders>
                            <w:bottom w:val="single" w:sz="4" w:space="0" w:color="auto"/>
                          </w:tcBorders>
                          <w:vAlign w:val="bottom"/>
                        </w:tcPr>
                        <w:p w14:paraId="43D571A5" w14:textId="77777777" w:rsidR="007F1EF7" w:rsidRPr="007C6F85" w:rsidRDefault="007F1EF7">
                          <w:pPr>
                            <w:pStyle w:val="Header"/>
                            <w:rPr>
                              <w:rFonts w:ascii="Times New Roman" w:hAnsi="Times New Roman"/>
                              <w:sz w:val="17"/>
                              <w:szCs w:val="17"/>
                              <w:lang w:val="en-US" w:eastAsia="en-US"/>
                            </w:rPr>
                          </w:pPr>
                        </w:p>
                      </w:tc>
                    </w:tr>
                  </w:tbl>
                  <w:p w14:paraId="313B8F1D" w14:textId="77777777" w:rsidR="007F1EF7" w:rsidRDefault="007F1EF7"/>
                </w:txbxContent>
              </v:textbox>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050"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8212"/>
    </w:tblGrid>
    <w:tr w:rsidR="007F1EF7" w:rsidRPr="001457AA" w14:paraId="58FADE54" w14:textId="77777777" w:rsidTr="00A366B0">
      <w:trPr>
        <w:trHeight w:hRule="exact" w:val="864"/>
      </w:trPr>
      <w:tc>
        <w:tcPr>
          <w:tcW w:w="4838" w:type="dxa"/>
          <w:tcBorders>
            <w:bottom w:val="single" w:sz="4" w:space="0" w:color="auto"/>
          </w:tcBorders>
          <w:vAlign w:val="bottom"/>
        </w:tcPr>
        <w:p w14:paraId="12B3C533" w14:textId="77777777" w:rsidR="007F1EF7" w:rsidRPr="001457AA" w:rsidRDefault="007F1EF7" w:rsidP="001457AA">
          <w:pPr>
            <w:widowControl w:val="0"/>
            <w:tabs>
              <w:tab w:val="center" w:pos="4320"/>
              <w:tab w:val="right" w:pos="8640"/>
            </w:tabs>
            <w:spacing w:after="80"/>
            <w:rPr>
              <w:b/>
              <w:sz w:val="17"/>
              <w:szCs w:val="17"/>
            </w:rPr>
          </w:pPr>
        </w:p>
      </w:tc>
      <w:tc>
        <w:tcPr>
          <w:tcW w:w="8212" w:type="dxa"/>
          <w:tcBorders>
            <w:bottom w:val="single" w:sz="4" w:space="0" w:color="auto"/>
          </w:tcBorders>
          <w:vAlign w:val="bottom"/>
        </w:tcPr>
        <w:p w14:paraId="15A0E842" w14:textId="77777777" w:rsidR="007F1EF7" w:rsidRPr="001457AA" w:rsidRDefault="007F1EF7" w:rsidP="001457AA">
          <w:pPr>
            <w:widowControl w:val="0"/>
            <w:tabs>
              <w:tab w:val="center" w:pos="4320"/>
              <w:tab w:val="right" w:pos="8640"/>
            </w:tabs>
            <w:jc w:val="right"/>
            <w:rPr>
              <w:sz w:val="17"/>
              <w:szCs w:val="17"/>
            </w:rPr>
          </w:pPr>
          <w:r>
            <w:rPr>
              <w:b/>
              <w:sz w:val="17"/>
              <w:szCs w:val="17"/>
            </w:rPr>
            <w:t>DP/DCP/CAF</w:t>
          </w:r>
          <w:r w:rsidRPr="001457AA">
            <w:rPr>
              <w:b/>
              <w:sz w:val="17"/>
              <w:szCs w:val="17"/>
            </w:rPr>
            <w:t>/</w:t>
          </w:r>
          <w:r>
            <w:rPr>
              <w:b/>
              <w:sz w:val="17"/>
              <w:szCs w:val="17"/>
            </w:rPr>
            <w:t>4</w:t>
          </w:r>
        </w:p>
      </w:tc>
    </w:tr>
  </w:tbl>
  <w:p w14:paraId="2B3018C1" w14:textId="77777777" w:rsidR="007F1EF7" w:rsidRPr="00AE2876" w:rsidRDefault="007F1EF7" w:rsidP="001457A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370"/>
    <w:multiLevelType w:val="hybridMultilevel"/>
    <w:tmpl w:val="38E87102"/>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 w15:restartNumberingAfterBreak="0">
    <w:nsid w:val="03E472E0"/>
    <w:multiLevelType w:val="hybridMultilevel"/>
    <w:tmpl w:val="1436DF24"/>
    <w:lvl w:ilvl="0" w:tplc="9DC8A856">
      <w:start w:val="1"/>
      <w:numFmt w:val="decimal"/>
      <w:lvlText w:val="%1."/>
      <w:lvlJc w:val="left"/>
      <w:pPr>
        <w:tabs>
          <w:tab w:val="num" w:pos="624"/>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F4763"/>
    <w:multiLevelType w:val="hybridMultilevel"/>
    <w:tmpl w:val="A9D6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1239A"/>
    <w:multiLevelType w:val="hybridMultilevel"/>
    <w:tmpl w:val="1E1C75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416153"/>
    <w:multiLevelType w:val="hybridMultilevel"/>
    <w:tmpl w:val="646E2446"/>
    <w:lvl w:ilvl="0" w:tplc="8E1E9B86">
      <w:start w:val="1"/>
      <w:numFmt w:val="decimal"/>
      <w:lvlText w:val="%1."/>
      <w:lvlJc w:val="left"/>
      <w:pPr>
        <w:tabs>
          <w:tab w:val="num" w:pos="624"/>
        </w:tabs>
        <w:ind w:left="720" w:hanging="360"/>
      </w:pPr>
      <w:rPr>
        <w:rFonts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5BBF"/>
    <w:multiLevelType w:val="hybridMultilevel"/>
    <w:tmpl w:val="083AD5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BE62B2"/>
    <w:multiLevelType w:val="hybridMultilevel"/>
    <w:tmpl w:val="091E1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84684"/>
    <w:multiLevelType w:val="hybridMultilevel"/>
    <w:tmpl w:val="EA428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D0326"/>
    <w:multiLevelType w:val="hybridMultilevel"/>
    <w:tmpl w:val="10F8536E"/>
    <w:lvl w:ilvl="0" w:tplc="5D92050C">
      <w:start w:val="1"/>
      <w:numFmt w:val="decimal"/>
      <w:lvlText w:val="%1."/>
      <w:lvlJc w:val="left"/>
      <w:pPr>
        <w:tabs>
          <w:tab w:val="num" w:pos="624"/>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8C3145"/>
    <w:multiLevelType w:val="hybridMultilevel"/>
    <w:tmpl w:val="B5D6653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15:restartNumberingAfterBreak="0">
    <w:nsid w:val="291376F8"/>
    <w:multiLevelType w:val="hybridMultilevel"/>
    <w:tmpl w:val="926CC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B1CB6"/>
    <w:multiLevelType w:val="hybridMultilevel"/>
    <w:tmpl w:val="5F9A14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F9C3E0A"/>
    <w:multiLevelType w:val="hybridMultilevel"/>
    <w:tmpl w:val="94946BBC"/>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3" w15:restartNumberingAfterBreak="0">
    <w:nsid w:val="309A3D09"/>
    <w:multiLevelType w:val="multilevel"/>
    <w:tmpl w:val="1436DF24"/>
    <w:lvl w:ilvl="0">
      <w:start w:val="1"/>
      <w:numFmt w:val="decimal"/>
      <w:lvlText w:val="%1."/>
      <w:lvlJc w:val="left"/>
      <w:pPr>
        <w:tabs>
          <w:tab w:val="num" w:pos="624"/>
        </w:tabs>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D47123"/>
    <w:multiLevelType w:val="hybridMultilevel"/>
    <w:tmpl w:val="F2B49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53AFC"/>
    <w:multiLevelType w:val="hybridMultilevel"/>
    <w:tmpl w:val="06BCA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045F74"/>
    <w:multiLevelType w:val="hybridMultilevel"/>
    <w:tmpl w:val="43F6CAF2"/>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7" w15:restartNumberingAfterBreak="0">
    <w:nsid w:val="44CE4813"/>
    <w:multiLevelType w:val="hybridMultilevel"/>
    <w:tmpl w:val="9C607910"/>
    <w:lvl w:ilvl="0" w:tplc="5D92050C">
      <w:start w:val="1"/>
      <w:numFmt w:val="decimal"/>
      <w:lvlText w:val="%1."/>
      <w:lvlJc w:val="left"/>
      <w:pPr>
        <w:tabs>
          <w:tab w:val="num" w:pos="624"/>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75E0F"/>
    <w:multiLevelType w:val="multilevel"/>
    <w:tmpl w:val="8620EF4A"/>
    <w:name w:val="TOC3"/>
    <w:lvl w:ilvl="0">
      <w:start w:val="1"/>
      <w:numFmt w:val="upperRoman"/>
      <w:lvlText w:val="%1."/>
      <w:lvlJc w:val="right"/>
      <w:pPr>
        <w:tabs>
          <w:tab w:val="num" w:pos="1296"/>
        </w:tabs>
        <w:ind w:left="1296" w:hanging="216"/>
      </w:pPr>
    </w:lvl>
    <w:lvl w:ilvl="1">
      <w:start w:val="1"/>
      <w:numFmt w:val="upperLetter"/>
      <w:lvlText w:val="%2."/>
      <w:lvlJc w:val="left"/>
      <w:pPr>
        <w:tabs>
          <w:tab w:val="num" w:pos="1728"/>
        </w:tabs>
        <w:ind w:left="1728" w:hanging="432"/>
      </w:pPr>
    </w:lvl>
    <w:lvl w:ilvl="2">
      <w:start w:val="1"/>
      <w:numFmt w:val="decimal"/>
      <w:lvlText w:val="%3."/>
      <w:lvlJc w:val="left"/>
      <w:pPr>
        <w:tabs>
          <w:tab w:val="num" w:pos="2160"/>
        </w:tabs>
        <w:ind w:left="2160" w:hanging="432"/>
      </w:pPr>
    </w:lvl>
    <w:lvl w:ilvl="3">
      <w:start w:val="1"/>
      <w:numFmt w:val="lowerLetter"/>
      <w:lvlText w:val="(%4)"/>
      <w:lvlJc w:val="left"/>
      <w:pPr>
        <w:tabs>
          <w:tab w:val="num" w:pos="2592"/>
        </w:tabs>
        <w:ind w:left="2592" w:hanging="432"/>
      </w:pPr>
    </w:lvl>
    <w:lvl w:ilvl="4">
      <w:start w:val="1"/>
      <w:numFmt w:val="lowerRoman"/>
      <w:lvlText w:val="(%5)"/>
      <w:lvlJc w:val="left"/>
      <w:pPr>
        <w:tabs>
          <w:tab w:val="num" w:pos="3024"/>
        </w:tabs>
        <w:ind w:left="3024" w:hanging="432"/>
      </w:pPr>
    </w:lvl>
    <w:lvl w:ilvl="5">
      <w:start w:val="1"/>
      <w:numFmt w:val="bullet"/>
      <w:lvlText w:val=""/>
      <w:lvlJc w:val="left"/>
      <w:pPr>
        <w:tabs>
          <w:tab w:val="num" w:pos="3456"/>
        </w:tabs>
        <w:ind w:left="3456" w:hanging="432"/>
      </w:pPr>
      <w:rPr>
        <w:rFonts w:ascii="Symbol" w:hAnsi="Symbol"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AF3016C"/>
    <w:multiLevelType w:val="hybridMultilevel"/>
    <w:tmpl w:val="C61EF780"/>
    <w:lvl w:ilvl="0" w:tplc="060AFCAA">
      <w:start w:val="1"/>
      <w:numFmt w:val="upperRoman"/>
      <w:lvlText w:val="%1."/>
      <w:lvlJc w:val="left"/>
      <w:pPr>
        <w:ind w:left="1987" w:hanging="72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0" w15:restartNumberingAfterBreak="0">
    <w:nsid w:val="544D457A"/>
    <w:multiLevelType w:val="hybridMultilevel"/>
    <w:tmpl w:val="D4429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63745FD"/>
    <w:multiLevelType w:val="hybridMultilevel"/>
    <w:tmpl w:val="BA8ADD76"/>
    <w:lvl w:ilvl="0" w:tplc="90769A50">
      <w:start w:val="1"/>
      <w:numFmt w:val="bullet"/>
      <w:lvlText w:val=""/>
      <w:lvlJc w:val="left"/>
      <w:pPr>
        <w:ind w:left="360" w:hanging="360"/>
      </w:pPr>
      <w:rPr>
        <w:rFonts w:ascii="Symbol" w:hAnsi="Symbol" w:hint="default"/>
        <w:sz w:val="16"/>
        <w:szCs w:val="16"/>
      </w:rPr>
    </w:lvl>
    <w:lvl w:ilvl="1" w:tplc="C5562588">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4E1F7A"/>
    <w:multiLevelType w:val="hybridMultilevel"/>
    <w:tmpl w:val="89C031C0"/>
    <w:lvl w:ilvl="0" w:tplc="0409000F">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3" w15:restartNumberingAfterBreak="0">
    <w:nsid w:val="63672CA7"/>
    <w:multiLevelType w:val="multilevel"/>
    <w:tmpl w:val="10F8536E"/>
    <w:lvl w:ilvl="0">
      <w:start w:val="1"/>
      <w:numFmt w:val="decimal"/>
      <w:lvlText w:val="%1."/>
      <w:lvlJc w:val="left"/>
      <w:pPr>
        <w:tabs>
          <w:tab w:val="num" w:pos="624"/>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E86247"/>
    <w:multiLevelType w:val="hybridMultilevel"/>
    <w:tmpl w:val="2514F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12556"/>
    <w:multiLevelType w:val="hybridMultilevel"/>
    <w:tmpl w:val="1494F884"/>
    <w:lvl w:ilvl="0" w:tplc="0409000F">
      <w:start w:val="1"/>
      <w:numFmt w:val="decimal"/>
      <w:lvlText w:val="%1."/>
      <w:lvlJc w:val="left"/>
      <w:pPr>
        <w:ind w:left="1779" w:hanging="360"/>
      </w:p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26" w15:restartNumberingAfterBreak="0">
    <w:nsid w:val="70D73FD3"/>
    <w:multiLevelType w:val="hybridMultilevel"/>
    <w:tmpl w:val="894A85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144090"/>
    <w:multiLevelType w:val="hybridMultilevel"/>
    <w:tmpl w:val="54F0CF36"/>
    <w:lvl w:ilvl="0" w:tplc="E66C851E">
      <w:start w:val="1"/>
      <w:numFmt w:val="decimal"/>
      <w:lvlText w:val="%1."/>
      <w:lvlJc w:val="left"/>
      <w:pPr>
        <w:tabs>
          <w:tab w:val="num" w:pos="68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834F12"/>
    <w:multiLevelType w:val="hybridMultilevel"/>
    <w:tmpl w:val="54E44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36735A"/>
    <w:multiLevelType w:val="hybridMultilevel"/>
    <w:tmpl w:val="1C3CB2C2"/>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0" w15:restartNumberingAfterBreak="0">
    <w:nsid w:val="77BA7D35"/>
    <w:multiLevelType w:val="hybridMultilevel"/>
    <w:tmpl w:val="4C105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4B1631"/>
    <w:multiLevelType w:val="multilevel"/>
    <w:tmpl w:val="54F0CF36"/>
    <w:lvl w:ilvl="0">
      <w:start w:val="1"/>
      <w:numFmt w:val="decimal"/>
      <w:lvlText w:val="%1."/>
      <w:lvlJc w:val="left"/>
      <w:pPr>
        <w:tabs>
          <w:tab w:val="num" w:pos="68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CD12F70"/>
    <w:multiLevelType w:val="hybridMultilevel"/>
    <w:tmpl w:val="3B5807B4"/>
    <w:lvl w:ilvl="0" w:tplc="0409000F">
      <w:start w:val="1"/>
      <w:numFmt w:val="decimal"/>
      <w:lvlText w:val="%1."/>
      <w:lvlJc w:val="left"/>
      <w:pPr>
        <w:ind w:left="1779" w:hanging="360"/>
      </w:p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33" w15:restartNumberingAfterBreak="0">
    <w:nsid w:val="7F826467"/>
    <w:multiLevelType w:val="hybridMultilevel"/>
    <w:tmpl w:val="0D8C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A11F5E"/>
    <w:multiLevelType w:val="multilevel"/>
    <w:tmpl w:val="A9D607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26"/>
  </w:num>
  <w:num w:numId="3">
    <w:abstractNumId w:val="0"/>
  </w:num>
  <w:num w:numId="4">
    <w:abstractNumId w:val="14"/>
  </w:num>
  <w:num w:numId="5">
    <w:abstractNumId w:val="33"/>
  </w:num>
  <w:num w:numId="6">
    <w:abstractNumId w:val="11"/>
  </w:num>
  <w:num w:numId="7">
    <w:abstractNumId w:val="28"/>
  </w:num>
  <w:num w:numId="8">
    <w:abstractNumId w:val="7"/>
  </w:num>
  <w:num w:numId="9">
    <w:abstractNumId w:val="6"/>
  </w:num>
  <w:num w:numId="10">
    <w:abstractNumId w:val="12"/>
  </w:num>
  <w:num w:numId="11">
    <w:abstractNumId w:val="27"/>
  </w:num>
  <w:num w:numId="12">
    <w:abstractNumId w:val="31"/>
  </w:num>
  <w:num w:numId="13">
    <w:abstractNumId w:val="4"/>
  </w:num>
  <w:num w:numId="14">
    <w:abstractNumId w:val="24"/>
  </w:num>
  <w:num w:numId="15">
    <w:abstractNumId w:val="5"/>
  </w:num>
  <w:num w:numId="16">
    <w:abstractNumId w:val="8"/>
  </w:num>
  <w:num w:numId="17">
    <w:abstractNumId w:val="32"/>
  </w:num>
  <w:num w:numId="18">
    <w:abstractNumId w:val="25"/>
  </w:num>
  <w:num w:numId="19">
    <w:abstractNumId w:val="22"/>
  </w:num>
  <w:num w:numId="20">
    <w:abstractNumId w:val="23"/>
  </w:num>
  <w:num w:numId="21">
    <w:abstractNumId w:val="29"/>
  </w:num>
  <w:num w:numId="22">
    <w:abstractNumId w:val="15"/>
  </w:num>
  <w:num w:numId="23">
    <w:abstractNumId w:val="30"/>
  </w:num>
  <w:num w:numId="24">
    <w:abstractNumId w:val="10"/>
  </w:num>
  <w:num w:numId="25">
    <w:abstractNumId w:val="17"/>
  </w:num>
  <w:num w:numId="26">
    <w:abstractNumId w:val="9"/>
  </w:num>
  <w:num w:numId="27">
    <w:abstractNumId w:val="20"/>
  </w:num>
  <w:num w:numId="28">
    <w:abstractNumId w:val="2"/>
  </w:num>
  <w:num w:numId="29">
    <w:abstractNumId w:val="34"/>
  </w:num>
  <w:num w:numId="30">
    <w:abstractNumId w:val="1"/>
  </w:num>
  <w:num w:numId="31">
    <w:abstractNumId w:val="13"/>
  </w:num>
  <w:num w:numId="32">
    <w:abstractNumId w:val="16"/>
  </w:num>
  <w:num w:numId="33">
    <w:abstractNumId w:val="3"/>
  </w:num>
  <w:num w:numId="34">
    <w:abstractNumId w:val="18"/>
  </w:num>
  <w:num w:numId="3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formatting="1" w:enforcement="0"/>
  <w:defaultTabStop w:val="720"/>
  <w:hyphenationZone w:val="425"/>
  <w:doNotHyphenateCaps/>
  <w:evenAndOddHeaders/>
  <w:drawingGridHorizontalSpacing w:val="100"/>
  <w:displayHorizontalDrawingGridEvery w:val="2"/>
  <w:characterSpacingControl w:val="doNotCompress"/>
  <w:doNotValidateAgainstSchema/>
  <w:doNotDemarcateInvalidXml/>
  <w:hdrShapeDefaults>
    <o:shapedefaults v:ext="edit" spidmax="2049"/>
  </w:hdrShapeDefaults>
  <w:footnotePr>
    <w:numRestart w:val="eachSect"/>
    <w:footnote w:id="-1"/>
    <w:footnote w:id="0"/>
  </w:footnotePr>
  <w:endnotePr>
    <w:numFmt w:val="decimal"/>
    <w:numStart w:val="7"/>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53B"/>
    <w:rsid w:val="000010B5"/>
    <w:rsid w:val="000027D2"/>
    <w:rsid w:val="00005E26"/>
    <w:rsid w:val="0000643B"/>
    <w:rsid w:val="00006B15"/>
    <w:rsid w:val="0001309E"/>
    <w:rsid w:val="00013F3B"/>
    <w:rsid w:val="00014926"/>
    <w:rsid w:val="00015FDE"/>
    <w:rsid w:val="00016217"/>
    <w:rsid w:val="0001665B"/>
    <w:rsid w:val="00016861"/>
    <w:rsid w:val="00017A87"/>
    <w:rsid w:val="000200CF"/>
    <w:rsid w:val="000205F1"/>
    <w:rsid w:val="00022047"/>
    <w:rsid w:val="00023057"/>
    <w:rsid w:val="000249B1"/>
    <w:rsid w:val="000274B9"/>
    <w:rsid w:val="0002758B"/>
    <w:rsid w:val="000276A0"/>
    <w:rsid w:val="00032704"/>
    <w:rsid w:val="000330DB"/>
    <w:rsid w:val="000339E3"/>
    <w:rsid w:val="0003429F"/>
    <w:rsid w:val="0003562A"/>
    <w:rsid w:val="00036095"/>
    <w:rsid w:val="00036AF4"/>
    <w:rsid w:val="00040BD5"/>
    <w:rsid w:val="00041C10"/>
    <w:rsid w:val="00043804"/>
    <w:rsid w:val="000441A1"/>
    <w:rsid w:val="00046E91"/>
    <w:rsid w:val="000470E6"/>
    <w:rsid w:val="00050869"/>
    <w:rsid w:val="00050A2D"/>
    <w:rsid w:val="00052CB3"/>
    <w:rsid w:val="00053F0A"/>
    <w:rsid w:val="000561C1"/>
    <w:rsid w:val="00056204"/>
    <w:rsid w:val="000570D1"/>
    <w:rsid w:val="000571A9"/>
    <w:rsid w:val="000578D5"/>
    <w:rsid w:val="00060290"/>
    <w:rsid w:val="00063E24"/>
    <w:rsid w:val="0006407A"/>
    <w:rsid w:val="000640B7"/>
    <w:rsid w:val="000661AB"/>
    <w:rsid w:val="00067B13"/>
    <w:rsid w:val="00067F18"/>
    <w:rsid w:val="00072229"/>
    <w:rsid w:val="000738C4"/>
    <w:rsid w:val="00073CF1"/>
    <w:rsid w:val="00074BD0"/>
    <w:rsid w:val="00074D9A"/>
    <w:rsid w:val="00074DB9"/>
    <w:rsid w:val="000753C4"/>
    <w:rsid w:val="00075DF0"/>
    <w:rsid w:val="000762CA"/>
    <w:rsid w:val="000803A4"/>
    <w:rsid w:val="000806E3"/>
    <w:rsid w:val="0008339E"/>
    <w:rsid w:val="00083B8E"/>
    <w:rsid w:val="00085DFB"/>
    <w:rsid w:val="00087A3E"/>
    <w:rsid w:val="00090AD1"/>
    <w:rsid w:val="00090F4F"/>
    <w:rsid w:val="00091476"/>
    <w:rsid w:val="000922E7"/>
    <w:rsid w:val="00092879"/>
    <w:rsid w:val="00092B9F"/>
    <w:rsid w:val="00093ECF"/>
    <w:rsid w:val="00094C54"/>
    <w:rsid w:val="00094E87"/>
    <w:rsid w:val="00097FB2"/>
    <w:rsid w:val="000A0BD4"/>
    <w:rsid w:val="000A151D"/>
    <w:rsid w:val="000A24C5"/>
    <w:rsid w:val="000A3F7F"/>
    <w:rsid w:val="000A444E"/>
    <w:rsid w:val="000B08E7"/>
    <w:rsid w:val="000B2130"/>
    <w:rsid w:val="000B3A13"/>
    <w:rsid w:val="000B4BB2"/>
    <w:rsid w:val="000B507E"/>
    <w:rsid w:val="000B573C"/>
    <w:rsid w:val="000B6379"/>
    <w:rsid w:val="000B7DA7"/>
    <w:rsid w:val="000C0061"/>
    <w:rsid w:val="000C06FA"/>
    <w:rsid w:val="000C76B0"/>
    <w:rsid w:val="000C7BBE"/>
    <w:rsid w:val="000D2137"/>
    <w:rsid w:val="000D2475"/>
    <w:rsid w:val="000D442C"/>
    <w:rsid w:val="000D4DC4"/>
    <w:rsid w:val="000E1B61"/>
    <w:rsid w:val="000E4277"/>
    <w:rsid w:val="000E612D"/>
    <w:rsid w:val="000E6AB1"/>
    <w:rsid w:val="000E7166"/>
    <w:rsid w:val="000E745A"/>
    <w:rsid w:val="000E7E9E"/>
    <w:rsid w:val="000F0044"/>
    <w:rsid w:val="000F5541"/>
    <w:rsid w:val="000F703B"/>
    <w:rsid w:val="000F72ED"/>
    <w:rsid w:val="000F7741"/>
    <w:rsid w:val="000F7A4C"/>
    <w:rsid w:val="001011C4"/>
    <w:rsid w:val="00103607"/>
    <w:rsid w:val="00106EF8"/>
    <w:rsid w:val="001100E1"/>
    <w:rsid w:val="001101A2"/>
    <w:rsid w:val="00111489"/>
    <w:rsid w:val="00111792"/>
    <w:rsid w:val="00111797"/>
    <w:rsid w:val="00111B19"/>
    <w:rsid w:val="00114A64"/>
    <w:rsid w:val="00115ACF"/>
    <w:rsid w:val="00115F59"/>
    <w:rsid w:val="00116C1A"/>
    <w:rsid w:val="00116F8B"/>
    <w:rsid w:val="00121F3E"/>
    <w:rsid w:val="0012226B"/>
    <w:rsid w:val="0012229E"/>
    <w:rsid w:val="00123849"/>
    <w:rsid w:val="00123A5E"/>
    <w:rsid w:val="00125010"/>
    <w:rsid w:val="00125266"/>
    <w:rsid w:val="00125B82"/>
    <w:rsid w:val="001305E6"/>
    <w:rsid w:val="0013239A"/>
    <w:rsid w:val="00132D93"/>
    <w:rsid w:val="001347FB"/>
    <w:rsid w:val="0013761A"/>
    <w:rsid w:val="0014423A"/>
    <w:rsid w:val="00144B44"/>
    <w:rsid w:val="001457AA"/>
    <w:rsid w:val="00147042"/>
    <w:rsid w:val="001471A7"/>
    <w:rsid w:val="001506F6"/>
    <w:rsid w:val="00154032"/>
    <w:rsid w:val="001547D3"/>
    <w:rsid w:val="001559BD"/>
    <w:rsid w:val="00157F09"/>
    <w:rsid w:val="00157F79"/>
    <w:rsid w:val="00160305"/>
    <w:rsid w:val="001615C6"/>
    <w:rsid w:val="001616CF"/>
    <w:rsid w:val="00162333"/>
    <w:rsid w:val="00163563"/>
    <w:rsid w:val="00163E84"/>
    <w:rsid w:val="001668AA"/>
    <w:rsid w:val="001675B1"/>
    <w:rsid w:val="0016789D"/>
    <w:rsid w:val="00167C87"/>
    <w:rsid w:val="00172954"/>
    <w:rsid w:val="00172EE3"/>
    <w:rsid w:val="0017403E"/>
    <w:rsid w:val="00177E7E"/>
    <w:rsid w:val="0018356F"/>
    <w:rsid w:val="001876C5"/>
    <w:rsid w:val="00187D68"/>
    <w:rsid w:val="00190155"/>
    <w:rsid w:val="00190654"/>
    <w:rsid w:val="001906B5"/>
    <w:rsid w:val="001935FD"/>
    <w:rsid w:val="00194163"/>
    <w:rsid w:val="00194FEB"/>
    <w:rsid w:val="001970A4"/>
    <w:rsid w:val="00197553"/>
    <w:rsid w:val="0019756B"/>
    <w:rsid w:val="00197AD1"/>
    <w:rsid w:val="001B0020"/>
    <w:rsid w:val="001B3F87"/>
    <w:rsid w:val="001B4026"/>
    <w:rsid w:val="001B487A"/>
    <w:rsid w:val="001B4975"/>
    <w:rsid w:val="001B598C"/>
    <w:rsid w:val="001B76A6"/>
    <w:rsid w:val="001C07CF"/>
    <w:rsid w:val="001C07F8"/>
    <w:rsid w:val="001C1147"/>
    <w:rsid w:val="001C235A"/>
    <w:rsid w:val="001C2F59"/>
    <w:rsid w:val="001C6C08"/>
    <w:rsid w:val="001C79E6"/>
    <w:rsid w:val="001D2056"/>
    <w:rsid w:val="001D42D1"/>
    <w:rsid w:val="001D64E5"/>
    <w:rsid w:val="001D6EB8"/>
    <w:rsid w:val="001E05EC"/>
    <w:rsid w:val="001E4809"/>
    <w:rsid w:val="001E4F4F"/>
    <w:rsid w:val="001F27F4"/>
    <w:rsid w:val="001F3DC0"/>
    <w:rsid w:val="001F45D8"/>
    <w:rsid w:val="001F4C5A"/>
    <w:rsid w:val="001F4EA9"/>
    <w:rsid w:val="001F4F73"/>
    <w:rsid w:val="001F6425"/>
    <w:rsid w:val="001F6772"/>
    <w:rsid w:val="001F7421"/>
    <w:rsid w:val="001F7A92"/>
    <w:rsid w:val="00200195"/>
    <w:rsid w:val="00200B5F"/>
    <w:rsid w:val="00201EEF"/>
    <w:rsid w:val="00203491"/>
    <w:rsid w:val="002034D6"/>
    <w:rsid w:val="002047C8"/>
    <w:rsid w:val="002052B3"/>
    <w:rsid w:val="00205453"/>
    <w:rsid w:val="002058F9"/>
    <w:rsid w:val="00207F32"/>
    <w:rsid w:val="00210AC4"/>
    <w:rsid w:val="00210EF9"/>
    <w:rsid w:val="0021228C"/>
    <w:rsid w:val="00212B1F"/>
    <w:rsid w:val="00213340"/>
    <w:rsid w:val="00213D7C"/>
    <w:rsid w:val="00214494"/>
    <w:rsid w:val="00214513"/>
    <w:rsid w:val="002155B7"/>
    <w:rsid w:val="0021728B"/>
    <w:rsid w:val="0021766A"/>
    <w:rsid w:val="00220F5C"/>
    <w:rsid w:val="0022129E"/>
    <w:rsid w:val="002225D3"/>
    <w:rsid w:val="00222A35"/>
    <w:rsid w:val="0022301D"/>
    <w:rsid w:val="00224B2C"/>
    <w:rsid w:val="00225C5E"/>
    <w:rsid w:val="00227E55"/>
    <w:rsid w:val="00232AA0"/>
    <w:rsid w:val="00234CDF"/>
    <w:rsid w:val="002350B9"/>
    <w:rsid w:val="00236B91"/>
    <w:rsid w:val="002424C0"/>
    <w:rsid w:val="00242617"/>
    <w:rsid w:val="00242CAA"/>
    <w:rsid w:val="0024363C"/>
    <w:rsid w:val="00243A0B"/>
    <w:rsid w:val="0024503B"/>
    <w:rsid w:val="00245D74"/>
    <w:rsid w:val="00246D03"/>
    <w:rsid w:val="00246DDF"/>
    <w:rsid w:val="002530D8"/>
    <w:rsid w:val="002573CC"/>
    <w:rsid w:val="00260FAA"/>
    <w:rsid w:val="00261D66"/>
    <w:rsid w:val="00262338"/>
    <w:rsid w:val="002636FB"/>
    <w:rsid w:val="00263938"/>
    <w:rsid w:val="002641B2"/>
    <w:rsid w:val="002646D7"/>
    <w:rsid w:val="002671D7"/>
    <w:rsid w:val="0027259C"/>
    <w:rsid w:val="00273543"/>
    <w:rsid w:val="00274C82"/>
    <w:rsid w:val="0027558C"/>
    <w:rsid w:val="0027654D"/>
    <w:rsid w:val="002810DF"/>
    <w:rsid w:val="002812AB"/>
    <w:rsid w:val="002816D8"/>
    <w:rsid w:val="00282A8C"/>
    <w:rsid w:val="00282BB1"/>
    <w:rsid w:val="002854EE"/>
    <w:rsid w:val="0028565C"/>
    <w:rsid w:val="002875DE"/>
    <w:rsid w:val="00287E07"/>
    <w:rsid w:val="00287E80"/>
    <w:rsid w:val="00290EB3"/>
    <w:rsid w:val="00292846"/>
    <w:rsid w:val="00292A90"/>
    <w:rsid w:val="00295F54"/>
    <w:rsid w:val="002971D6"/>
    <w:rsid w:val="002A00F3"/>
    <w:rsid w:val="002A056A"/>
    <w:rsid w:val="002A0794"/>
    <w:rsid w:val="002A2F08"/>
    <w:rsid w:val="002A3641"/>
    <w:rsid w:val="002A39B6"/>
    <w:rsid w:val="002A495F"/>
    <w:rsid w:val="002A706F"/>
    <w:rsid w:val="002A70EA"/>
    <w:rsid w:val="002A7363"/>
    <w:rsid w:val="002A7F43"/>
    <w:rsid w:val="002B1A64"/>
    <w:rsid w:val="002B365E"/>
    <w:rsid w:val="002B3E6C"/>
    <w:rsid w:val="002B46EB"/>
    <w:rsid w:val="002B489A"/>
    <w:rsid w:val="002B6341"/>
    <w:rsid w:val="002C031A"/>
    <w:rsid w:val="002C0526"/>
    <w:rsid w:val="002C27A8"/>
    <w:rsid w:val="002C333E"/>
    <w:rsid w:val="002C36C8"/>
    <w:rsid w:val="002C51A0"/>
    <w:rsid w:val="002C57E0"/>
    <w:rsid w:val="002C6B53"/>
    <w:rsid w:val="002C7971"/>
    <w:rsid w:val="002D0584"/>
    <w:rsid w:val="002D2E2A"/>
    <w:rsid w:val="002D4274"/>
    <w:rsid w:val="002D4581"/>
    <w:rsid w:val="002D5295"/>
    <w:rsid w:val="002D52BF"/>
    <w:rsid w:val="002D68FA"/>
    <w:rsid w:val="002D7ADB"/>
    <w:rsid w:val="002D7ECA"/>
    <w:rsid w:val="002E0141"/>
    <w:rsid w:val="002E0B5D"/>
    <w:rsid w:val="002E0B76"/>
    <w:rsid w:val="002E1495"/>
    <w:rsid w:val="002E1840"/>
    <w:rsid w:val="002E2466"/>
    <w:rsid w:val="002E2900"/>
    <w:rsid w:val="002E3C0D"/>
    <w:rsid w:val="002E43EC"/>
    <w:rsid w:val="002E4883"/>
    <w:rsid w:val="002E5B3C"/>
    <w:rsid w:val="002E7A79"/>
    <w:rsid w:val="002F1D9E"/>
    <w:rsid w:val="002F2C6E"/>
    <w:rsid w:val="002F3C88"/>
    <w:rsid w:val="002F4067"/>
    <w:rsid w:val="002F47EB"/>
    <w:rsid w:val="002F7339"/>
    <w:rsid w:val="002F7461"/>
    <w:rsid w:val="003025E2"/>
    <w:rsid w:val="00306018"/>
    <w:rsid w:val="00306D24"/>
    <w:rsid w:val="00307712"/>
    <w:rsid w:val="00310809"/>
    <w:rsid w:val="0031404A"/>
    <w:rsid w:val="00314516"/>
    <w:rsid w:val="00314B7C"/>
    <w:rsid w:val="00314E49"/>
    <w:rsid w:val="00315445"/>
    <w:rsid w:val="00317183"/>
    <w:rsid w:val="00317663"/>
    <w:rsid w:val="003204AE"/>
    <w:rsid w:val="003208EF"/>
    <w:rsid w:val="00324846"/>
    <w:rsid w:val="00324ABD"/>
    <w:rsid w:val="00324D9B"/>
    <w:rsid w:val="003272A6"/>
    <w:rsid w:val="003273CB"/>
    <w:rsid w:val="0033125E"/>
    <w:rsid w:val="0033325E"/>
    <w:rsid w:val="00336913"/>
    <w:rsid w:val="0033718C"/>
    <w:rsid w:val="00337407"/>
    <w:rsid w:val="00337BB8"/>
    <w:rsid w:val="00340B7B"/>
    <w:rsid w:val="00340E02"/>
    <w:rsid w:val="00343E6E"/>
    <w:rsid w:val="00343E9A"/>
    <w:rsid w:val="00343FEC"/>
    <w:rsid w:val="003450C8"/>
    <w:rsid w:val="00346579"/>
    <w:rsid w:val="00346649"/>
    <w:rsid w:val="0034782B"/>
    <w:rsid w:val="00351082"/>
    <w:rsid w:val="00351E5C"/>
    <w:rsid w:val="003527B4"/>
    <w:rsid w:val="0035580F"/>
    <w:rsid w:val="00357CB4"/>
    <w:rsid w:val="003604EE"/>
    <w:rsid w:val="00360C28"/>
    <w:rsid w:val="00361209"/>
    <w:rsid w:val="0036286B"/>
    <w:rsid w:val="00363371"/>
    <w:rsid w:val="00364989"/>
    <w:rsid w:val="00364C81"/>
    <w:rsid w:val="003664C0"/>
    <w:rsid w:val="00366769"/>
    <w:rsid w:val="0036700F"/>
    <w:rsid w:val="00367A28"/>
    <w:rsid w:val="00367E04"/>
    <w:rsid w:val="003731CF"/>
    <w:rsid w:val="003742FC"/>
    <w:rsid w:val="003761F2"/>
    <w:rsid w:val="00376A05"/>
    <w:rsid w:val="003774FE"/>
    <w:rsid w:val="00383980"/>
    <w:rsid w:val="003843B3"/>
    <w:rsid w:val="003908B9"/>
    <w:rsid w:val="00390E30"/>
    <w:rsid w:val="003920B5"/>
    <w:rsid w:val="00393ABE"/>
    <w:rsid w:val="0039458D"/>
    <w:rsid w:val="00394D61"/>
    <w:rsid w:val="003957FB"/>
    <w:rsid w:val="003A1F5A"/>
    <w:rsid w:val="003A20C4"/>
    <w:rsid w:val="003A2ECE"/>
    <w:rsid w:val="003A4252"/>
    <w:rsid w:val="003A539A"/>
    <w:rsid w:val="003A62A4"/>
    <w:rsid w:val="003A7476"/>
    <w:rsid w:val="003A7D86"/>
    <w:rsid w:val="003B0AA1"/>
    <w:rsid w:val="003B1199"/>
    <w:rsid w:val="003B243D"/>
    <w:rsid w:val="003B304F"/>
    <w:rsid w:val="003B5D18"/>
    <w:rsid w:val="003B6FB4"/>
    <w:rsid w:val="003B795D"/>
    <w:rsid w:val="003C17EA"/>
    <w:rsid w:val="003C26A6"/>
    <w:rsid w:val="003C26C1"/>
    <w:rsid w:val="003C295A"/>
    <w:rsid w:val="003C5C11"/>
    <w:rsid w:val="003C6A5A"/>
    <w:rsid w:val="003C6AAD"/>
    <w:rsid w:val="003C76E4"/>
    <w:rsid w:val="003D1D4D"/>
    <w:rsid w:val="003D3682"/>
    <w:rsid w:val="003D37DD"/>
    <w:rsid w:val="003D45DF"/>
    <w:rsid w:val="003D47C6"/>
    <w:rsid w:val="003D53AF"/>
    <w:rsid w:val="003D7E38"/>
    <w:rsid w:val="003D7EAC"/>
    <w:rsid w:val="003E097E"/>
    <w:rsid w:val="003E1AFA"/>
    <w:rsid w:val="003E2551"/>
    <w:rsid w:val="003E379A"/>
    <w:rsid w:val="003E4A4B"/>
    <w:rsid w:val="003E52B0"/>
    <w:rsid w:val="003E64DC"/>
    <w:rsid w:val="003E7A43"/>
    <w:rsid w:val="003F0B58"/>
    <w:rsid w:val="003F0D40"/>
    <w:rsid w:val="003F2236"/>
    <w:rsid w:val="003F27B7"/>
    <w:rsid w:val="003F4051"/>
    <w:rsid w:val="003F43F1"/>
    <w:rsid w:val="003F5812"/>
    <w:rsid w:val="003F5887"/>
    <w:rsid w:val="003F625A"/>
    <w:rsid w:val="003F6AA4"/>
    <w:rsid w:val="003F6EA1"/>
    <w:rsid w:val="00400E4A"/>
    <w:rsid w:val="00402E9A"/>
    <w:rsid w:val="00403FA8"/>
    <w:rsid w:val="00404040"/>
    <w:rsid w:val="00404213"/>
    <w:rsid w:val="004048AC"/>
    <w:rsid w:val="00404B8E"/>
    <w:rsid w:val="00405CF6"/>
    <w:rsid w:val="004068C2"/>
    <w:rsid w:val="00410C8C"/>
    <w:rsid w:val="00412559"/>
    <w:rsid w:val="00412AF0"/>
    <w:rsid w:val="0041357B"/>
    <w:rsid w:val="00413779"/>
    <w:rsid w:val="00415DF7"/>
    <w:rsid w:val="00415E7F"/>
    <w:rsid w:val="004164CD"/>
    <w:rsid w:val="004177E4"/>
    <w:rsid w:val="00420288"/>
    <w:rsid w:val="00421C78"/>
    <w:rsid w:val="004224CE"/>
    <w:rsid w:val="00423342"/>
    <w:rsid w:val="00424A78"/>
    <w:rsid w:val="004254DB"/>
    <w:rsid w:val="00426235"/>
    <w:rsid w:val="004271C2"/>
    <w:rsid w:val="00427EEA"/>
    <w:rsid w:val="004309F3"/>
    <w:rsid w:val="00431836"/>
    <w:rsid w:val="004319D8"/>
    <w:rsid w:val="004321E6"/>
    <w:rsid w:val="0043278E"/>
    <w:rsid w:val="004348D5"/>
    <w:rsid w:val="00435BE7"/>
    <w:rsid w:val="004360AC"/>
    <w:rsid w:val="00436B83"/>
    <w:rsid w:val="00441061"/>
    <w:rsid w:val="004453FC"/>
    <w:rsid w:val="0044560C"/>
    <w:rsid w:val="004470B2"/>
    <w:rsid w:val="004501C9"/>
    <w:rsid w:val="00450C70"/>
    <w:rsid w:val="00453344"/>
    <w:rsid w:val="00454E76"/>
    <w:rsid w:val="0045633B"/>
    <w:rsid w:val="00457080"/>
    <w:rsid w:val="00460891"/>
    <w:rsid w:val="00461976"/>
    <w:rsid w:val="0046288F"/>
    <w:rsid w:val="00464FB2"/>
    <w:rsid w:val="004662A8"/>
    <w:rsid w:val="00466CDC"/>
    <w:rsid w:val="0046745E"/>
    <w:rsid w:val="00470E0E"/>
    <w:rsid w:val="00472EDB"/>
    <w:rsid w:val="004736BE"/>
    <w:rsid w:val="0047556D"/>
    <w:rsid w:val="00475789"/>
    <w:rsid w:val="00476170"/>
    <w:rsid w:val="00477D2E"/>
    <w:rsid w:val="004820B0"/>
    <w:rsid w:val="00482117"/>
    <w:rsid w:val="00482E2F"/>
    <w:rsid w:val="00483237"/>
    <w:rsid w:val="00483ED3"/>
    <w:rsid w:val="00484522"/>
    <w:rsid w:val="0048467F"/>
    <w:rsid w:val="004859B4"/>
    <w:rsid w:val="00486ACD"/>
    <w:rsid w:val="00490B8D"/>
    <w:rsid w:val="00491FB6"/>
    <w:rsid w:val="00492BEE"/>
    <w:rsid w:val="00492C65"/>
    <w:rsid w:val="00493917"/>
    <w:rsid w:val="0049403F"/>
    <w:rsid w:val="00494323"/>
    <w:rsid w:val="00494349"/>
    <w:rsid w:val="00494485"/>
    <w:rsid w:val="00496111"/>
    <w:rsid w:val="004964D7"/>
    <w:rsid w:val="004969CC"/>
    <w:rsid w:val="0049762B"/>
    <w:rsid w:val="004A0F27"/>
    <w:rsid w:val="004A0F37"/>
    <w:rsid w:val="004A0F68"/>
    <w:rsid w:val="004A3608"/>
    <w:rsid w:val="004A4FBD"/>
    <w:rsid w:val="004A7810"/>
    <w:rsid w:val="004A7E93"/>
    <w:rsid w:val="004B0139"/>
    <w:rsid w:val="004B3CFB"/>
    <w:rsid w:val="004B5D6B"/>
    <w:rsid w:val="004B76F8"/>
    <w:rsid w:val="004C070C"/>
    <w:rsid w:val="004C1FA6"/>
    <w:rsid w:val="004C5CFD"/>
    <w:rsid w:val="004C711E"/>
    <w:rsid w:val="004D113D"/>
    <w:rsid w:val="004D12C0"/>
    <w:rsid w:val="004D1768"/>
    <w:rsid w:val="004D18EA"/>
    <w:rsid w:val="004D3713"/>
    <w:rsid w:val="004D6254"/>
    <w:rsid w:val="004D6E3F"/>
    <w:rsid w:val="004D70FD"/>
    <w:rsid w:val="004D7E99"/>
    <w:rsid w:val="004E00CE"/>
    <w:rsid w:val="004E04D0"/>
    <w:rsid w:val="004E2BDB"/>
    <w:rsid w:val="004F14B6"/>
    <w:rsid w:val="004F4EB1"/>
    <w:rsid w:val="004F50AF"/>
    <w:rsid w:val="004F5936"/>
    <w:rsid w:val="004F681D"/>
    <w:rsid w:val="004F6E14"/>
    <w:rsid w:val="0050228C"/>
    <w:rsid w:val="00502857"/>
    <w:rsid w:val="005044A9"/>
    <w:rsid w:val="00505994"/>
    <w:rsid w:val="00505FD4"/>
    <w:rsid w:val="00506E25"/>
    <w:rsid w:val="00510E2C"/>
    <w:rsid w:val="00510EA6"/>
    <w:rsid w:val="0051132C"/>
    <w:rsid w:val="0051165F"/>
    <w:rsid w:val="00513483"/>
    <w:rsid w:val="00514A55"/>
    <w:rsid w:val="00514EF5"/>
    <w:rsid w:val="0051782D"/>
    <w:rsid w:val="0052087E"/>
    <w:rsid w:val="0052315E"/>
    <w:rsid w:val="00526895"/>
    <w:rsid w:val="00530ED3"/>
    <w:rsid w:val="00531982"/>
    <w:rsid w:val="005321AB"/>
    <w:rsid w:val="0053438E"/>
    <w:rsid w:val="005346B7"/>
    <w:rsid w:val="005355EE"/>
    <w:rsid w:val="00535B16"/>
    <w:rsid w:val="005366D0"/>
    <w:rsid w:val="00537E27"/>
    <w:rsid w:val="0054089F"/>
    <w:rsid w:val="00540B4D"/>
    <w:rsid w:val="00540FFA"/>
    <w:rsid w:val="0054241E"/>
    <w:rsid w:val="00542930"/>
    <w:rsid w:val="00543572"/>
    <w:rsid w:val="005435B3"/>
    <w:rsid w:val="00543844"/>
    <w:rsid w:val="00550849"/>
    <w:rsid w:val="00550866"/>
    <w:rsid w:val="00551082"/>
    <w:rsid w:val="00554BF3"/>
    <w:rsid w:val="0055655F"/>
    <w:rsid w:val="0055657D"/>
    <w:rsid w:val="005608F3"/>
    <w:rsid w:val="00560D0D"/>
    <w:rsid w:val="0056219F"/>
    <w:rsid w:val="00563342"/>
    <w:rsid w:val="005658AE"/>
    <w:rsid w:val="00565FB1"/>
    <w:rsid w:val="005662FB"/>
    <w:rsid w:val="00567781"/>
    <w:rsid w:val="00567ECC"/>
    <w:rsid w:val="005713B1"/>
    <w:rsid w:val="00571E57"/>
    <w:rsid w:val="0057649B"/>
    <w:rsid w:val="00581B8C"/>
    <w:rsid w:val="00583090"/>
    <w:rsid w:val="005835F4"/>
    <w:rsid w:val="00583DA1"/>
    <w:rsid w:val="00583EFE"/>
    <w:rsid w:val="00584076"/>
    <w:rsid w:val="005841A3"/>
    <w:rsid w:val="00584C35"/>
    <w:rsid w:val="00584D2F"/>
    <w:rsid w:val="00586D9A"/>
    <w:rsid w:val="00586F18"/>
    <w:rsid w:val="00587048"/>
    <w:rsid w:val="00590EAE"/>
    <w:rsid w:val="0059112A"/>
    <w:rsid w:val="00592849"/>
    <w:rsid w:val="00593216"/>
    <w:rsid w:val="005938B0"/>
    <w:rsid w:val="00594BC3"/>
    <w:rsid w:val="00596CA7"/>
    <w:rsid w:val="00596DC8"/>
    <w:rsid w:val="00596E16"/>
    <w:rsid w:val="005A16A3"/>
    <w:rsid w:val="005A1C48"/>
    <w:rsid w:val="005A253A"/>
    <w:rsid w:val="005A3F4E"/>
    <w:rsid w:val="005A40AF"/>
    <w:rsid w:val="005A64BF"/>
    <w:rsid w:val="005B255D"/>
    <w:rsid w:val="005B4421"/>
    <w:rsid w:val="005B61EE"/>
    <w:rsid w:val="005B7929"/>
    <w:rsid w:val="005C23AF"/>
    <w:rsid w:val="005C259E"/>
    <w:rsid w:val="005C25D1"/>
    <w:rsid w:val="005C35A9"/>
    <w:rsid w:val="005C3BFA"/>
    <w:rsid w:val="005C464B"/>
    <w:rsid w:val="005C4E5F"/>
    <w:rsid w:val="005C74A0"/>
    <w:rsid w:val="005C7B58"/>
    <w:rsid w:val="005D052C"/>
    <w:rsid w:val="005D16FE"/>
    <w:rsid w:val="005D4084"/>
    <w:rsid w:val="005D45AC"/>
    <w:rsid w:val="005D4777"/>
    <w:rsid w:val="005D4C2B"/>
    <w:rsid w:val="005D4DF1"/>
    <w:rsid w:val="005E07F6"/>
    <w:rsid w:val="005E1CE8"/>
    <w:rsid w:val="005E2AC3"/>
    <w:rsid w:val="005E6B93"/>
    <w:rsid w:val="005E7953"/>
    <w:rsid w:val="005E7E82"/>
    <w:rsid w:val="005F0490"/>
    <w:rsid w:val="005F2C42"/>
    <w:rsid w:val="005F3EA0"/>
    <w:rsid w:val="005F6C28"/>
    <w:rsid w:val="005F74FA"/>
    <w:rsid w:val="005F7AB6"/>
    <w:rsid w:val="005F7E3C"/>
    <w:rsid w:val="00600FA8"/>
    <w:rsid w:val="006040B8"/>
    <w:rsid w:val="006063DA"/>
    <w:rsid w:val="00606CD0"/>
    <w:rsid w:val="00606CE3"/>
    <w:rsid w:val="00610513"/>
    <w:rsid w:val="00611DD3"/>
    <w:rsid w:val="00611EF0"/>
    <w:rsid w:val="00611FE1"/>
    <w:rsid w:val="00612219"/>
    <w:rsid w:val="00612E04"/>
    <w:rsid w:val="006143D3"/>
    <w:rsid w:val="00616B53"/>
    <w:rsid w:val="00616FD6"/>
    <w:rsid w:val="006173A4"/>
    <w:rsid w:val="0061797B"/>
    <w:rsid w:val="00617C44"/>
    <w:rsid w:val="00620086"/>
    <w:rsid w:val="00622658"/>
    <w:rsid w:val="00622A55"/>
    <w:rsid w:val="00622CE4"/>
    <w:rsid w:val="006234A7"/>
    <w:rsid w:val="00623F8E"/>
    <w:rsid w:val="00625917"/>
    <w:rsid w:val="0062617F"/>
    <w:rsid w:val="0062789F"/>
    <w:rsid w:val="006301BE"/>
    <w:rsid w:val="0063096E"/>
    <w:rsid w:val="0063221F"/>
    <w:rsid w:val="00632555"/>
    <w:rsid w:val="00633349"/>
    <w:rsid w:val="00633D61"/>
    <w:rsid w:val="0063402B"/>
    <w:rsid w:val="00636570"/>
    <w:rsid w:val="00636827"/>
    <w:rsid w:val="00637859"/>
    <w:rsid w:val="00637901"/>
    <w:rsid w:val="00637E1B"/>
    <w:rsid w:val="006402DF"/>
    <w:rsid w:val="0064164B"/>
    <w:rsid w:val="00642367"/>
    <w:rsid w:val="00644468"/>
    <w:rsid w:val="006453D9"/>
    <w:rsid w:val="00645719"/>
    <w:rsid w:val="00645F5E"/>
    <w:rsid w:val="00647B1E"/>
    <w:rsid w:val="00647C55"/>
    <w:rsid w:val="0065008B"/>
    <w:rsid w:val="00652A1A"/>
    <w:rsid w:val="00653A3B"/>
    <w:rsid w:val="00653FD9"/>
    <w:rsid w:val="00654D42"/>
    <w:rsid w:val="00656328"/>
    <w:rsid w:val="00660279"/>
    <w:rsid w:val="00660A94"/>
    <w:rsid w:val="00661202"/>
    <w:rsid w:val="006622B9"/>
    <w:rsid w:val="00662E1E"/>
    <w:rsid w:val="00663679"/>
    <w:rsid w:val="0066371E"/>
    <w:rsid w:val="006724AD"/>
    <w:rsid w:val="00672BAB"/>
    <w:rsid w:val="0067314A"/>
    <w:rsid w:val="00673D1E"/>
    <w:rsid w:val="00676D04"/>
    <w:rsid w:val="006779CF"/>
    <w:rsid w:val="00677A8F"/>
    <w:rsid w:val="00677D63"/>
    <w:rsid w:val="00677F8A"/>
    <w:rsid w:val="006821E3"/>
    <w:rsid w:val="00683AD6"/>
    <w:rsid w:val="00684055"/>
    <w:rsid w:val="006842AE"/>
    <w:rsid w:val="006875BA"/>
    <w:rsid w:val="00687A03"/>
    <w:rsid w:val="0069097D"/>
    <w:rsid w:val="00693FEA"/>
    <w:rsid w:val="00694C68"/>
    <w:rsid w:val="006963C6"/>
    <w:rsid w:val="006A012A"/>
    <w:rsid w:val="006A126E"/>
    <w:rsid w:val="006A13A0"/>
    <w:rsid w:val="006A5773"/>
    <w:rsid w:val="006A5804"/>
    <w:rsid w:val="006A58F0"/>
    <w:rsid w:val="006A6262"/>
    <w:rsid w:val="006B0372"/>
    <w:rsid w:val="006B0764"/>
    <w:rsid w:val="006B081C"/>
    <w:rsid w:val="006B0C2E"/>
    <w:rsid w:val="006B4467"/>
    <w:rsid w:val="006B6C46"/>
    <w:rsid w:val="006B6E78"/>
    <w:rsid w:val="006C0039"/>
    <w:rsid w:val="006C0761"/>
    <w:rsid w:val="006C1927"/>
    <w:rsid w:val="006C2585"/>
    <w:rsid w:val="006C4008"/>
    <w:rsid w:val="006C4E2C"/>
    <w:rsid w:val="006C5931"/>
    <w:rsid w:val="006C6258"/>
    <w:rsid w:val="006C73EF"/>
    <w:rsid w:val="006C786D"/>
    <w:rsid w:val="006D0E74"/>
    <w:rsid w:val="006D1723"/>
    <w:rsid w:val="006D3C02"/>
    <w:rsid w:val="006D5D3F"/>
    <w:rsid w:val="006D60ED"/>
    <w:rsid w:val="006E1166"/>
    <w:rsid w:val="006E14CA"/>
    <w:rsid w:val="006E24D9"/>
    <w:rsid w:val="006E2B85"/>
    <w:rsid w:val="006E596E"/>
    <w:rsid w:val="006E65E0"/>
    <w:rsid w:val="006F033F"/>
    <w:rsid w:val="006F24D8"/>
    <w:rsid w:val="006F2D2A"/>
    <w:rsid w:val="006F33B8"/>
    <w:rsid w:val="006F4C9C"/>
    <w:rsid w:val="006F640F"/>
    <w:rsid w:val="006F6470"/>
    <w:rsid w:val="006F762A"/>
    <w:rsid w:val="00701B6B"/>
    <w:rsid w:val="00701EFB"/>
    <w:rsid w:val="0070384F"/>
    <w:rsid w:val="00703A9E"/>
    <w:rsid w:val="00703D6D"/>
    <w:rsid w:val="00703E3B"/>
    <w:rsid w:val="00704095"/>
    <w:rsid w:val="00704152"/>
    <w:rsid w:val="00704FB5"/>
    <w:rsid w:val="00705FEA"/>
    <w:rsid w:val="00706B71"/>
    <w:rsid w:val="0071022A"/>
    <w:rsid w:val="0071277A"/>
    <w:rsid w:val="00712EE5"/>
    <w:rsid w:val="00713493"/>
    <w:rsid w:val="00713494"/>
    <w:rsid w:val="00714031"/>
    <w:rsid w:val="0071466E"/>
    <w:rsid w:val="00714A6C"/>
    <w:rsid w:val="00714CD3"/>
    <w:rsid w:val="007169BD"/>
    <w:rsid w:val="007206A8"/>
    <w:rsid w:val="0072116D"/>
    <w:rsid w:val="0072226F"/>
    <w:rsid w:val="00724CC1"/>
    <w:rsid w:val="00725B78"/>
    <w:rsid w:val="0072627A"/>
    <w:rsid w:val="00727082"/>
    <w:rsid w:val="0073233C"/>
    <w:rsid w:val="00732D0C"/>
    <w:rsid w:val="00733EAD"/>
    <w:rsid w:val="00734F54"/>
    <w:rsid w:val="00736D93"/>
    <w:rsid w:val="00737C04"/>
    <w:rsid w:val="00737F64"/>
    <w:rsid w:val="00744110"/>
    <w:rsid w:val="00744595"/>
    <w:rsid w:val="00746B94"/>
    <w:rsid w:val="00747A52"/>
    <w:rsid w:val="00750F1E"/>
    <w:rsid w:val="00751C12"/>
    <w:rsid w:val="00752691"/>
    <w:rsid w:val="007528F2"/>
    <w:rsid w:val="00754FF9"/>
    <w:rsid w:val="007575C4"/>
    <w:rsid w:val="00757CDC"/>
    <w:rsid w:val="00757D63"/>
    <w:rsid w:val="007628E6"/>
    <w:rsid w:val="00762A1B"/>
    <w:rsid w:val="00762D6D"/>
    <w:rsid w:val="00763700"/>
    <w:rsid w:val="0076427C"/>
    <w:rsid w:val="00765217"/>
    <w:rsid w:val="007659AA"/>
    <w:rsid w:val="00766334"/>
    <w:rsid w:val="00772594"/>
    <w:rsid w:val="0077266C"/>
    <w:rsid w:val="00772802"/>
    <w:rsid w:val="00775066"/>
    <w:rsid w:val="00776406"/>
    <w:rsid w:val="0078005A"/>
    <w:rsid w:val="0078187E"/>
    <w:rsid w:val="00781B6F"/>
    <w:rsid w:val="00781F9C"/>
    <w:rsid w:val="00782DFD"/>
    <w:rsid w:val="0078334E"/>
    <w:rsid w:val="0078370F"/>
    <w:rsid w:val="00784424"/>
    <w:rsid w:val="00784989"/>
    <w:rsid w:val="00785474"/>
    <w:rsid w:val="00785D20"/>
    <w:rsid w:val="00787B99"/>
    <w:rsid w:val="007925B6"/>
    <w:rsid w:val="0079421C"/>
    <w:rsid w:val="0079526D"/>
    <w:rsid w:val="00795A2C"/>
    <w:rsid w:val="00795C2D"/>
    <w:rsid w:val="00797390"/>
    <w:rsid w:val="007A05B6"/>
    <w:rsid w:val="007A1C0A"/>
    <w:rsid w:val="007A1C59"/>
    <w:rsid w:val="007A5B41"/>
    <w:rsid w:val="007B1E70"/>
    <w:rsid w:val="007B2296"/>
    <w:rsid w:val="007B3A76"/>
    <w:rsid w:val="007B4AC8"/>
    <w:rsid w:val="007B5792"/>
    <w:rsid w:val="007B69EF"/>
    <w:rsid w:val="007B7A0B"/>
    <w:rsid w:val="007B7E60"/>
    <w:rsid w:val="007C1258"/>
    <w:rsid w:val="007C31E2"/>
    <w:rsid w:val="007C4A6B"/>
    <w:rsid w:val="007C5CE1"/>
    <w:rsid w:val="007C6AE8"/>
    <w:rsid w:val="007C6F85"/>
    <w:rsid w:val="007C75EA"/>
    <w:rsid w:val="007D0569"/>
    <w:rsid w:val="007D16B1"/>
    <w:rsid w:val="007D19E4"/>
    <w:rsid w:val="007D436A"/>
    <w:rsid w:val="007D7400"/>
    <w:rsid w:val="007D7761"/>
    <w:rsid w:val="007D79FF"/>
    <w:rsid w:val="007E02A7"/>
    <w:rsid w:val="007E468A"/>
    <w:rsid w:val="007E51A5"/>
    <w:rsid w:val="007E64FC"/>
    <w:rsid w:val="007E67B8"/>
    <w:rsid w:val="007E7222"/>
    <w:rsid w:val="007E7F4C"/>
    <w:rsid w:val="007F1EF7"/>
    <w:rsid w:val="007F2EC6"/>
    <w:rsid w:val="007F3018"/>
    <w:rsid w:val="007F5C14"/>
    <w:rsid w:val="007F6862"/>
    <w:rsid w:val="00800996"/>
    <w:rsid w:val="008013FC"/>
    <w:rsid w:val="008015CD"/>
    <w:rsid w:val="00804B98"/>
    <w:rsid w:val="008060C3"/>
    <w:rsid w:val="008063A1"/>
    <w:rsid w:val="00807F00"/>
    <w:rsid w:val="00811021"/>
    <w:rsid w:val="008112C2"/>
    <w:rsid w:val="00812095"/>
    <w:rsid w:val="008134BD"/>
    <w:rsid w:val="00814656"/>
    <w:rsid w:val="00815606"/>
    <w:rsid w:val="008162AA"/>
    <w:rsid w:val="00820E45"/>
    <w:rsid w:val="00821E2C"/>
    <w:rsid w:val="0082234B"/>
    <w:rsid w:val="00822835"/>
    <w:rsid w:val="0082321C"/>
    <w:rsid w:val="0082459B"/>
    <w:rsid w:val="00826758"/>
    <w:rsid w:val="00834C11"/>
    <w:rsid w:val="008353E0"/>
    <w:rsid w:val="00835916"/>
    <w:rsid w:val="008365F0"/>
    <w:rsid w:val="00841534"/>
    <w:rsid w:val="00842841"/>
    <w:rsid w:val="008462F1"/>
    <w:rsid w:val="00846930"/>
    <w:rsid w:val="00850FDE"/>
    <w:rsid w:val="008527CC"/>
    <w:rsid w:val="00852876"/>
    <w:rsid w:val="008543F5"/>
    <w:rsid w:val="00854829"/>
    <w:rsid w:val="00855004"/>
    <w:rsid w:val="008572C4"/>
    <w:rsid w:val="0085733E"/>
    <w:rsid w:val="0085765A"/>
    <w:rsid w:val="008604A8"/>
    <w:rsid w:val="0086080F"/>
    <w:rsid w:val="00860E64"/>
    <w:rsid w:val="008616F7"/>
    <w:rsid w:val="00861AFA"/>
    <w:rsid w:val="00862472"/>
    <w:rsid w:val="00863C61"/>
    <w:rsid w:val="00864847"/>
    <w:rsid w:val="00865522"/>
    <w:rsid w:val="00865ADF"/>
    <w:rsid w:val="00865C8A"/>
    <w:rsid w:val="0086644C"/>
    <w:rsid w:val="008666B5"/>
    <w:rsid w:val="008703B3"/>
    <w:rsid w:val="00873FE9"/>
    <w:rsid w:val="008767EA"/>
    <w:rsid w:val="00876985"/>
    <w:rsid w:val="008823A3"/>
    <w:rsid w:val="00883780"/>
    <w:rsid w:val="00883B99"/>
    <w:rsid w:val="00885066"/>
    <w:rsid w:val="00885845"/>
    <w:rsid w:val="00885F85"/>
    <w:rsid w:val="0088665E"/>
    <w:rsid w:val="00887F48"/>
    <w:rsid w:val="008923C8"/>
    <w:rsid w:val="008924B5"/>
    <w:rsid w:val="00893260"/>
    <w:rsid w:val="008932A8"/>
    <w:rsid w:val="0089359E"/>
    <w:rsid w:val="00893756"/>
    <w:rsid w:val="00894A9E"/>
    <w:rsid w:val="008950F6"/>
    <w:rsid w:val="00896815"/>
    <w:rsid w:val="008A0744"/>
    <w:rsid w:val="008A0A6E"/>
    <w:rsid w:val="008A0D0F"/>
    <w:rsid w:val="008A2FB3"/>
    <w:rsid w:val="008A398B"/>
    <w:rsid w:val="008A4CAA"/>
    <w:rsid w:val="008A5601"/>
    <w:rsid w:val="008A59AD"/>
    <w:rsid w:val="008B096B"/>
    <w:rsid w:val="008B0EEB"/>
    <w:rsid w:val="008B431D"/>
    <w:rsid w:val="008B51FD"/>
    <w:rsid w:val="008B6766"/>
    <w:rsid w:val="008B7186"/>
    <w:rsid w:val="008B7192"/>
    <w:rsid w:val="008C02F3"/>
    <w:rsid w:val="008C1939"/>
    <w:rsid w:val="008C3396"/>
    <w:rsid w:val="008C621C"/>
    <w:rsid w:val="008C697C"/>
    <w:rsid w:val="008C7448"/>
    <w:rsid w:val="008C75ED"/>
    <w:rsid w:val="008C7649"/>
    <w:rsid w:val="008D0E98"/>
    <w:rsid w:val="008D1371"/>
    <w:rsid w:val="008D72AF"/>
    <w:rsid w:val="008D7C73"/>
    <w:rsid w:val="008E0991"/>
    <w:rsid w:val="008E21ED"/>
    <w:rsid w:val="008E338E"/>
    <w:rsid w:val="008E57FE"/>
    <w:rsid w:val="008F2665"/>
    <w:rsid w:val="008F3982"/>
    <w:rsid w:val="008F507E"/>
    <w:rsid w:val="008F5251"/>
    <w:rsid w:val="008F6376"/>
    <w:rsid w:val="00900CC2"/>
    <w:rsid w:val="00901770"/>
    <w:rsid w:val="009019FB"/>
    <w:rsid w:val="00902AA5"/>
    <w:rsid w:val="009052B7"/>
    <w:rsid w:val="00905B05"/>
    <w:rsid w:val="0090753C"/>
    <w:rsid w:val="00911B66"/>
    <w:rsid w:val="00912A7E"/>
    <w:rsid w:val="00915330"/>
    <w:rsid w:val="00916E69"/>
    <w:rsid w:val="00917525"/>
    <w:rsid w:val="0091777D"/>
    <w:rsid w:val="00917C39"/>
    <w:rsid w:val="0092057D"/>
    <w:rsid w:val="009218DE"/>
    <w:rsid w:val="00922D00"/>
    <w:rsid w:val="00923F17"/>
    <w:rsid w:val="00926367"/>
    <w:rsid w:val="009266DA"/>
    <w:rsid w:val="00930366"/>
    <w:rsid w:val="00930DE8"/>
    <w:rsid w:val="009318DD"/>
    <w:rsid w:val="00935024"/>
    <w:rsid w:val="00935413"/>
    <w:rsid w:val="00935EB9"/>
    <w:rsid w:val="00935F5D"/>
    <w:rsid w:val="0093669F"/>
    <w:rsid w:val="00936861"/>
    <w:rsid w:val="009368E0"/>
    <w:rsid w:val="0094170C"/>
    <w:rsid w:val="00941755"/>
    <w:rsid w:val="0094260B"/>
    <w:rsid w:val="00942661"/>
    <w:rsid w:val="0094362D"/>
    <w:rsid w:val="00945307"/>
    <w:rsid w:val="0094558D"/>
    <w:rsid w:val="00946FCE"/>
    <w:rsid w:val="00950214"/>
    <w:rsid w:val="009508B9"/>
    <w:rsid w:val="009515BC"/>
    <w:rsid w:val="009524B9"/>
    <w:rsid w:val="009529B6"/>
    <w:rsid w:val="0095349A"/>
    <w:rsid w:val="00953B5B"/>
    <w:rsid w:val="00953ED0"/>
    <w:rsid w:val="0095492E"/>
    <w:rsid w:val="00955F7D"/>
    <w:rsid w:val="00957F76"/>
    <w:rsid w:val="0096242F"/>
    <w:rsid w:val="00962E3B"/>
    <w:rsid w:val="00962E4A"/>
    <w:rsid w:val="00962FF5"/>
    <w:rsid w:val="00964A4E"/>
    <w:rsid w:val="00965B02"/>
    <w:rsid w:val="00965C07"/>
    <w:rsid w:val="00965D2D"/>
    <w:rsid w:val="00970A16"/>
    <w:rsid w:val="00971847"/>
    <w:rsid w:val="00972964"/>
    <w:rsid w:val="00973F38"/>
    <w:rsid w:val="00974BCE"/>
    <w:rsid w:val="00975AD3"/>
    <w:rsid w:val="00976EC3"/>
    <w:rsid w:val="0097762F"/>
    <w:rsid w:val="00980C4E"/>
    <w:rsid w:val="009816B8"/>
    <w:rsid w:val="009832EF"/>
    <w:rsid w:val="00983B45"/>
    <w:rsid w:val="00983B5C"/>
    <w:rsid w:val="0098766F"/>
    <w:rsid w:val="00990950"/>
    <w:rsid w:val="00993912"/>
    <w:rsid w:val="00994050"/>
    <w:rsid w:val="009962BD"/>
    <w:rsid w:val="009962CF"/>
    <w:rsid w:val="009969D6"/>
    <w:rsid w:val="009A2512"/>
    <w:rsid w:val="009A4543"/>
    <w:rsid w:val="009A4A7D"/>
    <w:rsid w:val="009A5DB1"/>
    <w:rsid w:val="009A7C5A"/>
    <w:rsid w:val="009A7E51"/>
    <w:rsid w:val="009B21B9"/>
    <w:rsid w:val="009B2FAD"/>
    <w:rsid w:val="009B4CD0"/>
    <w:rsid w:val="009B4DA7"/>
    <w:rsid w:val="009B7459"/>
    <w:rsid w:val="009C1356"/>
    <w:rsid w:val="009C21AB"/>
    <w:rsid w:val="009C21C6"/>
    <w:rsid w:val="009C383B"/>
    <w:rsid w:val="009C3A80"/>
    <w:rsid w:val="009C41EC"/>
    <w:rsid w:val="009C5238"/>
    <w:rsid w:val="009D12B4"/>
    <w:rsid w:val="009D136D"/>
    <w:rsid w:val="009D1E70"/>
    <w:rsid w:val="009D2135"/>
    <w:rsid w:val="009D2FA7"/>
    <w:rsid w:val="009D4CAE"/>
    <w:rsid w:val="009D5055"/>
    <w:rsid w:val="009D55F9"/>
    <w:rsid w:val="009D5A11"/>
    <w:rsid w:val="009D765F"/>
    <w:rsid w:val="009D7760"/>
    <w:rsid w:val="009E16E6"/>
    <w:rsid w:val="009E1E62"/>
    <w:rsid w:val="009E2953"/>
    <w:rsid w:val="009E30CE"/>
    <w:rsid w:val="009E4CDF"/>
    <w:rsid w:val="009F04C3"/>
    <w:rsid w:val="009F0760"/>
    <w:rsid w:val="009F31BC"/>
    <w:rsid w:val="009F3B29"/>
    <w:rsid w:val="009F4485"/>
    <w:rsid w:val="009F4860"/>
    <w:rsid w:val="00A00057"/>
    <w:rsid w:val="00A00485"/>
    <w:rsid w:val="00A01A5F"/>
    <w:rsid w:val="00A025AC"/>
    <w:rsid w:val="00A02C96"/>
    <w:rsid w:val="00A02E65"/>
    <w:rsid w:val="00A0340A"/>
    <w:rsid w:val="00A036F2"/>
    <w:rsid w:val="00A0440C"/>
    <w:rsid w:val="00A047AE"/>
    <w:rsid w:val="00A0585F"/>
    <w:rsid w:val="00A0694A"/>
    <w:rsid w:val="00A077AC"/>
    <w:rsid w:val="00A07A33"/>
    <w:rsid w:val="00A10A30"/>
    <w:rsid w:val="00A1137C"/>
    <w:rsid w:val="00A113D7"/>
    <w:rsid w:val="00A11F0F"/>
    <w:rsid w:val="00A13F70"/>
    <w:rsid w:val="00A16126"/>
    <w:rsid w:val="00A210E0"/>
    <w:rsid w:val="00A21684"/>
    <w:rsid w:val="00A21C6C"/>
    <w:rsid w:val="00A2365A"/>
    <w:rsid w:val="00A24133"/>
    <w:rsid w:val="00A262BF"/>
    <w:rsid w:val="00A27809"/>
    <w:rsid w:val="00A30533"/>
    <w:rsid w:val="00A317B0"/>
    <w:rsid w:val="00A3390C"/>
    <w:rsid w:val="00A3436E"/>
    <w:rsid w:val="00A34591"/>
    <w:rsid w:val="00A34E44"/>
    <w:rsid w:val="00A3640F"/>
    <w:rsid w:val="00A366B0"/>
    <w:rsid w:val="00A37ECF"/>
    <w:rsid w:val="00A40CE2"/>
    <w:rsid w:val="00A42C26"/>
    <w:rsid w:val="00A42FAE"/>
    <w:rsid w:val="00A47176"/>
    <w:rsid w:val="00A475C5"/>
    <w:rsid w:val="00A4768C"/>
    <w:rsid w:val="00A50A68"/>
    <w:rsid w:val="00A50D3B"/>
    <w:rsid w:val="00A50E38"/>
    <w:rsid w:val="00A510C6"/>
    <w:rsid w:val="00A5135C"/>
    <w:rsid w:val="00A518AA"/>
    <w:rsid w:val="00A51A9E"/>
    <w:rsid w:val="00A525E7"/>
    <w:rsid w:val="00A52F9E"/>
    <w:rsid w:val="00A56348"/>
    <w:rsid w:val="00A56845"/>
    <w:rsid w:val="00A5703F"/>
    <w:rsid w:val="00A5789A"/>
    <w:rsid w:val="00A57D39"/>
    <w:rsid w:val="00A6316B"/>
    <w:rsid w:val="00A65316"/>
    <w:rsid w:val="00A65D50"/>
    <w:rsid w:val="00A674FF"/>
    <w:rsid w:val="00A70F69"/>
    <w:rsid w:val="00A72611"/>
    <w:rsid w:val="00A73ABB"/>
    <w:rsid w:val="00A751A1"/>
    <w:rsid w:val="00A76D2C"/>
    <w:rsid w:val="00A77746"/>
    <w:rsid w:val="00A806AA"/>
    <w:rsid w:val="00A828A2"/>
    <w:rsid w:val="00A83BF6"/>
    <w:rsid w:val="00A84A19"/>
    <w:rsid w:val="00A87B4F"/>
    <w:rsid w:val="00A87F31"/>
    <w:rsid w:val="00A90D27"/>
    <w:rsid w:val="00A9103B"/>
    <w:rsid w:val="00A91284"/>
    <w:rsid w:val="00A918A7"/>
    <w:rsid w:val="00A92871"/>
    <w:rsid w:val="00A9551B"/>
    <w:rsid w:val="00A955EB"/>
    <w:rsid w:val="00A96411"/>
    <w:rsid w:val="00AA1F49"/>
    <w:rsid w:val="00AA3A2E"/>
    <w:rsid w:val="00AA4099"/>
    <w:rsid w:val="00AA4789"/>
    <w:rsid w:val="00AA6913"/>
    <w:rsid w:val="00AA7509"/>
    <w:rsid w:val="00AA7D2B"/>
    <w:rsid w:val="00AB2190"/>
    <w:rsid w:val="00AB39EB"/>
    <w:rsid w:val="00AB3F27"/>
    <w:rsid w:val="00AB3FD9"/>
    <w:rsid w:val="00AB463D"/>
    <w:rsid w:val="00AB7DE7"/>
    <w:rsid w:val="00AC0173"/>
    <w:rsid w:val="00AC03AB"/>
    <w:rsid w:val="00AC0650"/>
    <w:rsid w:val="00AC1BE7"/>
    <w:rsid w:val="00AC275F"/>
    <w:rsid w:val="00AC2B34"/>
    <w:rsid w:val="00AC3EE4"/>
    <w:rsid w:val="00AC50A4"/>
    <w:rsid w:val="00AC5A95"/>
    <w:rsid w:val="00AC6074"/>
    <w:rsid w:val="00AC632D"/>
    <w:rsid w:val="00AC6471"/>
    <w:rsid w:val="00AD1751"/>
    <w:rsid w:val="00AD2B6E"/>
    <w:rsid w:val="00AD3443"/>
    <w:rsid w:val="00AD4B3C"/>
    <w:rsid w:val="00AD6473"/>
    <w:rsid w:val="00AD68A5"/>
    <w:rsid w:val="00AD793E"/>
    <w:rsid w:val="00AE06DD"/>
    <w:rsid w:val="00AE12F2"/>
    <w:rsid w:val="00AE185D"/>
    <w:rsid w:val="00AE1BFE"/>
    <w:rsid w:val="00AE2876"/>
    <w:rsid w:val="00AE2B27"/>
    <w:rsid w:val="00AE3842"/>
    <w:rsid w:val="00AE3D83"/>
    <w:rsid w:val="00AE4374"/>
    <w:rsid w:val="00AE45A5"/>
    <w:rsid w:val="00AE466A"/>
    <w:rsid w:val="00AE485C"/>
    <w:rsid w:val="00AE7D4F"/>
    <w:rsid w:val="00AE7FE4"/>
    <w:rsid w:val="00AF0117"/>
    <w:rsid w:val="00AF0D96"/>
    <w:rsid w:val="00AF17D3"/>
    <w:rsid w:val="00AF1D77"/>
    <w:rsid w:val="00AF33D1"/>
    <w:rsid w:val="00AF38BA"/>
    <w:rsid w:val="00AF4F67"/>
    <w:rsid w:val="00AF5811"/>
    <w:rsid w:val="00AF6509"/>
    <w:rsid w:val="00AF7516"/>
    <w:rsid w:val="00B00BBE"/>
    <w:rsid w:val="00B039E5"/>
    <w:rsid w:val="00B0456E"/>
    <w:rsid w:val="00B06A05"/>
    <w:rsid w:val="00B06BF6"/>
    <w:rsid w:val="00B06F7F"/>
    <w:rsid w:val="00B100F0"/>
    <w:rsid w:val="00B1402E"/>
    <w:rsid w:val="00B14865"/>
    <w:rsid w:val="00B21D50"/>
    <w:rsid w:val="00B22F9B"/>
    <w:rsid w:val="00B23747"/>
    <w:rsid w:val="00B23E0A"/>
    <w:rsid w:val="00B24090"/>
    <w:rsid w:val="00B257E3"/>
    <w:rsid w:val="00B25EE4"/>
    <w:rsid w:val="00B260C7"/>
    <w:rsid w:val="00B27494"/>
    <w:rsid w:val="00B2751F"/>
    <w:rsid w:val="00B279B9"/>
    <w:rsid w:val="00B27BFD"/>
    <w:rsid w:val="00B306A6"/>
    <w:rsid w:val="00B325AC"/>
    <w:rsid w:val="00B34F48"/>
    <w:rsid w:val="00B42AA9"/>
    <w:rsid w:val="00B51BA0"/>
    <w:rsid w:val="00B51C24"/>
    <w:rsid w:val="00B5202E"/>
    <w:rsid w:val="00B535BD"/>
    <w:rsid w:val="00B53701"/>
    <w:rsid w:val="00B56A26"/>
    <w:rsid w:val="00B6021A"/>
    <w:rsid w:val="00B6110A"/>
    <w:rsid w:val="00B6176A"/>
    <w:rsid w:val="00B6301A"/>
    <w:rsid w:val="00B63668"/>
    <w:rsid w:val="00B64CAD"/>
    <w:rsid w:val="00B651FA"/>
    <w:rsid w:val="00B65C36"/>
    <w:rsid w:val="00B66751"/>
    <w:rsid w:val="00B66E40"/>
    <w:rsid w:val="00B67AA6"/>
    <w:rsid w:val="00B7066C"/>
    <w:rsid w:val="00B717D8"/>
    <w:rsid w:val="00B72DF3"/>
    <w:rsid w:val="00B7364C"/>
    <w:rsid w:val="00B74146"/>
    <w:rsid w:val="00B76F6C"/>
    <w:rsid w:val="00B8080B"/>
    <w:rsid w:val="00B811EF"/>
    <w:rsid w:val="00B831B9"/>
    <w:rsid w:val="00B86EF1"/>
    <w:rsid w:val="00B90674"/>
    <w:rsid w:val="00B91FFF"/>
    <w:rsid w:val="00B934E3"/>
    <w:rsid w:val="00B94323"/>
    <w:rsid w:val="00B94444"/>
    <w:rsid w:val="00B9566B"/>
    <w:rsid w:val="00B95F92"/>
    <w:rsid w:val="00B961B7"/>
    <w:rsid w:val="00B963D4"/>
    <w:rsid w:val="00B9772B"/>
    <w:rsid w:val="00BA0506"/>
    <w:rsid w:val="00BA2DEF"/>
    <w:rsid w:val="00BA35F2"/>
    <w:rsid w:val="00BA42FB"/>
    <w:rsid w:val="00BA4768"/>
    <w:rsid w:val="00BA4A92"/>
    <w:rsid w:val="00BA516F"/>
    <w:rsid w:val="00BA628C"/>
    <w:rsid w:val="00BA7059"/>
    <w:rsid w:val="00BA716C"/>
    <w:rsid w:val="00BA79D5"/>
    <w:rsid w:val="00BB0051"/>
    <w:rsid w:val="00BB02C6"/>
    <w:rsid w:val="00BB1082"/>
    <w:rsid w:val="00BB2127"/>
    <w:rsid w:val="00BB2F19"/>
    <w:rsid w:val="00BB3805"/>
    <w:rsid w:val="00BB3F7F"/>
    <w:rsid w:val="00BB4589"/>
    <w:rsid w:val="00BB52A5"/>
    <w:rsid w:val="00BB5893"/>
    <w:rsid w:val="00BB6740"/>
    <w:rsid w:val="00BB7EA1"/>
    <w:rsid w:val="00BB7F81"/>
    <w:rsid w:val="00BC0736"/>
    <w:rsid w:val="00BC159E"/>
    <w:rsid w:val="00BC269B"/>
    <w:rsid w:val="00BC27D2"/>
    <w:rsid w:val="00BD181E"/>
    <w:rsid w:val="00BD2056"/>
    <w:rsid w:val="00BD35E1"/>
    <w:rsid w:val="00BD3DBA"/>
    <w:rsid w:val="00BD5087"/>
    <w:rsid w:val="00BD5252"/>
    <w:rsid w:val="00BD54FC"/>
    <w:rsid w:val="00BD63C3"/>
    <w:rsid w:val="00BD67CE"/>
    <w:rsid w:val="00BD76A4"/>
    <w:rsid w:val="00BE1C8A"/>
    <w:rsid w:val="00BE238F"/>
    <w:rsid w:val="00BE365A"/>
    <w:rsid w:val="00BE4857"/>
    <w:rsid w:val="00BE5847"/>
    <w:rsid w:val="00BE5BE0"/>
    <w:rsid w:val="00BE697B"/>
    <w:rsid w:val="00BE6992"/>
    <w:rsid w:val="00BE70E8"/>
    <w:rsid w:val="00BF0E76"/>
    <w:rsid w:val="00BF19DC"/>
    <w:rsid w:val="00BF2B3E"/>
    <w:rsid w:val="00BF2DAF"/>
    <w:rsid w:val="00BF3C4C"/>
    <w:rsid w:val="00BF4AA7"/>
    <w:rsid w:val="00BF4E1B"/>
    <w:rsid w:val="00BF5143"/>
    <w:rsid w:val="00C007FE"/>
    <w:rsid w:val="00C01083"/>
    <w:rsid w:val="00C034ED"/>
    <w:rsid w:val="00C0480F"/>
    <w:rsid w:val="00C06354"/>
    <w:rsid w:val="00C1043C"/>
    <w:rsid w:val="00C12A51"/>
    <w:rsid w:val="00C12CD1"/>
    <w:rsid w:val="00C14E9E"/>
    <w:rsid w:val="00C1591E"/>
    <w:rsid w:val="00C1701C"/>
    <w:rsid w:val="00C173EE"/>
    <w:rsid w:val="00C20ADB"/>
    <w:rsid w:val="00C20D36"/>
    <w:rsid w:val="00C21038"/>
    <w:rsid w:val="00C2286B"/>
    <w:rsid w:val="00C2396B"/>
    <w:rsid w:val="00C24B2A"/>
    <w:rsid w:val="00C26865"/>
    <w:rsid w:val="00C2785F"/>
    <w:rsid w:val="00C30BA6"/>
    <w:rsid w:val="00C31467"/>
    <w:rsid w:val="00C31AF7"/>
    <w:rsid w:val="00C33F0C"/>
    <w:rsid w:val="00C34781"/>
    <w:rsid w:val="00C34CCB"/>
    <w:rsid w:val="00C34D57"/>
    <w:rsid w:val="00C34DF0"/>
    <w:rsid w:val="00C35515"/>
    <w:rsid w:val="00C35807"/>
    <w:rsid w:val="00C35A4B"/>
    <w:rsid w:val="00C36696"/>
    <w:rsid w:val="00C36720"/>
    <w:rsid w:val="00C36777"/>
    <w:rsid w:val="00C36939"/>
    <w:rsid w:val="00C37518"/>
    <w:rsid w:val="00C37F00"/>
    <w:rsid w:val="00C40BFC"/>
    <w:rsid w:val="00C417E2"/>
    <w:rsid w:val="00C421C9"/>
    <w:rsid w:val="00C42A3A"/>
    <w:rsid w:val="00C437C6"/>
    <w:rsid w:val="00C43FD4"/>
    <w:rsid w:val="00C4517F"/>
    <w:rsid w:val="00C45232"/>
    <w:rsid w:val="00C45E50"/>
    <w:rsid w:val="00C46E94"/>
    <w:rsid w:val="00C4713F"/>
    <w:rsid w:val="00C516E9"/>
    <w:rsid w:val="00C52097"/>
    <w:rsid w:val="00C52BA5"/>
    <w:rsid w:val="00C52F47"/>
    <w:rsid w:val="00C53323"/>
    <w:rsid w:val="00C54D8C"/>
    <w:rsid w:val="00C57493"/>
    <w:rsid w:val="00C605E6"/>
    <w:rsid w:val="00C608B0"/>
    <w:rsid w:val="00C64D07"/>
    <w:rsid w:val="00C66CEF"/>
    <w:rsid w:val="00C670FE"/>
    <w:rsid w:val="00C71087"/>
    <w:rsid w:val="00C71E3C"/>
    <w:rsid w:val="00C73AB9"/>
    <w:rsid w:val="00C73C17"/>
    <w:rsid w:val="00C75492"/>
    <w:rsid w:val="00C77C78"/>
    <w:rsid w:val="00C8146C"/>
    <w:rsid w:val="00C8231E"/>
    <w:rsid w:val="00C846DD"/>
    <w:rsid w:val="00C8562A"/>
    <w:rsid w:val="00C85CA6"/>
    <w:rsid w:val="00C873DA"/>
    <w:rsid w:val="00C90A7F"/>
    <w:rsid w:val="00C9147E"/>
    <w:rsid w:val="00C925ED"/>
    <w:rsid w:val="00C9339F"/>
    <w:rsid w:val="00C9373B"/>
    <w:rsid w:val="00C96A10"/>
    <w:rsid w:val="00C970A5"/>
    <w:rsid w:val="00C9753B"/>
    <w:rsid w:val="00CA0C87"/>
    <w:rsid w:val="00CA19CD"/>
    <w:rsid w:val="00CA2D34"/>
    <w:rsid w:val="00CA4A62"/>
    <w:rsid w:val="00CA561E"/>
    <w:rsid w:val="00CA5B58"/>
    <w:rsid w:val="00CA659E"/>
    <w:rsid w:val="00CB23DD"/>
    <w:rsid w:val="00CB2757"/>
    <w:rsid w:val="00CB2FE7"/>
    <w:rsid w:val="00CB37D4"/>
    <w:rsid w:val="00CB3B57"/>
    <w:rsid w:val="00CB42AE"/>
    <w:rsid w:val="00CB6768"/>
    <w:rsid w:val="00CC17DB"/>
    <w:rsid w:val="00CC1C21"/>
    <w:rsid w:val="00CC2F01"/>
    <w:rsid w:val="00CC638E"/>
    <w:rsid w:val="00CC6453"/>
    <w:rsid w:val="00CD05EC"/>
    <w:rsid w:val="00CD1937"/>
    <w:rsid w:val="00CD2D8A"/>
    <w:rsid w:val="00CD31EA"/>
    <w:rsid w:val="00CD4413"/>
    <w:rsid w:val="00CD692F"/>
    <w:rsid w:val="00CD72D5"/>
    <w:rsid w:val="00CE0392"/>
    <w:rsid w:val="00CE2303"/>
    <w:rsid w:val="00CE5481"/>
    <w:rsid w:val="00CE5866"/>
    <w:rsid w:val="00CE68BD"/>
    <w:rsid w:val="00CF003F"/>
    <w:rsid w:val="00CF0045"/>
    <w:rsid w:val="00CF3D5D"/>
    <w:rsid w:val="00CF7194"/>
    <w:rsid w:val="00CF7C90"/>
    <w:rsid w:val="00CF7EA0"/>
    <w:rsid w:val="00D000D2"/>
    <w:rsid w:val="00D00600"/>
    <w:rsid w:val="00D00A29"/>
    <w:rsid w:val="00D02612"/>
    <w:rsid w:val="00D0320C"/>
    <w:rsid w:val="00D0329F"/>
    <w:rsid w:val="00D04F9C"/>
    <w:rsid w:val="00D06299"/>
    <w:rsid w:val="00D07A80"/>
    <w:rsid w:val="00D07CFB"/>
    <w:rsid w:val="00D1045D"/>
    <w:rsid w:val="00D104E9"/>
    <w:rsid w:val="00D11950"/>
    <w:rsid w:val="00D133AA"/>
    <w:rsid w:val="00D13B0B"/>
    <w:rsid w:val="00D13CCF"/>
    <w:rsid w:val="00D14CF7"/>
    <w:rsid w:val="00D1576E"/>
    <w:rsid w:val="00D15E67"/>
    <w:rsid w:val="00D16EBD"/>
    <w:rsid w:val="00D17B82"/>
    <w:rsid w:val="00D20ABB"/>
    <w:rsid w:val="00D24AEE"/>
    <w:rsid w:val="00D25051"/>
    <w:rsid w:val="00D2606E"/>
    <w:rsid w:val="00D26A33"/>
    <w:rsid w:val="00D3073E"/>
    <w:rsid w:val="00D31676"/>
    <w:rsid w:val="00D316C8"/>
    <w:rsid w:val="00D337D5"/>
    <w:rsid w:val="00D346F2"/>
    <w:rsid w:val="00D34817"/>
    <w:rsid w:val="00D365BB"/>
    <w:rsid w:val="00D3795A"/>
    <w:rsid w:val="00D37AB5"/>
    <w:rsid w:val="00D40C74"/>
    <w:rsid w:val="00D43282"/>
    <w:rsid w:val="00D43EA4"/>
    <w:rsid w:val="00D44508"/>
    <w:rsid w:val="00D47810"/>
    <w:rsid w:val="00D5128E"/>
    <w:rsid w:val="00D52FD0"/>
    <w:rsid w:val="00D53406"/>
    <w:rsid w:val="00D54385"/>
    <w:rsid w:val="00D57012"/>
    <w:rsid w:val="00D57402"/>
    <w:rsid w:val="00D60E59"/>
    <w:rsid w:val="00D61CE1"/>
    <w:rsid w:val="00D6259C"/>
    <w:rsid w:val="00D63B91"/>
    <w:rsid w:val="00D64A4A"/>
    <w:rsid w:val="00D6679C"/>
    <w:rsid w:val="00D72F5D"/>
    <w:rsid w:val="00D73EE6"/>
    <w:rsid w:val="00D742D2"/>
    <w:rsid w:val="00D744DC"/>
    <w:rsid w:val="00D758FE"/>
    <w:rsid w:val="00D75CF7"/>
    <w:rsid w:val="00D75F59"/>
    <w:rsid w:val="00D76509"/>
    <w:rsid w:val="00D776C3"/>
    <w:rsid w:val="00D777E3"/>
    <w:rsid w:val="00D80153"/>
    <w:rsid w:val="00D809BA"/>
    <w:rsid w:val="00D81AC7"/>
    <w:rsid w:val="00D83DE2"/>
    <w:rsid w:val="00D83E45"/>
    <w:rsid w:val="00D842CD"/>
    <w:rsid w:val="00D8495C"/>
    <w:rsid w:val="00D84C2E"/>
    <w:rsid w:val="00D855D1"/>
    <w:rsid w:val="00D86737"/>
    <w:rsid w:val="00D8696A"/>
    <w:rsid w:val="00D90F5A"/>
    <w:rsid w:val="00D9153B"/>
    <w:rsid w:val="00D93339"/>
    <w:rsid w:val="00D95903"/>
    <w:rsid w:val="00D95C14"/>
    <w:rsid w:val="00D95D78"/>
    <w:rsid w:val="00D97046"/>
    <w:rsid w:val="00DA0810"/>
    <w:rsid w:val="00DA3FCE"/>
    <w:rsid w:val="00DA567C"/>
    <w:rsid w:val="00DB17E4"/>
    <w:rsid w:val="00DB2BE7"/>
    <w:rsid w:val="00DB4203"/>
    <w:rsid w:val="00DB60DF"/>
    <w:rsid w:val="00DB7CA1"/>
    <w:rsid w:val="00DC094F"/>
    <w:rsid w:val="00DC24B5"/>
    <w:rsid w:val="00DC25DA"/>
    <w:rsid w:val="00DC4C59"/>
    <w:rsid w:val="00DC5149"/>
    <w:rsid w:val="00DC68E1"/>
    <w:rsid w:val="00DC7FCE"/>
    <w:rsid w:val="00DD0CB7"/>
    <w:rsid w:val="00DD1B88"/>
    <w:rsid w:val="00DD334C"/>
    <w:rsid w:val="00DD3C08"/>
    <w:rsid w:val="00DE0476"/>
    <w:rsid w:val="00DE1B2F"/>
    <w:rsid w:val="00DE1C5A"/>
    <w:rsid w:val="00DE2AAC"/>
    <w:rsid w:val="00DE3CE8"/>
    <w:rsid w:val="00DE58CA"/>
    <w:rsid w:val="00DE5E04"/>
    <w:rsid w:val="00DE6634"/>
    <w:rsid w:val="00DF0A39"/>
    <w:rsid w:val="00DF1125"/>
    <w:rsid w:val="00DF11E6"/>
    <w:rsid w:val="00DF27AC"/>
    <w:rsid w:val="00DF28E7"/>
    <w:rsid w:val="00DF2FD1"/>
    <w:rsid w:val="00DF399A"/>
    <w:rsid w:val="00DF447B"/>
    <w:rsid w:val="00DF6280"/>
    <w:rsid w:val="00DF6D76"/>
    <w:rsid w:val="00DF7B14"/>
    <w:rsid w:val="00DF7F35"/>
    <w:rsid w:val="00E00009"/>
    <w:rsid w:val="00E01EF4"/>
    <w:rsid w:val="00E02CF2"/>
    <w:rsid w:val="00E04947"/>
    <w:rsid w:val="00E05574"/>
    <w:rsid w:val="00E069F7"/>
    <w:rsid w:val="00E06C35"/>
    <w:rsid w:val="00E0710D"/>
    <w:rsid w:val="00E07F71"/>
    <w:rsid w:val="00E114D8"/>
    <w:rsid w:val="00E1256E"/>
    <w:rsid w:val="00E1347F"/>
    <w:rsid w:val="00E1621B"/>
    <w:rsid w:val="00E20B4D"/>
    <w:rsid w:val="00E21114"/>
    <w:rsid w:val="00E22B84"/>
    <w:rsid w:val="00E24319"/>
    <w:rsid w:val="00E26045"/>
    <w:rsid w:val="00E26BDB"/>
    <w:rsid w:val="00E26D15"/>
    <w:rsid w:val="00E27304"/>
    <w:rsid w:val="00E304D5"/>
    <w:rsid w:val="00E3278D"/>
    <w:rsid w:val="00E32838"/>
    <w:rsid w:val="00E33084"/>
    <w:rsid w:val="00E337F5"/>
    <w:rsid w:val="00E339E4"/>
    <w:rsid w:val="00E34593"/>
    <w:rsid w:val="00E34671"/>
    <w:rsid w:val="00E34EBC"/>
    <w:rsid w:val="00E35863"/>
    <w:rsid w:val="00E36D37"/>
    <w:rsid w:val="00E37211"/>
    <w:rsid w:val="00E37848"/>
    <w:rsid w:val="00E4034D"/>
    <w:rsid w:val="00E404B3"/>
    <w:rsid w:val="00E4151E"/>
    <w:rsid w:val="00E41EE7"/>
    <w:rsid w:val="00E42084"/>
    <w:rsid w:val="00E42A6F"/>
    <w:rsid w:val="00E43945"/>
    <w:rsid w:val="00E44854"/>
    <w:rsid w:val="00E55808"/>
    <w:rsid w:val="00E559EA"/>
    <w:rsid w:val="00E5696D"/>
    <w:rsid w:val="00E56E45"/>
    <w:rsid w:val="00E60FAF"/>
    <w:rsid w:val="00E6161C"/>
    <w:rsid w:val="00E627AC"/>
    <w:rsid w:val="00E62DEC"/>
    <w:rsid w:val="00E63233"/>
    <w:rsid w:val="00E63FE6"/>
    <w:rsid w:val="00E65960"/>
    <w:rsid w:val="00E65F8A"/>
    <w:rsid w:val="00E66ECB"/>
    <w:rsid w:val="00E672AB"/>
    <w:rsid w:val="00E67486"/>
    <w:rsid w:val="00E70607"/>
    <w:rsid w:val="00E727CE"/>
    <w:rsid w:val="00E73D84"/>
    <w:rsid w:val="00E749E1"/>
    <w:rsid w:val="00E759D5"/>
    <w:rsid w:val="00E8007A"/>
    <w:rsid w:val="00E800BF"/>
    <w:rsid w:val="00E80578"/>
    <w:rsid w:val="00E80B43"/>
    <w:rsid w:val="00E833CB"/>
    <w:rsid w:val="00E83995"/>
    <w:rsid w:val="00E83C8A"/>
    <w:rsid w:val="00E83CBA"/>
    <w:rsid w:val="00E83D2E"/>
    <w:rsid w:val="00E83FAD"/>
    <w:rsid w:val="00E83FB2"/>
    <w:rsid w:val="00E844D4"/>
    <w:rsid w:val="00E90615"/>
    <w:rsid w:val="00E910A7"/>
    <w:rsid w:val="00E91FE0"/>
    <w:rsid w:val="00E9386B"/>
    <w:rsid w:val="00E95AC2"/>
    <w:rsid w:val="00E96742"/>
    <w:rsid w:val="00E97167"/>
    <w:rsid w:val="00E97DBB"/>
    <w:rsid w:val="00EA0169"/>
    <w:rsid w:val="00EA093A"/>
    <w:rsid w:val="00EA20D6"/>
    <w:rsid w:val="00EA2398"/>
    <w:rsid w:val="00EA3781"/>
    <w:rsid w:val="00EA5023"/>
    <w:rsid w:val="00EA7061"/>
    <w:rsid w:val="00EA7C5B"/>
    <w:rsid w:val="00EB13FE"/>
    <w:rsid w:val="00EB254B"/>
    <w:rsid w:val="00EB39F1"/>
    <w:rsid w:val="00EB460F"/>
    <w:rsid w:val="00EB472E"/>
    <w:rsid w:val="00EB5434"/>
    <w:rsid w:val="00EB5D6C"/>
    <w:rsid w:val="00EB6077"/>
    <w:rsid w:val="00EB6A9B"/>
    <w:rsid w:val="00EB76D6"/>
    <w:rsid w:val="00EC0178"/>
    <w:rsid w:val="00EC049F"/>
    <w:rsid w:val="00EC0AEF"/>
    <w:rsid w:val="00EC11E3"/>
    <w:rsid w:val="00EC25B7"/>
    <w:rsid w:val="00EC3B70"/>
    <w:rsid w:val="00ED024E"/>
    <w:rsid w:val="00ED194C"/>
    <w:rsid w:val="00ED2C26"/>
    <w:rsid w:val="00ED3581"/>
    <w:rsid w:val="00ED3898"/>
    <w:rsid w:val="00ED4D89"/>
    <w:rsid w:val="00ED5EC2"/>
    <w:rsid w:val="00EE0DF2"/>
    <w:rsid w:val="00EE1124"/>
    <w:rsid w:val="00EE21DD"/>
    <w:rsid w:val="00EE29A7"/>
    <w:rsid w:val="00EE4BB4"/>
    <w:rsid w:val="00EE56DF"/>
    <w:rsid w:val="00EE5ED7"/>
    <w:rsid w:val="00EE64CC"/>
    <w:rsid w:val="00EE6C32"/>
    <w:rsid w:val="00EE6D6B"/>
    <w:rsid w:val="00EF1A24"/>
    <w:rsid w:val="00EF1BF1"/>
    <w:rsid w:val="00EF4ADB"/>
    <w:rsid w:val="00EF50C2"/>
    <w:rsid w:val="00EF71E1"/>
    <w:rsid w:val="00EF7760"/>
    <w:rsid w:val="00EF7F67"/>
    <w:rsid w:val="00F01BD5"/>
    <w:rsid w:val="00F02110"/>
    <w:rsid w:val="00F024E3"/>
    <w:rsid w:val="00F0264E"/>
    <w:rsid w:val="00F02815"/>
    <w:rsid w:val="00F05EAF"/>
    <w:rsid w:val="00F06D7C"/>
    <w:rsid w:val="00F07D32"/>
    <w:rsid w:val="00F1049D"/>
    <w:rsid w:val="00F119F0"/>
    <w:rsid w:val="00F122E2"/>
    <w:rsid w:val="00F12BD4"/>
    <w:rsid w:val="00F147FD"/>
    <w:rsid w:val="00F14BAB"/>
    <w:rsid w:val="00F15FC1"/>
    <w:rsid w:val="00F166CE"/>
    <w:rsid w:val="00F1744B"/>
    <w:rsid w:val="00F17762"/>
    <w:rsid w:val="00F23C5A"/>
    <w:rsid w:val="00F23E91"/>
    <w:rsid w:val="00F245BC"/>
    <w:rsid w:val="00F261BC"/>
    <w:rsid w:val="00F277D4"/>
    <w:rsid w:val="00F279D4"/>
    <w:rsid w:val="00F31104"/>
    <w:rsid w:val="00F33E65"/>
    <w:rsid w:val="00F34709"/>
    <w:rsid w:val="00F34E93"/>
    <w:rsid w:val="00F4103E"/>
    <w:rsid w:val="00F4105C"/>
    <w:rsid w:val="00F43F5A"/>
    <w:rsid w:val="00F44511"/>
    <w:rsid w:val="00F4474B"/>
    <w:rsid w:val="00F4514C"/>
    <w:rsid w:val="00F46E55"/>
    <w:rsid w:val="00F5097D"/>
    <w:rsid w:val="00F513E5"/>
    <w:rsid w:val="00F5219B"/>
    <w:rsid w:val="00F53138"/>
    <w:rsid w:val="00F534C0"/>
    <w:rsid w:val="00F54930"/>
    <w:rsid w:val="00F54AF5"/>
    <w:rsid w:val="00F5523B"/>
    <w:rsid w:val="00F623B6"/>
    <w:rsid w:val="00F62513"/>
    <w:rsid w:val="00F6280F"/>
    <w:rsid w:val="00F62819"/>
    <w:rsid w:val="00F6394B"/>
    <w:rsid w:val="00F6653B"/>
    <w:rsid w:val="00F66973"/>
    <w:rsid w:val="00F708D9"/>
    <w:rsid w:val="00F720FB"/>
    <w:rsid w:val="00F721C2"/>
    <w:rsid w:val="00F72337"/>
    <w:rsid w:val="00F7610B"/>
    <w:rsid w:val="00F80602"/>
    <w:rsid w:val="00F81376"/>
    <w:rsid w:val="00F82897"/>
    <w:rsid w:val="00F84527"/>
    <w:rsid w:val="00F84C20"/>
    <w:rsid w:val="00F85436"/>
    <w:rsid w:val="00F87614"/>
    <w:rsid w:val="00F87C62"/>
    <w:rsid w:val="00F92112"/>
    <w:rsid w:val="00F9230A"/>
    <w:rsid w:val="00F92366"/>
    <w:rsid w:val="00F92753"/>
    <w:rsid w:val="00F95307"/>
    <w:rsid w:val="00F9598E"/>
    <w:rsid w:val="00F96B32"/>
    <w:rsid w:val="00F9735A"/>
    <w:rsid w:val="00FA379A"/>
    <w:rsid w:val="00FA42F4"/>
    <w:rsid w:val="00FA47D6"/>
    <w:rsid w:val="00FA6502"/>
    <w:rsid w:val="00FA7574"/>
    <w:rsid w:val="00FB0730"/>
    <w:rsid w:val="00FB0BC1"/>
    <w:rsid w:val="00FB14A0"/>
    <w:rsid w:val="00FB45E9"/>
    <w:rsid w:val="00FB4E4A"/>
    <w:rsid w:val="00FB5170"/>
    <w:rsid w:val="00FB6D3A"/>
    <w:rsid w:val="00FB7924"/>
    <w:rsid w:val="00FB7F35"/>
    <w:rsid w:val="00FC11D6"/>
    <w:rsid w:val="00FC48DD"/>
    <w:rsid w:val="00FC569E"/>
    <w:rsid w:val="00FC67E5"/>
    <w:rsid w:val="00FC6BFF"/>
    <w:rsid w:val="00FC7305"/>
    <w:rsid w:val="00FC7B5F"/>
    <w:rsid w:val="00FD04EB"/>
    <w:rsid w:val="00FD1036"/>
    <w:rsid w:val="00FD131D"/>
    <w:rsid w:val="00FD15D8"/>
    <w:rsid w:val="00FD39C4"/>
    <w:rsid w:val="00FD5177"/>
    <w:rsid w:val="00FD5BE8"/>
    <w:rsid w:val="00FE01A3"/>
    <w:rsid w:val="00FE1ECA"/>
    <w:rsid w:val="00FE35E1"/>
    <w:rsid w:val="00FE3AFC"/>
    <w:rsid w:val="00FE47D1"/>
    <w:rsid w:val="00FE6D86"/>
    <w:rsid w:val="00FF0ADC"/>
    <w:rsid w:val="00FF0DA7"/>
    <w:rsid w:val="00FF2DBE"/>
    <w:rsid w:val="00FF3276"/>
    <w:rsid w:val="00FF33B3"/>
    <w:rsid w:val="00FF3C71"/>
    <w:rsid w:val="00FF4397"/>
    <w:rsid w:val="00FF5B26"/>
    <w:rsid w:val="00FF69CB"/>
    <w:rsid w:val="00FF7D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EC952D4"/>
  <w15:docId w15:val="{56BDEB87-AE07-46B1-9762-7BE43601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9153B"/>
    <w:rPr>
      <w:lang w:val="en-US" w:eastAsia="en-US"/>
    </w:rPr>
  </w:style>
  <w:style w:type="paragraph" w:styleId="Heading1">
    <w:name w:val="heading 1"/>
    <w:basedOn w:val="Normal"/>
    <w:next w:val="Normal"/>
    <w:link w:val="Heading1Char"/>
    <w:qFormat/>
    <w:rsid w:val="00D9153B"/>
    <w:pPr>
      <w:keepNext/>
      <w:widowControl w:val="0"/>
      <w:suppressAutoHyphens/>
      <w:outlineLvl w:val="0"/>
    </w:pPr>
    <w:rPr>
      <w:rFonts w:ascii="Courier" w:hAnsi="Courier"/>
      <w:b/>
      <w:spacing w:val="-3"/>
      <w:sz w:val="28"/>
      <w:lang w:val="x-none" w:eastAsia="x-none"/>
    </w:rPr>
  </w:style>
  <w:style w:type="paragraph" w:styleId="Heading2">
    <w:name w:val="heading 2"/>
    <w:basedOn w:val="Normal"/>
    <w:next w:val="Normal"/>
    <w:qFormat/>
    <w:rsid w:val="00D9153B"/>
    <w:pPr>
      <w:keepNext/>
      <w:jc w:val="center"/>
      <w:outlineLvl w:val="1"/>
    </w:pPr>
    <w:rPr>
      <w:rFonts w:ascii="Arial" w:hAnsi="Arial"/>
      <w:b/>
      <w:sz w:val="28"/>
    </w:rPr>
  </w:style>
  <w:style w:type="paragraph" w:styleId="Heading4">
    <w:name w:val="heading 4"/>
    <w:basedOn w:val="Normal"/>
    <w:next w:val="Normal"/>
    <w:qFormat/>
    <w:rsid w:val="00D9153B"/>
    <w:pPr>
      <w:keepNext/>
      <w:outlineLvl w:val="3"/>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9153B"/>
    <w:pPr>
      <w:widowControl w:val="0"/>
      <w:tabs>
        <w:tab w:val="center" w:pos="4320"/>
        <w:tab w:val="right" w:pos="8640"/>
      </w:tabs>
    </w:pPr>
    <w:rPr>
      <w:rFonts w:ascii="Courier" w:hAnsi="Courier"/>
      <w:sz w:val="22"/>
      <w:lang w:val="x-none" w:eastAsia="x-none"/>
    </w:rPr>
  </w:style>
  <w:style w:type="paragraph" w:styleId="FootnoteText">
    <w:name w:val="footnote text"/>
    <w:basedOn w:val="Normal"/>
    <w:link w:val="FootnoteTextChar"/>
    <w:uiPriority w:val="99"/>
    <w:semiHidden/>
    <w:rsid w:val="00D9153B"/>
    <w:pPr>
      <w:widowControl w:val="0"/>
    </w:pPr>
    <w:rPr>
      <w:rFonts w:ascii="Courier" w:hAnsi="Courier"/>
    </w:rPr>
  </w:style>
  <w:style w:type="paragraph" w:styleId="Subtitle">
    <w:name w:val="Subtitle"/>
    <w:basedOn w:val="Normal"/>
    <w:link w:val="SubtitleChar"/>
    <w:qFormat/>
    <w:rsid w:val="00D9153B"/>
    <w:pPr>
      <w:spacing w:after="60"/>
      <w:jc w:val="center"/>
      <w:outlineLvl w:val="1"/>
    </w:pPr>
    <w:rPr>
      <w:rFonts w:ascii="Arial" w:hAnsi="Arial" w:cs="Arial"/>
    </w:rPr>
  </w:style>
  <w:style w:type="character" w:styleId="FootnoteReference">
    <w:name w:val="footnote reference"/>
    <w:semiHidden/>
    <w:rsid w:val="00D9153B"/>
    <w:rPr>
      <w:rFonts w:cs="Times New Roman"/>
      <w:vertAlign w:val="superscript"/>
    </w:rPr>
  </w:style>
  <w:style w:type="paragraph" w:styleId="Footer">
    <w:name w:val="footer"/>
    <w:basedOn w:val="Normal"/>
    <w:link w:val="FooterChar"/>
    <w:uiPriority w:val="99"/>
    <w:rsid w:val="00D9153B"/>
    <w:pPr>
      <w:tabs>
        <w:tab w:val="center" w:pos="4320"/>
        <w:tab w:val="right" w:pos="8640"/>
      </w:tabs>
    </w:pPr>
    <w:rPr>
      <w:lang w:val="x-none" w:eastAsia="x-none"/>
    </w:rPr>
  </w:style>
  <w:style w:type="paragraph" w:customStyle="1" w:styleId="HCh">
    <w:name w:val="_ H _Ch"/>
    <w:basedOn w:val="Normal"/>
    <w:next w:val="Normal"/>
    <w:rsid w:val="00D9153B"/>
    <w:pPr>
      <w:keepNext/>
      <w:keepLines/>
      <w:suppressAutoHyphens/>
      <w:spacing w:line="300" w:lineRule="exact"/>
      <w:outlineLvl w:val="0"/>
    </w:pPr>
    <w:rPr>
      <w:b/>
      <w:spacing w:val="-2"/>
      <w:w w:val="103"/>
      <w:kern w:val="14"/>
      <w:sz w:val="28"/>
      <w:lang w:val="en-GB"/>
    </w:rPr>
  </w:style>
  <w:style w:type="paragraph" w:customStyle="1" w:styleId="SingleTxt">
    <w:name w:val="__Single Txt"/>
    <w:basedOn w:val="Normal"/>
    <w:rsid w:val="00D9153B"/>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exact"/>
      <w:ind w:left="1267" w:right="1267"/>
      <w:jc w:val="both"/>
    </w:pPr>
    <w:rPr>
      <w:spacing w:val="4"/>
      <w:w w:val="103"/>
      <w:kern w:val="14"/>
      <w:lang w:val="en-GB"/>
    </w:rPr>
  </w:style>
  <w:style w:type="paragraph" w:customStyle="1" w:styleId="XLarge">
    <w:name w:val="XLarge"/>
    <w:basedOn w:val="Normal"/>
    <w:rsid w:val="00D9153B"/>
    <w:pPr>
      <w:keepNext/>
      <w:keepLines/>
      <w:tabs>
        <w:tab w:val="right" w:leader="dot" w:pos="360"/>
      </w:tabs>
      <w:suppressAutoHyphens/>
      <w:spacing w:line="390" w:lineRule="exact"/>
      <w:outlineLvl w:val="0"/>
    </w:pPr>
    <w:rPr>
      <w:b/>
      <w:spacing w:val="-4"/>
      <w:w w:val="98"/>
      <w:kern w:val="14"/>
      <w:sz w:val="40"/>
      <w:lang w:val="en-GB"/>
    </w:rPr>
  </w:style>
  <w:style w:type="paragraph" w:styleId="BalloonText">
    <w:name w:val="Balloon Text"/>
    <w:basedOn w:val="Normal"/>
    <w:semiHidden/>
    <w:rsid w:val="005D4084"/>
    <w:rPr>
      <w:rFonts w:ascii="Tahoma" w:hAnsi="Tahoma" w:cs="Tahoma"/>
      <w:sz w:val="16"/>
      <w:szCs w:val="16"/>
    </w:rPr>
  </w:style>
  <w:style w:type="character" w:styleId="Hyperlink">
    <w:name w:val="Hyperlink"/>
    <w:rsid w:val="0079421C"/>
    <w:rPr>
      <w:rFonts w:cs="Times New Roman"/>
      <w:color w:val="336699"/>
      <w:u w:val="none"/>
      <w:effect w:val="none"/>
    </w:rPr>
  </w:style>
  <w:style w:type="paragraph" w:styleId="ListParagraph">
    <w:name w:val="List Paragraph"/>
    <w:aliases w:val="List Paragraph (numbered (a))"/>
    <w:basedOn w:val="Normal"/>
    <w:link w:val="ListParagraphChar"/>
    <w:uiPriority w:val="34"/>
    <w:qFormat/>
    <w:rsid w:val="00896815"/>
    <w:pPr>
      <w:ind w:left="720"/>
    </w:pPr>
  </w:style>
  <w:style w:type="paragraph" w:styleId="DocumentMap">
    <w:name w:val="Document Map"/>
    <w:basedOn w:val="Normal"/>
    <w:link w:val="DocumentMapChar"/>
    <w:semiHidden/>
    <w:rsid w:val="00993912"/>
    <w:rPr>
      <w:rFonts w:ascii="Tahoma" w:hAnsi="Tahoma"/>
      <w:sz w:val="16"/>
      <w:szCs w:val="16"/>
      <w:lang w:val="x-none" w:eastAsia="x-none"/>
    </w:rPr>
  </w:style>
  <w:style w:type="character" w:customStyle="1" w:styleId="DocumentMapChar">
    <w:name w:val="Document Map Char"/>
    <w:link w:val="DocumentMap"/>
    <w:locked/>
    <w:rsid w:val="00993912"/>
    <w:rPr>
      <w:rFonts w:ascii="Tahoma" w:hAnsi="Tahoma" w:cs="Tahoma"/>
      <w:sz w:val="16"/>
      <w:szCs w:val="16"/>
    </w:rPr>
  </w:style>
  <w:style w:type="character" w:styleId="CommentReference">
    <w:name w:val="annotation reference"/>
    <w:semiHidden/>
    <w:rsid w:val="00400E4A"/>
    <w:rPr>
      <w:rFonts w:cs="Times New Roman"/>
      <w:sz w:val="6"/>
      <w:szCs w:val="6"/>
    </w:rPr>
  </w:style>
  <w:style w:type="character" w:customStyle="1" w:styleId="FooterChar">
    <w:name w:val="Footer Char"/>
    <w:link w:val="Footer"/>
    <w:uiPriority w:val="99"/>
    <w:locked/>
    <w:rsid w:val="005841A3"/>
    <w:rPr>
      <w:rFonts w:cs="Times New Roman"/>
    </w:rPr>
  </w:style>
  <w:style w:type="paragraph" w:styleId="CommentText">
    <w:name w:val="annotation text"/>
    <w:basedOn w:val="Normal"/>
    <w:link w:val="CommentTextChar"/>
    <w:rsid w:val="008543F5"/>
  </w:style>
  <w:style w:type="character" w:customStyle="1" w:styleId="CommentTextChar">
    <w:name w:val="Comment Text Char"/>
    <w:basedOn w:val="DefaultParagraphFont"/>
    <w:link w:val="CommentText"/>
    <w:rsid w:val="008543F5"/>
  </w:style>
  <w:style w:type="paragraph" w:styleId="CommentSubject">
    <w:name w:val="annotation subject"/>
    <w:basedOn w:val="CommentText"/>
    <w:next w:val="CommentText"/>
    <w:link w:val="CommentSubjectChar"/>
    <w:rsid w:val="008543F5"/>
    <w:rPr>
      <w:b/>
      <w:bCs/>
      <w:lang w:val="x-none" w:eastAsia="x-none"/>
    </w:rPr>
  </w:style>
  <w:style w:type="character" w:customStyle="1" w:styleId="CommentSubjectChar">
    <w:name w:val="Comment Subject Char"/>
    <w:link w:val="CommentSubject"/>
    <w:rsid w:val="008543F5"/>
    <w:rPr>
      <w:b/>
      <w:bCs/>
    </w:rPr>
  </w:style>
  <w:style w:type="character" w:customStyle="1" w:styleId="Heading1Char">
    <w:name w:val="Heading 1 Char"/>
    <w:link w:val="Heading1"/>
    <w:rsid w:val="001D42D1"/>
    <w:rPr>
      <w:rFonts w:ascii="Courier" w:hAnsi="Courier"/>
      <w:b/>
      <w:spacing w:val="-3"/>
      <w:sz w:val="28"/>
    </w:rPr>
  </w:style>
  <w:style w:type="character" w:customStyle="1" w:styleId="HeaderChar">
    <w:name w:val="Header Char"/>
    <w:link w:val="Header"/>
    <w:uiPriority w:val="99"/>
    <w:rsid w:val="00852876"/>
    <w:rPr>
      <w:rFonts w:ascii="Courier" w:hAnsi="Courier"/>
      <w:sz w:val="22"/>
    </w:rPr>
  </w:style>
  <w:style w:type="character" w:styleId="PageNumber">
    <w:name w:val="page number"/>
    <w:basedOn w:val="DefaultParagraphFont"/>
    <w:semiHidden/>
    <w:rsid w:val="00D6679C"/>
  </w:style>
  <w:style w:type="character" w:customStyle="1" w:styleId="SubtitleChar">
    <w:name w:val="Subtitle Char"/>
    <w:basedOn w:val="DefaultParagraphFont"/>
    <w:link w:val="Subtitle"/>
    <w:rsid w:val="00D6679C"/>
    <w:rPr>
      <w:rFonts w:ascii="Arial" w:hAnsi="Arial" w:cs="Arial"/>
      <w:sz w:val="24"/>
      <w:szCs w:val="24"/>
      <w:lang w:val="en-US" w:eastAsia="en-US"/>
    </w:rPr>
  </w:style>
  <w:style w:type="paragraph" w:styleId="BodyText">
    <w:name w:val="Body Text"/>
    <w:basedOn w:val="Normal"/>
    <w:link w:val="BodyTextChar"/>
    <w:semiHidden/>
    <w:rsid w:val="00D6679C"/>
    <w:rPr>
      <w:b/>
      <w:bCs/>
    </w:rPr>
  </w:style>
  <w:style w:type="character" w:customStyle="1" w:styleId="BodyTextChar">
    <w:name w:val="Body Text Char"/>
    <w:basedOn w:val="DefaultParagraphFont"/>
    <w:link w:val="BodyText"/>
    <w:semiHidden/>
    <w:rsid w:val="00D6679C"/>
    <w:rPr>
      <w:b/>
      <w:bCs/>
      <w:sz w:val="24"/>
      <w:lang w:val="en-US" w:eastAsia="en-US"/>
    </w:rPr>
  </w:style>
  <w:style w:type="paragraph" w:styleId="BodyText2">
    <w:name w:val="Body Text 2"/>
    <w:basedOn w:val="Normal"/>
    <w:link w:val="BodyText2Char"/>
    <w:semiHidden/>
    <w:rsid w:val="00D6679C"/>
  </w:style>
  <w:style w:type="character" w:customStyle="1" w:styleId="BodyText2Char">
    <w:name w:val="Body Text 2 Char"/>
    <w:basedOn w:val="DefaultParagraphFont"/>
    <w:link w:val="BodyText2"/>
    <w:semiHidden/>
    <w:rsid w:val="00D6679C"/>
    <w:rPr>
      <w:sz w:val="24"/>
      <w:lang w:val="en-US" w:eastAsia="en-US"/>
    </w:rPr>
  </w:style>
  <w:style w:type="paragraph" w:styleId="BodyText3">
    <w:name w:val="Body Text 3"/>
    <w:basedOn w:val="Normal"/>
    <w:link w:val="BodyText3Char"/>
    <w:semiHidden/>
    <w:rsid w:val="00D6679C"/>
    <w:pPr>
      <w:tabs>
        <w:tab w:val="left" w:pos="-720"/>
        <w:tab w:val="left" w:pos="0"/>
        <w:tab w:val="left" w:pos="607"/>
        <w:tab w:val="left" w:pos="1180"/>
        <w:tab w:val="left" w:pos="1411"/>
        <w:tab w:val="left" w:pos="2116"/>
        <w:tab w:val="left" w:pos="2822"/>
        <w:tab w:val="left" w:pos="3528"/>
        <w:tab w:val="left" w:pos="4233"/>
        <w:tab w:val="left" w:pos="4939"/>
        <w:tab w:val="left" w:pos="5762"/>
        <w:tab w:val="left" w:pos="6468"/>
        <w:tab w:val="left" w:pos="7173"/>
        <w:tab w:val="left" w:pos="7879"/>
        <w:tab w:val="left" w:pos="8584"/>
        <w:tab w:val="left" w:pos="9290"/>
        <w:tab w:val="left" w:pos="9996"/>
        <w:tab w:val="left" w:pos="10701"/>
        <w:tab w:val="left" w:pos="11407"/>
      </w:tabs>
      <w:suppressAutoHyphens/>
      <w:jc w:val="both"/>
    </w:pPr>
  </w:style>
  <w:style w:type="character" w:customStyle="1" w:styleId="BodyText3Char">
    <w:name w:val="Body Text 3 Char"/>
    <w:basedOn w:val="DefaultParagraphFont"/>
    <w:link w:val="BodyText3"/>
    <w:semiHidden/>
    <w:rsid w:val="00D6679C"/>
    <w:rPr>
      <w:sz w:val="24"/>
      <w:lang w:val="en-US" w:eastAsia="en-US"/>
    </w:rPr>
  </w:style>
  <w:style w:type="character" w:customStyle="1" w:styleId="FootnoteTextChar">
    <w:name w:val="Footnote Text Char"/>
    <w:basedOn w:val="DefaultParagraphFont"/>
    <w:link w:val="FootnoteText"/>
    <w:uiPriority w:val="99"/>
    <w:semiHidden/>
    <w:rsid w:val="00D6679C"/>
    <w:rPr>
      <w:rFonts w:ascii="Courier" w:hAnsi="Courier"/>
      <w:lang w:val="en-US" w:eastAsia="en-US"/>
    </w:rPr>
  </w:style>
  <w:style w:type="character" w:customStyle="1" w:styleId="ListParagraphChar">
    <w:name w:val="List Paragraph Char"/>
    <w:aliases w:val="List Paragraph (numbered (a)) Char"/>
    <w:link w:val="ListParagraph"/>
    <w:uiPriority w:val="34"/>
    <w:locked/>
    <w:rsid w:val="009A4543"/>
    <w:rPr>
      <w:lang w:val="en-US" w:eastAsia="en-US"/>
    </w:rPr>
  </w:style>
  <w:style w:type="paragraph" w:styleId="Revision">
    <w:name w:val="Revision"/>
    <w:hidden/>
    <w:uiPriority w:val="99"/>
    <w:semiHidden/>
    <w:rsid w:val="0050228C"/>
    <w:rPr>
      <w:lang w:val="en-US" w:eastAsia="en-US"/>
    </w:rPr>
  </w:style>
  <w:style w:type="character" w:styleId="FollowedHyperlink">
    <w:name w:val="FollowedHyperlink"/>
    <w:basedOn w:val="DefaultParagraphFont"/>
    <w:semiHidden/>
    <w:unhideWhenUsed/>
    <w:rsid w:val="00704095"/>
    <w:rPr>
      <w:color w:val="800080" w:themeColor="followedHyperlink"/>
      <w:u w:val="single"/>
    </w:rPr>
  </w:style>
  <w:style w:type="paragraph" w:styleId="NormalWeb">
    <w:name w:val="Normal (Web)"/>
    <w:basedOn w:val="Normal"/>
    <w:uiPriority w:val="99"/>
    <w:semiHidden/>
    <w:unhideWhenUsed/>
    <w:rsid w:val="00CC1C21"/>
    <w:pPr>
      <w:spacing w:before="100" w:beforeAutospacing="1" w:after="100" w:afterAutospacing="1"/>
    </w:pPr>
    <w:rPr>
      <w:rFonts w:ascii="Times" w:hAnsi="Times"/>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sChild>
        <w:div w:id="6">
          <w:marLeft w:val="547"/>
          <w:marRight w:val="0"/>
          <w:marTop w:val="115"/>
          <w:marBottom w:val="0"/>
          <w:divBdr>
            <w:top w:val="none" w:sz="0" w:space="0" w:color="auto"/>
            <w:left w:val="none" w:sz="0" w:space="0" w:color="auto"/>
            <w:bottom w:val="none" w:sz="0" w:space="0" w:color="auto"/>
            <w:right w:val="none" w:sz="0" w:space="0" w:color="auto"/>
          </w:divBdr>
        </w:div>
        <w:div w:id="12">
          <w:marLeft w:val="547"/>
          <w:marRight w:val="0"/>
          <w:marTop w:val="115"/>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sChild>
        <w:div w:id="14">
          <w:marLeft w:val="547"/>
          <w:marRight w:val="0"/>
          <w:marTop w:val="115"/>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2">
          <w:marLeft w:val="547"/>
          <w:marRight w:val="0"/>
          <w:marTop w:val="115"/>
          <w:marBottom w:val="0"/>
          <w:divBdr>
            <w:top w:val="none" w:sz="0" w:space="0" w:color="auto"/>
            <w:left w:val="none" w:sz="0" w:space="0" w:color="auto"/>
            <w:bottom w:val="none" w:sz="0" w:space="0" w:color="auto"/>
            <w:right w:val="none" w:sz="0" w:space="0" w:color="auto"/>
          </w:divBdr>
        </w:div>
        <w:div w:id="4">
          <w:marLeft w:val="547"/>
          <w:marRight w:val="0"/>
          <w:marTop w:val="115"/>
          <w:marBottom w:val="0"/>
          <w:divBdr>
            <w:top w:val="none" w:sz="0" w:space="0" w:color="auto"/>
            <w:left w:val="none" w:sz="0" w:space="0" w:color="auto"/>
            <w:bottom w:val="none" w:sz="0" w:space="0" w:color="auto"/>
            <w:right w:val="none" w:sz="0" w:space="0" w:color="auto"/>
          </w:divBdr>
        </w:div>
        <w:div w:id="9">
          <w:marLeft w:val="547"/>
          <w:marRight w:val="0"/>
          <w:marTop w:val="115"/>
          <w:marBottom w:val="0"/>
          <w:divBdr>
            <w:top w:val="none" w:sz="0" w:space="0" w:color="auto"/>
            <w:left w:val="none" w:sz="0" w:space="0" w:color="auto"/>
            <w:bottom w:val="none" w:sz="0" w:space="0" w:color="auto"/>
            <w:right w:val="none" w:sz="0" w:space="0" w:color="auto"/>
          </w:divBdr>
        </w:div>
        <w:div w:id="13">
          <w:marLeft w:val="547"/>
          <w:marRight w:val="0"/>
          <w:marTop w:val="115"/>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74803969">
      <w:bodyDiv w:val="1"/>
      <w:marLeft w:val="0"/>
      <w:marRight w:val="0"/>
      <w:marTop w:val="0"/>
      <w:marBottom w:val="0"/>
      <w:divBdr>
        <w:top w:val="none" w:sz="0" w:space="0" w:color="auto"/>
        <w:left w:val="none" w:sz="0" w:space="0" w:color="auto"/>
        <w:bottom w:val="none" w:sz="0" w:space="0" w:color="auto"/>
        <w:right w:val="none" w:sz="0" w:space="0" w:color="auto"/>
      </w:divBdr>
    </w:div>
    <w:div w:id="239604339">
      <w:bodyDiv w:val="1"/>
      <w:marLeft w:val="0"/>
      <w:marRight w:val="0"/>
      <w:marTop w:val="0"/>
      <w:marBottom w:val="0"/>
      <w:divBdr>
        <w:top w:val="none" w:sz="0" w:space="0" w:color="auto"/>
        <w:left w:val="none" w:sz="0" w:space="0" w:color="auto"/>
        <w:bottom w:val="none" w:sz="0" w:space="0" w:color="auto"/>
        <w:right w:val="none" w:sz="0" w:space="0" w:color="auto"/>
      </w:divBdr>
      <w:divsChild>
        <w:div w:id="1071536031">
          <w:marLeft w:val="0"/>
          <w:marRight w:val="0"/>
          <w:marTop w:val="0"/>
          <w:marBottom w:val="0"/>
          <w:divBdr>
            <w:top w:val="none" w:sz="0" w:space="0" w:color="auto"/>
            <w:left w:val="none" w:sz="0" w:space="0" w:color="auto"/>
            <w:bottom w:val="none" w:sz="0" w:space="0" w:color="auto"/>
            <w:right w:val="none" w:sz="0" w:space="0" w:color="auto"/>
          </w:divBdr>
          <w:divsChild>
            <w:div w:id="765543814">
              <w:marLeft w:val="0"/>
              <w:marRight w:val="0"/>
              <w:marTop w:val="0"/>
              <w:marBottom w:val="0"/>
              <w:divBdr>
                <w:top w:val="none" w:sz="0" w:space="0" w:color="auto"/>
                <w:left w:val="none" w:sz="0" w:space="0" w:color="auto"/>
                <w:bottom w:val="none" w:sz="0" w:space="0" w:color="auto"/>
                <w:right w:val="none" w:sz="0" w:space="0" w:color="auto"/>
              </w:divBdr>
              <w:divsChild>
                <w:div w:id="14004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5500">
      <w:bodyDiv w:val="1"/>
      <w:marLeft w:val="0"/>
      <w:marRight w:val="0"/>
      <w:marTop w:val="0"/>
      <w:marBottom w:val="0"/>
      <w:divBdr>
        <w:top w:val="none" w:sz="0" w:space="0" w:color="auto"/>
        <w:left w:val="none" w:sz="0" w:space="0" w:color="auto"/>
        <w:bottom w:val="none" w:sz="0" w:space="0" w:color="auto"/>
        <w:right w:val="none" w:sz="0" w:space="0" w:color="auto"/>
      </w:divBdr>
      <w:divsChild>
        <w:div w:id="443574340">
          <w:marLeft w:val="0"/>
          <w:marRight w:val="0"/>
          <w:marTop w:val="0"/>
          <w:marBottom w:val="0"/>
          <w:divBdr>
            <w:top w:val="none" w:sz="0" w:space="0" w:color="auto"/>
            <w:left w:val="none" w:sz="0" w:space="0" w:color="auto"/>
            <w:bottom w:val="none" w:sz="0" w:space="0" w:color="auto"/>
            <w:right w:val="none" w:sz="0" w:space="0" w:color="auto"/>
          </w:divBdr>
          <w:divsChild>
            <w:div w:id="1643120741">
              <w:marLeft w:val="0"/>
              <w:marRight w:val="0"/>
              <w:marTop w:val="0"/>
              <w:marBottom w:val="0"/>
              <w:divBdr>
                <w:top w:val="none" w:sz="0" w:space="0" w:color="auto"/>
                <w:left w:val="none" w:sz="0" w:space="0" w:color="auto"/>
                <w:bottom w:val="none" w:sz="0" w:space="0" w:color="auto"/>
                <w:right w:val="none" w:sz="0" w:space="0" w:color="auto"/>
              </w:divBdr>
              <w:divsChild>
                <w:div w:id="21214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39790">
      <w:bodyDiv w:val="1"/>
      <w:marLeft w:val="0"/>
      <w:marRight w:val="0"/>
      <w:marTop w:val="0"/>
      <w:marBottom w:val="0"/>
      <w:divBdr>
        <w:top w:val="none" w:sz="0" w:space="0" w:color="auto"/>
        <w:left w:val="none" w:sz="0" w:space="0" w:color="auto"/>
        <w:bottom w:val="none" w:sz="0" w:space="0" w:color="auto"/>
        <w:right w:val="none" w:sz="0" w:space="0" w:color="auto"/>
      </w:divBdr>
      <w:divsChild>
        <w:div w:id="204607213">
          <w:marLeft w:val="0"/>
          <w:marRight w:val="0"/>
          <w:marTop w:val="0"/>
          <w:marBottom w:val="0"/>
          <w:divBdr>
            <w:top w:val="none" w:sz="0" w:space="0" w:color="auto"/>
            <w:left w:val="none" w:sz="0" w:space="0" w:color="auto"/>
            <w:bottom w:val="none" w:sz="0" w:space="0" w:color="auto"/>
            <w:right w:val="none" w:sz="0" w:space="0" w:color="auto"/>
          </w:divBdr>
          <w:divsChild>
            <w:div w:id="1723138539">
              <w:marLeft w:val="0"/>
              <w:marRight w:val="0"/>
              <w:marTop w:val="0"/>
              <w:marBottom w:val="0"/>
              <w:divBdr>
                <w:top w:val="none" w:sz="0" w:space="0" w:color="auto"/>
                <w:left w:val="none" w:sz="0" w:space="0" w:color="auto"/>
                <w:bottom w:val="none" w:sz="0" w:space="0" w:color="auto"/>
                <w:right w:val="none" w:sz="0" w:space="0" w:color="auto"/>
              </w:divBdr>
              <w:divsChild>
                <w:div w:id="14712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50825">
      <w:bodyDiv w:val="1"/>
      <w:marLeft w:val="0"/>
      <w:marRight w:val="0"/>
      <w:marTop w:val="0"/>
      <w:marBottom w:val="0"/>
      <w:divBdr>
        <w:top w:val="none" w:sz="0" w:space="0" w:color="auto"/>
        <w:left w:val="none" w:sz="0" w:space="0" w:color="auto"/>
        <w:bottom w:val="none" w:sz="0" w:space="0" w:color="auto"/>
        <w:right w:val="none" w:sz="0" w:space="0" w:color="auto"/>
      </w:divBdr>
      <w:divsChild>
        <w:div w:id="1538928858">
          <w:marLeft w:val="0"/>
          <w:marRight w:val="0"/>
          <w:marTop w:val="0"/>
          <w:marBottom w:val="0"/>
          <w:divBdr>
            <w:top w:val="none" w:sz="0" w:space="0" w:color="auto"/>
            <w:left w:val="none" w:sz="0" w:space="0" w:color="auto"/>
            <w:bottom w:val="none" w:sz="0" w:space="0" w:color="auto"/>
            <w:right w:val="none" w:sz="0" w:space="0" w:color="auto"/>
          </w:divBdr>
          <w:divsChild>
            <w:div w:id="928347523">
              <w:marLeft w:val="0"/>
              <w:marRight w:val="0"/>
              <w:marTop w:val="0"/>
              <w:marBottom w:val="0"/>
              <w:divBdr>
                <w:top w:val="none" w:sz="0" w:space="0" w:color="auto"/>
                <w:left w:val="none" w:sz="0" w:space="0" w:color="auto"/>
                <w:bottom w:val="none" w:sz="0" w:space="0" w:color="auto"/>
                <w:right w:val="none" w:sz="0" w:space="0" w:color="auto"/>
              </w:divBdr>
              <w:divsChild>
                <w:div w:id="8082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63284">
      <w:bodyDiv w:val="1"/>
      <w:marLeft w:val="0"/>
      <w:marRight w:val="0"/>
      <w:marTop w:val="0"/>
      <w:marBottom w:val="0"/>
      <w:divBdr>
        <w:top w:val="none" w:sz="0" w:space="0" w:color="auto"/>
        <w:left w:val="none" w:sz="0" w:space="0" w:color="auto"/>
        <w:bottom w:val="none" w:sz="0" w:space="0" w:color="auto"/>
        <w:right w:val="none" w:sz="0" w:space="0" w:color="auto"/>
      </w:divBdr>
    </w:div>
    <w:div w:id="1229337883">
      <w:bodyDiv w:val="1"/>
      <w:marLeft w:val="0"/>
      <w:marRight w:val="0"/>
      <w:marTop w:val="0"/>
      <w:marBottom w:val="0"/>
      <w:divBdr>
        <w:top w:val="none" w:sz="0" w:space="0" w:color="auto"/>
        <w:left w:val="none" w:sz="0" w:space="0" w:color="auto"/>
        <w:bottom w:val="none" w:sz="0" w:space="0" w:color="auto"/>
        <w:right w:val="none" w:sz="0" w:space="0" w:color="auto"/>
      </w:divBdr>
    </w:div>
    <w:div w:id="1246454853">
      <w:bodyDiv w:val="1"/>
      <w:marLeft w:val="0"/>
      <w:marRight w:val="0"/>
      <w:marTop w:val="0"/>
      <w:marBottom w:val="0"/>
      <w:divBdr>
        <w:top w:val="none" w:sz="0" w:space="0" w:color="auto"/>
        <w:left w:val="none" w:sz="0" w:space="0" w:color="auto"/>
        <w:bottom w:val="none" w:sz="0" w:space="0" w:color="auto"/>
        <w:right w:val="none" w:sz="0" w:space="0" w:color="auto"/>
      </w:divBdr>
      <w:divsChild>
        <w:div w:id="1689597481">
          <w:marLeft w:val="0"/>
          <w:marRight w:val="0"/>
          <w:marTop w:val="0"/>
          <w:marBottom w:val="0"/>
          <w:divBdr>
            <w:top w:val="none" w:sz="0" w:space="0" w:color="auto"/>
            <w:left w:val="none" w:sz="0" w:space="0" w:color="auto"/>
            <w:bottom w:val="none" w:sz="0" w:space="0" w:color="auto"/>
            <w:right w:val="none" w:sz="0" w:space="0" w:color="auto"/>
          </w:divBdr>
          <w:divsChild>
            <w:div w:id="334501919">
              <w:marLeft w:val="0"/>
              <w:marRight w:val="0"/>
              <w:marTop w:val="0"/>
              <w:marBottom w:val="0"/>
              <w:divBdr>
                <w:top w:val="none" w:sz="0" w:space="0" w:color="auto"/>
                <w:left w:val="none" w:sz="0" w:space="0" w:color="auto"/>
                <w:bottom w:val="none" w:sz="0" w:space="0" w:color="auto"/>
                <w:right w:val="none" w:sz="0" w:space="0" w:color="auto"/>
              </w:divBdr>
              <w:divsChild>
                <w:div w:id="11412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1144">
      <w:bodyDiv w:val="1"/>
      <w:marLeft w:val="0"/>
      <w:marRight w:val="0"/>
      <w:marTop w:val="0"/>
      <w:marBottom w:val="0"/>
      <w:divBdr>
        <w:top w:val="none" w:sz="0" w:space="0" w:color="auto"/>
        <w:left w:val="none" w:sz="0" w:space="0" w:color="auto"/>
        <w:bottom w:val="none" w:sz="0" w:space="0" w:color="auto"/>
        <w:right w:val="none" w:sz="0" w:space="0" w:color="auto"/>
      </w:divBdr>
      <w:divsChild>
        <w:div w:id="338507599">
          <w:marLeft w:val="0"/>
          <w:marRight w:val="0"/>
          <w:marTop w:val="0"/>
          <w:marBottom w:val="0"/>
          <w:divBdr>
            <w:top w:val="none" w:sz="0" w:space="0" w:color="auto"/>
            <w:left w:val="none" w:sz="0" w:space="0" w:color="auto"/>
            <w:bottom w:val="none" w:sz="0" w:space="0" w:color="auto"/>
            <w:right w:val="none" w:sz="0" w:space="0" w:color="auto"/>
          </w:divBdr>
          <w:divsChild>
            <w:div w:id="82918633">
              <w:marLeft w:val="0"/>
              <w:marRight w:val="0"/>
              <w:marTop w:val="0"/>
              <w:marBottom w:val="0"/>
              <w:divBdr>
                <w:top w:val="none" w:sz="0" w:space="0" w:color="auto"/>
                <w:left w:val="none" w:sz="0" w:space="0" w:color="auto"/>
                <w:bottom w:val="none" w:sz="0" w:space="0" w:color="auto"/>
                <w:right w:val="none" w:sz="0" w:space="0" w:color="auto"/>
              </w:divBdr>
              <w:divsChild>
                <w:div w:id="1975942433">
                  <w:marLeft w:val="0"/>
                  <w:marRight w:val="0"/>
                  <w:marTop w:val="0"/>
                  <w:marBottom w:val="0"/>
                  <w:divBdr>
                    <w:top w:val="none" w:sz="0" w:space="0" w:color="auto"/>
                    <w:left w:val="none" w:sz="0" w:space="0" w:color="auto"/>
                    <w:bottom w:val="none" w:sz="0" w:space="0" w:color="auto"/>
                    <w:right w:val="none" w:sz="0" w:space="0" w:color="auto"/>
                  </w:divBdr>
                </w:div>
              </w:divsChild>
            </w:div>
            <w:div w:id="435637941">
              <w:marLeft w:val="0"/>
              <w:marRight w:val="0"/>
              <w:marTop w:val="0"/>
              <w:marBottom w:val="0"/>
              <w:divBdr>
                <w:top w:val="none" w:sz="0" w:space="0" w:color="auto"/>
                <w:left w:val="none" w:sz="0" w:space="0" w:color="auto"/>
                <w:bottom w:val="none" w:sz="0" w:space="0" w:color="auto"/>
                <w:right w:val="none" w:sz="0" w:space="0" w:color="auto"/>
              </w:divBdr>
              <w:divsChild>
                <w:div w:id="118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024">
          <w:marLeft w:val="0"/>
          <w:marRight w:val="0"/>
          <w:marTop w:val="0"/>
          <w:marBottom w:val="0"/>
          <w:divBdr>
            <w:top w:val="none" w:sz="0" w:space="0" w:color="auto"/>
            <w:left w:val="none" w:sz="0" w:space="0" w:color="auto"/>
            <w:bottom w:val="none" w:sz="0" w:space="0" w:color="auto"/>
            <w:right w:val="none" w:sz="0" w:space="0" w:color="auto"/>
          </w:divBdr>
          <w:divsChild>
            <w:div w:id="1672491479">
              <w:marLeft w:val="0"/>
              <w:marRight w:val="0"/>
              <w:marTop w:val="0"/>
              <w:marBottom w:val="0"/>
              <w:divBdr>
                <w:top w:val="none" w:sz="0" w:space="0" w:color="auto"/>
                <w:left w:val="none" w:sz="0" w:space="0" w:color="auto"/>
                <w:bottom w:val="none" w:sz="0" w:space="0" w:color="auto"/>
                <w:right w:val="none" w:sz="0" w:space="0" w:color="auto"/>
              </w:divBdr>
              <w:divsChild>
                <w:div w:id="1849055588">
                  <w:marLeft w:val="0"/>
                  <w:marRight w:val="0"/>
                  <w:marTop w:val="0"/>
                  <w:marBottom w:val="0"/>
                  <w:divBdr>
                    <w:top w:val="none" w:sz="0" w:space="0" w:color="auto"/>
                    <w:left w:val="none" w:sz="0" w:space="0" w:color="auto"/>
                    <w:bottom w:val="none" w:sz="0" w:space="0" w:color="auto"/>
                    <w:right w:val="none" w:sz="0" w:space="0" w:color="auto"/>
                  </w:divBdr>
                </w:div>
              </w:divsChild>
            </w:div>
            <w:div w:id="918369956">
              <w:marLeft w:val="0"/>
              <w:marRight w:val="0"/>
              <w:marTop w:val="0"/>
              <w:marBottom w:val="0"/>
              <w:divBdr>
                <w:top w:val="none" w:sz="0" w:space="0" w:color="auto"/>
                <w:left w:val="none" w:sz="0" w:space="0" w:color="auto"/>
                <w:bottom w:val="none" w:sz="0" w:space="0" w:color="auto"/>
                <w:right w:val="none" w:sz="0" w:space="0" w:color="auto"/>
              </w:divBdr>
              <w:divsChild>
                <w:div w:id="269046145">
                  <w:marLeft w:val="0"/>
                  <w:marRight w:val="0"/>
                  <w:marTop w:val="0"/>
                  <w:marBottom w:val="0"/>
                  <w:divBdr>
                    <w:top w:val="none" w:sz="0" w:space="0" w:color="auto"/>
                    <w:left w:val="none" w:sz="0" w:space="0" w:color="auto"/>
                    <w:bottom w:val="none" w:sz="0" w:space="0" w:color="auto"/>
                    <w:right w:val="none" w:sz="0" w:space="0" w:color="auto"/>
                  </w:divBdr>
                </w:div>
                <w:div w:id="1849906150">
                  <w:marLeft w:val="0"/>
                  <w:marRight w:val="0"/>
                  <w:marTop w:val="0"/>
                  <w:marBottom w:val="0"/>
                  <w:divBdr>
                    <w:top w:val="none" w:sz="0" w:space="0" w:color="auto"/>
                    <w:left w:val="none" w:sz="0" w:space="0" w:color="auto"/>
                    <w:bottom w:val="none" w:sz="0" w:space="0" w:color="auto"/>
                    <w:right w:val="none" w:sz="0" w:space="0" w:color="auto"/>
                  </w:divBdr>
                </w:div>
              </w:divsChild>
            </w:div>
            <w:div w:id="121657310">
              <w:marLeft w:val="0"/>
              <w:marRight w:val="0"/>
              <w:marTop w:val="0"/>
              <w:marBottom w:val="0"/>
              <w:divBdr>
                <w:top w:val="none" w:sz="0" w:space="0" w:color="auto"/>
                <w:left w:val="none" w:sz="0" w:space="0" w:color="auto"/>
                <w:bottom w:val="none" w:sz="0" w:space="0" w:color="auto"/>
                <w:right w:val="none" w:sz="0" w:space="0" w:color="auto"/>
              </w:divBdr>
              <w:divsChild>
                <w:div w:id="1325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3794">
      <w:bodyDiv w:val="1"/>
      <w:marLeft w:val="0"/>
      <w:marRight w:val="0"/>
      <w:marTop w:val="0"/>
      <w:marBottom w:val="0"/>
      <w:divBdr>
        <w:top w:val="none" w:sz="0" w:space="0" w:color="auto"/>
        <w:left w:val="none" w:sz="0" w:space="0" w:color="auto"/>
        <w:bottom w:val="none" w:sz="0" w:space="0" w:color="auto"/>
        <w:right w:val="none" w:sz="0" w:space="0" w:color="auto"/>
      </w:divBdr>
      <w:divsChild>
        <w:div w:id="1764261769">
          <w:marLeft w:val="0"/>
          <w:marRight w:val="0"/>
          <w:marTop w:val="0"/>
          <w:marBottom w:val="0"/>
          <w:divBdr>
            <w:top w:val="none" w:sz="0" w:space="0" w:color="auto"/>
            <w:left w:val="none" w:sz="0" w:space="0" w:color="auto"/>
            <w:bottom w:val="none" w:sz="0" w:space="0" w:color="auto"/>
            <w:right w:val="none" w:sz="0" w:space="0" w:color="auto"/>
          </w:divBdr>
          <w:divsChild>
            <w:div w:id="298846818">
              <w:marLeft w:val="0"/>
              <w:marRight w:val="0"/>
              <w:marTop w:val="0"/>
              <w:marBottom w:val="0"/>
              <w:divBdr>
                <w:top w:val="none" w:sz="0" w:space="0" w:color="auto"/>
                <w:left w:val="none" w:sz="0" w:space="0" w:color="auto"/>
                <w:bottom w:val="none" w:sz="0" w:space="0" w:color="auto"/>
                <w:right w:val="none" w:sz="0" w:space="0" w:color="auto"/>
              </w:divBdr>
              <w:divsChild>
                <w:div w:id="8592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0678">
      <w:bodyDiv w:val="1"/>
      <w:marLeft w:val="0"/>
      <w:marRight w:val="0"/>
      <w:marTop w:val="0"/>
      <w:marBottom w:val="0"/>
      <w:divBdr>
        <w:top w:val="none" w:sz="0" w:space="0" w:color="auto"/>
        <w:left w:val="none" w:sz="0" w:space="0" w:color="auto"/>
        <w:bottom w:val="none" w:sz="0" w:space="0" w:color="auto"/>
        <w:right w:val="none" w:sz="0" w:space="0" w:color="auto"/>
      </w:divBdr>
      <w:divsChild>
        <w:div w:id="570654128">
          <w:marLeft w:val="0"/>
          <w:marRight w:val="0"/>
          <w:marTop w:val="0"/>
          <w:marBottom w:val="0"/>
          <w:divBdr>
            <w:top w:val="none" w:sz="0" w:space="0" w:color="auto"/>
            <w:left w:val="none" w:sz="0" w:space="0" w:color="auto"/>
            <w:bottom w:val="none" w:sz="0" w:space="0" w:color="auto"/>
            <w:right w:val="none" w:sz="0" w:space="0" w:color="auto"/>
          </w:divBdr>
          <w:divsChild>
            <w:div w:id="393359704">
              <w:marLeft w:val="0"/>
              <w:marRight w:val="0"/>
              <w:marTop w:val="0"/>
              <w:marBottom w:val="0"/>
              <w:divBdr>
                <w:top w:val="none" w:sz="0" w:space="0" w:color="auto"/>
                <w:left w:val="none" w:sz="0" w:space="0" w:color="auto"/>
                <w:bottom w:val="none" w:sz="0" w:space="0" w:color="auto"/>
                <w:right w:val="none" w:sz="0" w:space="0" w:color="auto"/>
              </w:divBdr>
              <w:divsChild>
                <w:div w:id="8826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34757">
      <w:bodyDiv w:val="1"/>
      <w:marLeft w:val="0"/>
      <w:marRight w:val="0"/>
      <w:marTop w:val="0"/>
      <w:marBottom w:val="0"/>
      <w:divBdr>
        <w:top w:val="none" w:sz="0" w:space="0" w:color="auto"/>
        <w:left w:val="none" w:sz="0" w:space="0" w:color="auto"/>
        <w:bottom w:val="none" w:sz="0" w:space="0" w:color="auto"/>
        <w:right w:val="none" w:sz="0" w:space="0" w:color="auto"/>
      </w:divBdr>
      <w:divsChild>
        <w:div w:id="872614131">
          <w:marLeft w:val="0"/>
          <w:marRight w:val="0"/>
          <w:marTop w:val="0"/>
          <w:marBottom w:val="0"/>
          <w:divBdr>
            <w:top w:val="none" w:sz="0" w:space="0" w:color="auto"/>
            <w:left w:val="none" w:sz="0" w:space="0" w:color="auto"/>
            <w:bottom w:val="none" w:sz="0" w:space="0" w:color="auto"/>
            <w:right w:val="none" w:sz="0" w:space="0" w:color="auto"/>
          </w:divBdr>
          <w:divsChild>
            <w:div w:id="213199860">
              <w:marLeft w:val="0"/>
              <w:marRight w:val="0"/>
              <w:marTop w:val="0"/>
              <w:marBottom w:val="0"/>
              <w:divBdr>
                <w:top w:val="none" w:sz="0" w:space="0" w:color="auto"/>
                <w:left w:val="none" w:sz="0" w:space="0" w:color="auto"/>
                <w:bottom w:val="none" w:sz="0" w:space="0" w:color="auto"/>
                <w:right w:val="none" w:sz="0" w:space="0" w:color="auto"/>
              </w:divBdr>
              <w:divsChild>
                <w:div w:id="6045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un.org/en/peacekeeping/missions/minusca/"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dlc_DocId xmlns="05e84800-ff9a-43bb-bb7e-6161dfe90000">KKKATZMDSDUY-96-278</_dlc_DocId>
    <_dlc_DocIdUrl xmlns="05e84800-ff9a-43bb-bb7e-6161dfe90000">
      <Url>https://intranet.undp.org/unit/bpps/DI/CPDs/_layouts/15/DocIdRedir.aspx?ID=KKKATZMDSDUY-96-278</Url>
      <Description>KKKATZMDSDUY-96-278</Description>
    </_dlc_DocIdUrl>
    <Years xmlns="2d5f716b-b52a-4ee0-a811-6b2cc631bd0b">2018-2022</Yea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6B071905AED9CB45BA4149E3D72A32E2" ma:contentTypeVersion="1" ma:contentTypeDescription="Create a new document." ma:contentTypeScope="" ma:versionID="f9a99f5d4d551b70a107d01b16d9f4da">
  <xsd:schema xmlns:xsd="http://www.w3.org/2001/XMLSchema" xmlns:xs="http://www.w3.org/2001/XMLSchema" xmlns:p="http://schemas.microsoft.com/office/2006/metadata/properties" xmlns:ns2="2d5f716b-b52a-4ee0-a811-6b2cc631bd0b" xmlns:ns3="05e84800-ff9a-43bb-bb7e-6161dfe90000" targetNamespace="http://schemas.microsoft.com/office/2006/metadata/properties" ma:root="true" ma:fieldsID="ec99c671dc2aa336c1ae248f85e86fd8" ns2:_="" ns3:_="">
    <xsd:import namespace="2d5f716b-b52a-4ee0-a811-6b2cc631bd0b"/>
    <xsd:import namespace="05e84800-ff9a-43bb-bb7e-6161dfe90000"/>
    <xsd:element name="properties">
      <xsd:complexType>
        <xsd:sequence>
          <xsd:element name="documentManagement">
            <xsd:complexType>
              <xsd:all>
                <xsd:element ref="ns2:Year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f716b-b52a-4ee0-a811-6b2cc631bd0b" elementFormDefault="qualified">
    <xsd:import namespace="http://schemas.microsoft.com/office/2006/documentManagement/types"/>
    <xsd:import namespace="http://schemas.microsoft.com/office/infopath/2007/PartnerControls"/>
    <xsd:element name="Years" ma:index="8" nillable="true" ma:displayName="Years" ma:internalName="Yea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e84800-ff9a-43bb-bb7e-6161dfe90000"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untry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22207D-DF74-445C-A760-2F7F20D9E7D2}"/>
</file>

<file path=customXml/itemProps2.xml><?xml version="1.0" encoding="utf-8"?>
<ds:datastoreItem xmlns:ds="http://schemas.openxmlformats.org/officeDocument/2006/customXml" ds:itemID="{A163C48D-7F62-4D2D-8219-0D81AFFED2D0}"/>
</file>

<file path=customXml/itemProps3.xml><?xml version="1.0" encoding="utf-8"?>
<ds:datastoreItem xmlns:ds="http://schemas.openxmlformats.org/officeDocument/2006/customXml" ds:itemID="{3D1B8F7B-BA39-44ED-8DCD-42BF9FAEB5EA}"/>
</file>

<file path=customXml/itemProps4.xml><?xml version="1.0" encoding="utf-8"?>
<ds:datastoreItem xmlns:ds="http://schemas.openxmlformats.org/officeDocument/2006/customXml" ds:itemID="{DCDD8A90-5E6F-459A-BA25-1A70864B9015}"/>
</file>

<file path=customXml/itemProps5.xml><?xml version="1.0" encoding="utf-8"?>
<ds:datastoreItem xmlns:ds="http://schemas.openxmlformats.org/officeDocument/2006/customXml" ds:itemID="{F625E38B-CD2A-4853-8C1E-BE38E5C2A2BC}"/>
</file>

<file path=docProps/app.xml><?xml version="1.0" encoding="utf-8"?>
<Properties xmlns="http://schemas.openxmlformats.org/officeDocument/2006/extended-properties" xmlns:vt="http://schemas.openxmlformats.org/officeDocument/2006/docPropsVTypes">
  <Template>Normal</Template>
  <TotalTime>0</TotalTime>
  <Pages>12</Pages>
  <Words>5967</Words>
  <Characters>34018</Characters>
  <Application>Microsoft Office Word</Application>
  <DocSecurity>0</DocSecurity>
  <Lines>283</Lines>
  <Paragraphs>79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Second/First/Annual session of (year)</vt:lpstr>
      <vt:lpstr>Second/First/Annual session of (year)</vt:lpstr>
    </vt:vector>
  </TitlesOfParts>
  <Company>Microsoft</Company>
  <LinksUpToDate>false</LinksUpToDate>
  <CharactersWithSpaces>39906</CharactersWithSpaces>
  <SharedDoc>false</SharedDoc>
  <HLinks>
    <vt:vector size="12" baseType="variant">
      <vt:variant>
        <vt:i4>18</vt:i4>
      </vt:variant>
      <vt:variant>
        <vt:i4>3</vt:i4>
      </vt:variant>
      <vt:variant>
        <vt:i4>0</vt:i4>
      </vt:variant>
      <vt:variant>
        <vt:i4>5</vt:i4>
      </vt:variant>
      <vt:variant>
        <vt:lpwstr>http://www.un.org/sc/committees/1267/aq_sanctions_list.shtml</vt:lpwstr>
      </vt:variant>
      <vt:variant>
        <vt:lpwstr/>
      </vt:variant>
      <vt:variant>
        <vt:i4>18</vt:i4>
      </vt:variant>
      <vt:variant>
        <vt:i4>0</vt:i4>
      </vt:variant>
      <vt:variant>
        <vt:i4>0</vt:i4>
      </vt:variant>
      <vt:variant>
        <vt:i4>5</vt:i4>
      </vt:variant>
      <vt:variant>
        <vt:lpwstr>http://www.un.org/sc/committees/1267/aq_sanctions_list.shtml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African Republic</dc:title>
  <dc:subject/>
  <dc:creator>jessica.murray@undp.org</dc:creator>
  <cp:keywords/>
  <dc:description/>
  <cp:lastModifiedBy>UNDP/DIG</cp:lastModifiedBy>
  <cp:revision>2</cp:revision>
  <cp:lastPrinted>2017-04-01T16:16:00Z</cp:lastPrinted>
  <dcterms:created xsi:type="dcterms:W3CDTF">2017-08-03T14:51:00Z</dcterms:created>
  <dcterms:modified xsi:type="dcterms:W3CDTF">2017-08-03T14:51:00Z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0x0101006B071905AED9CB45BA4149E3D72A32E2</vt:lpwstr>
  </property>
  <property fmtid="{D5CDD505-2E9C-101B-9397-08002B2CF9AE}" pid="3" name="_dlc_DocIdItemGuid">
    <vt:lpwstr>62e2c9c3-f4f3-4a4c-ad05-e720a3209658</vt:lpwstr>
  </property>
</Properties>
</file>