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5D7605" w14:textId="77777777" w:rsidR="009B0665" w:rsidRPr="009B0665" w:rsidRDefault="009B0665" w:rsidP="0063786F">
      <w:pPr>
        <w:tabs>
          <w:tab w:val="left" w:pos="1620"/>
          <w:tab w:val="left" w:pos="8640"/>
          <w:tab w:val="left" w:pos="8820"/>
          <w:tab w:val="left" w:pos="9180"/>
        </w:tabs>
        <w:rPr>
          <w:b/>
          <w:bCs/>
          <w:color w:val="000000"/>
          <w:lang w:val="en-GB" w:eastAsia="fr-FR"/>
        </w:rPr>
      </w:pPr>
      <w:r w:rsidRPr="009B0665">
        <w:rPr>
          <w:b/>
          <w:bCs/>
          <w:color w:val="000000"/>
          <w:lang w:val="en-GB" w:eastAsia="fr-FR"/>
        </w:rPr>
        <w:t>Second regular session 2017</w:t>
      </w:r>
    </w:p>
    <w:p w14:paraId="4D858285" w14:textId="2DFBFCDA" w:rsidR="009B0665" w:rsidRPr="009B0665" w:rsidRDefault="009B0665" w:rsidP="0063786F">
      <w:pPr>
        <w:tabs>
          <w:tab w:val="left" w:pos="1620"/>
        </w:tabs>
        <w:rPr>
          <w:bCs/>
          <w:color w:val="000000"/>
          <w:lang w:val="en-GB" w:eastAsia="fr-FR"/>
        </w:rPr>
      </w:pPr>
      <w:r w:rsidRPr="009B0665">
        <w:rPr>
          <w:bCs/>
          <w:color w:val="000000"/>
          <w:lang w:val="en-GB" w:eastAsia="fr-FR"/>
        </w:rPr>
        <w:t>5-11 September 2017, New York</w:t>
      </w:r>
    </w:p>
    <w:p w14:paraId="15ED06F4" w14:textId="2A9DAEBE" w:rsidR="009B0665" w:rsidRPr="009B0665" w:rsidRDefault="00E112CD" w:rsidP="0063786F">
      <w:pPr>
        <w:tabs>
          <w:tab w:val="left" w:pos="1620"/>
        </w:tabs>
        <w:rPr>
          <w:bCs/>
          <w:color w:val="000000"/>
          <w:lang w:val="en-GB" w:eastAsia="fr-FR"/>
        </w:rPr>
      </w:pPr>
      <w:r>
        <w:rPr>
          <w:bCs/>
          <w:color w:val="000000"/>
          <w:lang w:val="en-GB" w:eastAsia="fr-FR"/>
        </w:rPr>
        <w:t>Item 6</w:t>
      </w:r>
      <w:r w:rsidR="009B0665" w:rsidRPr="009B0665">
        <w:rPr>
          <w:bCs/>
          <w:color w:val="000000"/>
          <w:lang w:val="en-GB" w:eastAsia="fr-FR"/>
        </w:rPr>
        <w:t xml:space="preserve"> of the provisional agenda</w:t>
      </w:r>
    </w:p>
    <w:p w14:paraId="413081ED" w14:textId="77777777" w:rsidR="009B0665" w:rsidRPr="009B0665" w:rsidRDefault="009B0665" w:rsidP="0063786F">
      <w:pPr>
        <w:tabs>
          <w:tab w:val="left" w:pos="1620"/>
        </w:tabs>
        <w:rPr>
          <w:b/>
          <w:bCs/>
          <w:color w:val="000000"/>
          <w:lang w:val="en-GB" w:eastAsia="fr-FR"/>
        </w:rPr>
      </w:pPr>
      <w:r w:rsidRPr="009B0665">
        <w:rPr>
          <w:b/>
          <w:bCs/>
          <w:color w:val="000000"/>
          <w:lang w:val="en-GB" w:eastAsia="fr-FR"/>
        </w:rPr>
        <w:t>Country programmes and related matters</w:t>
      </w:r>
    </w:p>
    <w:p w14:paraId="7CF53F47" w14:textId="77777777" w:rsidR="009B0665" w:rsidRPr="009B0665" w:rsidRDefault="009B0665" w:rsidP="009B0665">
      <w:pPr>
        <w:tabs>
          <w:tab w:val="left" w:pos="1620"/>
        </w:tabs>
        <w:ind w:firstLine="90"/>
        <w:rPr>
          <w:b/>
          <w:color w:val="000000"/>
          <w:sz w:val="28"/>
          <w:szCs w:val="28"/>
          <w:lang w:val="en-GB" w:eastAsia="fr-FR"/>
        </w:rPr>
      </w:pPr>
    </w:p>
    <w:p w14:paraId="6789935B" w14:textId="77777777" w:rsidR="009B0665" w:rsidRPr="009B0665" w:rsidRDefault="009B0665" w:rsidP="009B0665">
      <w:pPr>
        <w:tabs>
          <w:tab w:val="left" w:pos="1620"/>
        </w:tabs>
        <w:ind w:right="-360" w:firstLine="90"/>
        <w:rPr>
          <w:b/>
          <w:bCs/>
          <w:color w:val="000000"/>
          <w:sz w:val="32"/>
          <w:szCs w:val="32"/>
          <w:lang w:val="en-GB" w:eastAsia="fr-FR"/>
        </w:rPr>
      </w:pPr>
    </w:p>
    <w:p w14:paraId="23E700F9" w14:textId="51F27B58" w:rsidR="009B0665" w:rsidRPr="009B0665" w:rsidRDefault="00CC697C" w:rsidP="0063786F">
      <w:pPr>
        <w:tabs>
          <w:tab w:val="left" w:pos="1620"/>
        </w:tabs>
        <w:ind w:right="-360"/>
        <w:rPr>
          <w:b/>
          <w:color w:val="000000"/>
          <w:sz w:val="32"/>
          <w:szCs w:val="32"/>
          <w:lang w:val="en-GB" w:eastAsia="fr-FR"/>
        </w:rPr>
      </w:pPr>
      <w:bookmarkStart w:id="0" w:name="_GoBack"/>
      <w:r>
        <w:rPr>
          <w:b/>
          <w:bCs/>
          <w:color w:val="000000"/>
          <w:sz w:val="32"/>
          <w:szCs w:val="32"/>
          <w:lang w:val="en-GB" w:eastAsia="fr-FR"/>
        </w:rPr>
        <w:t>C</w:t>
      </w:r>
      <w:r w:rsidR="009B0665" w:rsidRPr="009B0665">
        <w:rPr>
          <w:b/>
          <w:bCs/>
          <w:color w:val="000000"/>
          <w:sz w:val="32"/>
          <w:szCs w:val="32"/>
          <w:lang w:val="en-GB" w:eastAsia="fr-FR"/>
        </w:rPr>
        <w:t xml:space="preserve">ountry programme document for </w:t>
      </w:r>
      <w:r w:rsidR="009B0665">
        <w:rPr>
          <w:b/>
          <w:bCs/>
          <w:color w:val="000000"/>
          <w:sz w:val="32"/>
          <w:szCs w:val="32"/>
          <w:lang w:val="en-GB" w:eastAsia="fr-FR"/>
        </w:rPr>
        <w:t>Kyrgyz</w:t>
      </w:r>
      <w:r w:rsidR="0063786F">
        <w:rPr>
          <w:b/>
          <w:bCs/>
          <w:color w:val="000000"/>
          <w:sz w:val="32"/>
          <w:szCs w:val="32"/>
          <w:lang w:val="en-GB" w:eastAsia="fr-FR"/>
        </w:rPr>
        <w:t>stan</w:t>
      </w:r>
      <w:r w:rsidR="009B0665">
        <w:rPr>
          <w:b/>
          <w:bCs/>
          <w:color w:val="000000"/>
          <w:sz w:val="32"/>
          <w:szCs w:val="32"/>
          <w:lang w:val="en-GB" w:eastAsia="fr-FR"/>
        </w:rPr>
        <w:t xml:space="preserve"> </w:t>
      </w:r>
      <w:r w:rsidR="009B0665" w:rsidRPr="009B0665">
        <w:rPr>
          <w:b/>
          <w:bCs/>
          <w:color w:val="000000"/>
          <w:sz w:val="32"/>
          <w:szCs w:val="32"/>
          <w:lang w:val="en-GB" w:eastAsia="fr-FR"/>
        </w:rPr>
        <w:t>(2018-2022)</w:t>
      </w:r>
    </w:p>
    <w:bookmarkEnd w:id="0"/>
    <w:p w14:paraId="701D0E0C" w14:textId="77777777" w:rsidR="009B0665" w:rsidRPr="009B0665" w:rsidRDefault="009B0665" w:rsidP="009B0665">
      <w:pPr>
        <w:tabs>
          <w:tab w:val="left" w:pos="1620"/>
        </w:tabs>
        <w:ind w:left="-720" w:right="328" w:firstLine="90"/>
        <w:rPr>
          <w:color w:val="000000"/>
          <w:sz w:val="32"/>
          <w:szCs w:val="32"/>
          <w:lang w:val="en-GB" w:eastAsia="fr-FR"/>
        </w:rPr>
      </w:pPr>
    </w:p>
    <w:p w14:paraId="25B0C80A" w14:textId="77777777" w:rsidR="009B0665" w:rsidRPr="009B0665" w:rsidRDefault="009B0665" w:rsidP="009B0665">
      <w:pPr>
        <w:tabs>
          <w:tab w:val="left" w:pos="1620"/>
        </w:tabs>
        <w:ind w:right="328"/>
        <w:rPr>
          <w:color w:val="000000"/>
          <w:lang w:val="en-GB" w:eastAsia="fr-FR"/>
        </w:rPr>
      </w:pPr>
    </w:p>
    <w:p w14:paraId="09F6EDD8" w14:textId="1A73DC05" w:rsidR="009B0665" w:rsidRPr="0063786F" w:rsidRDefault="009B0665" w:rsidP="009B0665">
      <w:pPr>
        <w:keepNext/>
        <w:keepLines/>
        <w:tabs>
          <w:tab w:val="right" w:pos="1022"/>
          <w:tab w:val="left" w:pos="1267"/>
          <w:tab w:val="left" w:pos="1620"/>
          <w:tab w:val="left" w:pos="2218"/>
          <w:tab w:val="left" w:pos="2693"/>
          <w:tab w:val="left" w:pos="3182"/>
          <w:tab w:val="left" w:pos="3658"/>
          <w:tab w:val="left" w:pos="4133"/>
          <w:tab w:val="left" w:pos="4622"/>
          <w:tab w:val="left" w:pos="5098"/>
          <w:tab w:val="left" w:pos="5573"/>
          <w:tab w:val="left" w:pos="6048"/>
        </w:tabs>
        <w:suppressAutoHyphens/>
        <w:spacing w:after="120" w:line="300" w:lineRule="exact"/>
        <w:ind w:left="-720" w:right="328" w:firstLine="90"/>
        <w:outlineLvl w:val="0"/>
        <w:rPr>
          <w:color w:val="000000"/>
          <w:spacing w:val="-2"/>
          <w:w w:val="103"/>
          <w:kern w:val="14"/>
          <w:sz w:val="24"/>
          <w:szCs w:val="24"/>
          <w:lang w:val="en-GB" w:eastAsia="fr-FR"/>
        </w:rPr>
      </w:pPr>
      <w:r>
        <w:rPr>
          <w:color w:val="000000"/>
          <w:kern w:val="14"/>
          <w:sz w:val="28"/>
          <w:lang w:val="en-GB" w:eastAsia="fr-FR"/>
        </w:rPr>
        <w:tab/>
      </w:r>
      <w:r w:rsidRPr="0063786F">
        <w:rPr>
          <w:color w:val="000000"/>
          <w:kern w:val="14"/>
          <w:sz w:val="24"/>
          <w:szCs w:val="24"/>
          <w:lang w:val="en-GB" w:eastAsia="fr-FR"/>
        </w:rPr>
        <w:t>Contents</w:t>
      </w:r>
    </w:p>
    <w:p w14:paraId="1F11AA87" w14:textId="77777777" w:rsidR="009B0665" w:rsidRPr="009B0665" w:rsidRDefault="009B0665" w:rsidP="009B0665">
      <w:pPr>
        <w:tabs>
          <w:tab w:val="left" w:pos="1620"/>
        </w:tabs>
        <w:rPr>
          <w:color w:val="000000"/>
          <w:lang w:val="en-GB" w:eastAsia="fr-FR"/>
        </w:rPr>
      </w:pPr>
    </w:p>
    <w:tbl>
      <w:tblPr>
        <w:tblpPr w:leftFromText="180" w:rightFromText="180" w:vertAnchor="text" w:horzAnchor="margin" w:tblpXSpec="center" w:tblpY="68"/>
        <w:tblOverlap w:val="never"/>
        <w:tblW w:w="9652" w:type="dxa"/>
        <w:tblLayout w:type="fixed"/>
        <w:tblCellMar>
          <w:left w:w="0" w:type="dxa"/>
          <w:right w:w="0" w:type="dxa"/>
        </w:tblCellMar>
        <w:tblLook w:val="0000" w:firstRow="0" w:lastRow="0" w:firstColumn="0" w:lastColumn="0" w:noHBand="0" w:noVBand="0"/>
      </w:tblPr>
      <w:tblGrid>
        <w:gridCol w:w="810"/>
        <w:gridCol w:w="8305"/>
        <w:gridCol w:w="175"/>
        <w:gridCol w:w="340"/>
        <w:gridCol w:w="22"/>
      </w:tblGrid>
      <w:tr w:rsidR="009B0665" w:rsidRPr="009B0665" w14:paraId="0EC4D499" w14:textId="77777777" w:rsidTr="0063786F">
        <w:tc>
          <w:tcPr>
            <w:tcW w:w="810" w:type="dxa"/>
            <w:shd w:val="clear" w:color="auto" w:fill="auto"/>
          </w:tcPr>
          <w:p w14:paraId="03C7B5D8" w14:textId="77777777" w:rsidR="009B0665" w:rsidRPr="009B0665" w:rsidRDefault="009B0665" w:rsidP="009B0665">
            <w:pPr>
              <w:tabs>
                <w:tab w:val="left" w:pos="1620"/>
              </w:tabs>
              <w:suppressAutoHyphens/>
              <w:spacing w:after="120"/>
              <w:jc w:val="right"/>
              <w:rPr>
                <w:i/>
                <w:color w:val="000000"/>
                <w:spacing w:val="4"/>
                <w:w w:val="103"/>
                <w:kern w:val="14"/>
                <w:sz w:val="14"/>
                <w:lang w:val="en-GB" w:eastAsia="fr-FR"/>
              </w:rPr>
            </w:pPr>
          </w:p>
        </w:tc>
        <w:tc>
          <w:tcPr>
            <w:tcW w:w="8480" w:type="dxa"/>
            <w:gridSpan w:val="2"/>
            <w:shd w:val="clear" w:color="auto" w:fill="auto"/>
          </w:tcPr>
          <w:p w14:paraId="1F97C6CF" w14:textId="0FB26376" w:rsidR="009B0665" w:rsidRPr="009B0665" w:rsidRDefault="005F74A5" w:rsidP="0063786F">
            <w:pPr>
              <w:tabs>
                <w:tab w:val="left" w:pos="1620"/>
              </w:tabs>
              <w:suppressAutoHyphens/>
              <w:spacing w:after="120"/>
              <w:ind w:left="-164"/>
              <w:rPr>
                <w:i/>
                <w:color w:val="000000"/>
                <w:spacing w:val="4"/>
                <w:w w:val="103"/>
                <w:kern w:val="14"/>
                <w:sz w:val="14"/>
                <w:lang w:val="en-GB" w:eastAsia="fr-FR"/>
              </w:rPr>
            </w:pPr>
            <w:r>
              <w:rPr>
                <w:i/>
                <w:color w:val="000000"/>
                <w:spacing w:val="4"/>
                <w:w w:val="103"/>
                <w:kern w:val="14"/>
                <w:sz w:val="14"/>
                <w:lang w:val="en-GB" w:eastAsia="fr-FR"/>
              </w:rPr>
              <w:t>Chapter</w:t>
            </w:r>
          </w:p>
        </w:tc>
        <w:tc>
          <w:tcPr>
            <w:tcW w:w="362" w:type="dxa"/>
            <w:gridSpan w:val="2"/>
            <w:shd w:val="clear" w:color="auto" w:fill="auto"/>
          </w:tcPr>
          <w:p w14:paraId="1CB2B48A" w14:textId="77777777" w:rsidR="009B0665" w:rsidRPr="009B0665" w:rsidRDefault="009B0665" w:rsidP="009B0665">
            <w:pPr>
              <w:tabs>
                <w:tab w:val="left" w:pos="1620"/>
              </w:tabs>
              <w:suppressAutoHyphens/>
              <w:spacing w:after="120"/>
              <w:jc w:val="right"/>
              <w:rPr>
                <w:i/>
                <w:color w:val="000000"/>
                <w:spacing w:val="4"/>
                <w:w w:val="103"/>
                <w:kern w:val="14"/>
                <w:sz w:val="14"/>
                <w:lang w:val="en-GB" w:eastAsia="fr-FR"/>
              </w:rPr>
            </w:pPr>
            <w:r w:rsidRPr="009B0665">
              <w:rPr>
                <w:i/>
                <w:iCs/>
                <w:color w:val="000000"/>
                <w:kern w:val="14"/>
                <w:sz w:val="14"/>
                <w:lang w:val="en-GB" w:eastAsia="fr-FR"/>
              </w:rPr>
              <w:t>Page</w:t>
            </w:r>
          </w:p>
        </w:tc>
      </w:tr>
      <w:tr w:rsidR="009B0665" w:rsidRPr="009B0665" w14:paraId="29A3A8DC" w14:textId="77777777" w:rsidTr="0063786F">
        <w:trPr>
          <w:gridAfter w:val="1"/>
          <w:wAfter w:w="22" w:type="dxa"/>
        </w:trPr>
        <w:tc>
          <w:tcPr>
            <w:tcW w:w="9290" w:type="dxa"/>
            <w:gridSpan w:val="3"/>
            <w:shd w:val="clear" w:color="auto" w:fill="auto"/>
          </w:tcPr>
          <w:p w14:paraId="301CA97B" w14:textId="77777777" w:rsidR="009B0665" w:rsidRPr="009B0665" w:rsidRDefault="009B0665" w:rsidP="009B0665">
            <w:pPr>
              <w:numPr>
                <w:ilvl w:val="0"/>
                <w:numId w:val="1"/>
              </w:numPr>
              <w:tabs>
                <w:tab w:val="right" w:pos="1080"/>
                <w:tab w:val="left" w:pos="1296"/>
                <w:tab w:val="left" w:pos="1620"/>
                <w:tab w:val="left" w:pos="2160"/>
                <w:tab w:val="left" w:pos="2592"/>
                <w:tab w:val="right" w:leader="dot" w:pos="9090"/>
              </w:tabs>
              <w:suppressAutoHyphens/>
              <w:spacing w:after="120" w:line="240" w:lineRule="exact"/>
              <w:jc w:val="both"/>
              <w:rPr>
                <w:color w:val="000000"/>
                <w:spacing w:val="4"/>
                <w:w w:val="103"/>
                <w:kern w:val="14"/>
                <w:lang w:val="en-GB" w:eastAsia="fr-FR"/>
              </w:rPr>
            </w:pPr>
            <w:r w:rsidRPr="009B0665">
              <w:rPr>
                <w:color w:val="000000"/>
                <w:kern w:val="14"/>
                <w:lang w:val="en-GB" w:eastAsia="fr-FR"/>
              </w:rPr>
              <w:tab/>
              <w:t>Programme rationale</w:t>
            </w:r>
            <w:r w:rsidRPr="009B0665">
              <w:rPr>
                <w:color w:val="000000"/>
                <w:sz w:val="24"/>
                <w:szCs w:val="24"/>
                <w:lang w:val="en-GB" w:eastAsia="fr-FR"/>
              </w:rPr>
              <w:tab/>
            </w:r>
          </w:p>
        </w:tc>
        <w:tc>
          <w:tcPr>
            <w:tcW w:w="340" w:type="dxa"/>
            <w:vMerge w:val="restart"/>
            <w:shd w:val="clear" w:color="auto" w:fill="auto"/>
            <w:vAlign w:val="bottom"/>
          </w:tcPr>
          <w:p w14:paraId="569E9A7D" w14:textId="77777777" w:rsidR="009B0665" w:rsidRPr="009B0665" w:rsidRDefault="009B0665" w:rsidP="009B0665">
            <w:pPr>
              <w:tabs>
                <w:tab w:val="left" w:pos="1620"/>
              </w:tabs>
              <w:suppressAutoHyphens/>
              <w:spacing w:after="120" w:line="240" w:lineRule="exact"/>
              <w:jc w:val="right"/>
              <w:rPr>
                <w:color w:val="000000"/>
                <w:spacing w:val="4"/>
                <w:w w:val="103"/>
                <w:kern w:val="14"/>
                <w:lang w:val="en-GB" w:eastAsia="fr-FR"/>
              </w:rPr>
            </w:pPr>
            <w:r w:rsidRPr="009B0665">
              <w:rPr>
                <w:color w:val="000000"/>
                <w:kern w:val="14"/>
                <w:lang w:val="en-GB" w:eastAsia="fr-FR"/>
              </w:rPr>
              <w:t>2</w:t>
            </w:r>
          </w:p>
          <w:p w14:paraId="1D99A034" w14:textId="2D0D49A3" w:rsidR="009B0665" w:rsidRPr="009B0665" w:rsidRDefault="00741AC5" w:rsidP="009B0665">
            <w:pPr>
              <w:tabs>
                <w:tab w:val="left" w:pos="1620"/>
              </w:tabs>
              <w:suppressAutoHyphens/>
              <w:spacing w:after="120" w:line="240" w:lineRule="exact"/>
              <w:jc w:val="right"/>
              <w:rPr>
                <w:color w:val="000000"/>
                <w:spacing w:val="4"/>
                <w:w w:val="103"/>
                <w:kern w:val="14"/>
                <w:lang w:val="en-GB" w:eastAsia="fr-FR"/>
              </w:rPr>
            </w:pPr>
            <w:r>
              <w:rPr>
                <w:color w:val="000000"/>
                <w:kern w:val="14"/>
                <w:lang w:val="en-GB" w:eastAsia="fr-FR"/>
              </w:rPr>
              <w:t>5</w:t>
            </w:r>
          </w:p>
        </w:tc>
      </w:tr>
      <w:tr w:rsidR="009B0665" w:rsidRPr="009B0665" w14:paraId="374E9FD3" w14:textId="77777777" w:rsidTr="0063786F">
        <w:trPr>
          <w:gridAfter w:val="1"/>
          <w:wAfter w:w="22" w:type="dxa"/>
        </w:trPr>
        <w:tc>
          <w:tcPr>
            <w:tcW w:w="9290" w:type="dxa"/>
            <w:gridSpan w:val="3"/>
            <w:shd w:val="clear" w:color="auto" w:fill="auto"/>
          </w:tcPr>
          <w:p w14:paraId="0691BBB8" w14:textId="77777777" w:rsidR="009B0665" w:rsidRPr="009B0665" w:rsidRDefault="009B0665" w:rsidP="009B0665">
            <w:pPr>
              <w:numPr>
                <w:ilvl w:val="0"/>
                <w:numId w:val="1"/>
              </w:numPr>
              <w:tabs>
                <w:tab w:val="right" w:pos="1080"/>
                <w:tab w:val="left" w:pos="1296"/>
                <w:tab w:val="left" w:pos="1620"/>
                <w:tab w:val="left" w:pos="2160"/>
                <w:tab w:val="left" w:pos="2592"/>
                <w:tab w:val="left" w:pos="3024"/>
                <w:tab w:val="left" w:pos="3456"/>
                <w:tab w:val="left" w:pos="3888"/>
                <w:tab w:val="left" w:pos="4320"/>
                <w:tab w:val="left" w:pos="8220"/>
                <w:tab w:val="right" w:leader="dot" w:pos="9090"/>
              </w:tabs>
              <w:suppressAutoHyphens/>
              <w:spacing w:after="120" w:line="240" w:lineRule="exact"/>
              <w:jc w:val="both"/>
              <w:rPr>
                <w:color w:val="000000"/>
                <w:spacing w:val="4"/>
                <w:w w:val="103"/>
                <w:kern w:val="14"/>
                <w:lang w:val="en-GB" w:eastAsia="fr-FR"/>
              </w:rPr>
            </w:pPr>
            <w:r w:rsidRPr="009B0665">
              <w:rPr>
                <w:color w:val="000000"/>
                <w:kern w:val="14"/>
                <w:lang w:val="en-GB" w:eastAsia="fr-FR"/>
              </w:rPr>
              <w:tab/>
              <w:t>Programme priorities and partnerships………………………………………………….</w:t>
            </w:r>
            <w:r w:rsidRPr="009B0665">
              <w:rPr>
                <w:color w:val="000000"/>
                <w:kern w:val="14"/>
                <w:sz w:val="17"/>
                <w:lang w:val="en-GB" w:eastAsia="fr-FR"/>
              </w:rPr>
              <w:tab/>
            </w:r>
            <w:r w:rsidRPr="009B0665">
              <w:rPr>
                <w:color w:val="000000"/>
                <w:kern w:val="14"/>
                <w:lang w:val="en-GB" w:eastAsia="fr-FR"/>
              </w:rPr>
              <w:t>……….…</w:t>
            </w:r>
          </w:p>
        </w:tc>
        <w:tc>
          <w:tcPr>
            <w:tcW w:w="340" w:type="dxa"/>
            <w:vMerge/>
            <w:shd w:val="clear" w:color="auto" w:fill="auto"/>
            <w:vAlign w:val="bottom"/>
          </w:tcPr>
          <w:p w14:paraId="1FDB3360" w14:textId="77777777" w:rsidR="009B0665" w:rsidRPr="009B0665" w:rsidRDefault="009B0665" w:rsidP="009B0665">
            <w:pPr>
              <w:tabs>
                <w:tab w:val="left" w:pos="1620"/>
              </w:tabs>
              <w:suppressAutoHyphens/>
              <w:spacing w:after="120" w:line="240" w:lineRule="exact"/>
              <w:jc w:val="right"/>
              <w:rPr>
                <w:color w:val="000000"/>
                <w:spacing w:val="4"/>
                <w:w w:val="103"/>
                <w:kern w:val="14"/>
                <w:lang w:val="en-GB" w:eastAsia="fr-FR"/>
              </w:rPr>
            </w:pPr>
          </w:p>
        </w:tc>
      </w:tr>
      <w:tr w:rsidR="009B0665" w:rsidRPr="009B0665" w14:paraId="0BCDBE5B" w14:textId="77777777" w:rsidTr="0063786F">
        <w:tc>
          <w:tcPr>
            <w:tcW w:w="9290" w:type="dxa"/>
            <w:gridSpan w:val="3"/>
            <w:shd w:val="clear" w:color="auto" w:fill="auto"/>
          </w:tcPr>
          <w:p w14:paraId="5E563319" w14:textId="3B3D4224" w:rsidR="009B0665" w:rsidRPr="009B0665" w:rsidRDefault="009B0665" w:rsidP="009B0665">
            <w:pPr>
              <w:numPr>
                <w:ilvl w:val="0"/>
                <w:numId w:val="1"/>
              </w:numPr>
              <w:tabs>
                <w:tab w:val="right" w:pos="1080"/>
                <w:tab w:val="left" w:pos="1296"/>
                <w:tab w:val="left" w:pos="1620"/>
                <w:tab w:val="left" w:pos="2160"/>
                <w:tab w:val="left" w:pos="2592"/>
                <w:tab w:val="left" w:pos="3024"/>
                <w:tab w:val="right" w:leader="dot" w:pos="9090"/>
              </w:tabs>
              <w:suppressAutoHyphens/>
              <w:spacing w:after="120" w:line="240" w:lineRule="exact"/>
              <w:jc w:val="both"/>
              <w:rPr>
                <w:color w:val="000000"/>
                <w:spacing w:val="4"/>
                <w:w w:val="103"/>
                <w:kern w:val="14"/>
                <w:lang w:val="en-GB" w:eastAsia="fr-FR"/>
              </w:rPr>
            </w:pPr>
            <w:r w:rsidRPr="009B0665">
              <w:rPr>
                <w:color w:val="000000"/>
                <w:kern w:val="14"/>
                <w:lang w:val="en-GB" w:eastAsia="fr-FR"/>
              </w:rPr>
              <w:tab/>
              <w:t>Programme and risk management</w:t>
            </w:r>
            <w:r w:rsidRPr="009B0665">
              <w:rPr>
                <w:color w:val="000000"/>
                <w:sz w:val="24"/>
                <w:szCs w:val="24"/>
                <w:lang w:val="en-GB" w:eastAsia="fr-FR"/>
              </w:rPr>
              <w:tab/>
            </w:r>
          </w:p>
        </w:tc>
        <w:tc>
          <w:tcPr>
            <w:tcW w:w="362" w:type="dxa"/>
            <w:gridSpan w:val="2"/>
            <w:vMerge w:val="restart"/>
            <w:shd w:val="clear" w:color="auto" w:fill="auto"/>
            <w:vAlign w:val="bottom"/>
          </w:tcPr>
          <w:p w14:paraId="2BF330EE" w14:textId="77777777" w:rsidR="009B0665" w:rsidRPr="009B0665" w:rsidRDefault="009B0665" w:rsidP="009B0665">
            <w:pPr>
              <w:tabs>
                <w:tab w:val="left" w:pos="1620"/>
              </w:tabs>
              <w:suppressAutoHyphens/>
              <w:spacing w:after="120" w:line="240" w:lineRule="exact"/>
              <w:jc w:val="right"/>
              <w:rPr>
                <w:color w:val="000000"/>
                <w:spacing w:val="4"/>
                <w:w w:val="103"/>
                <w:kern w:val="14"/>
                <w:lang w:val="en-GB" w:eastAsia="fr-FR"/>
              </w:rPr>
            </w:pPr>
            <w:r w:rsidRPr="009B0665">
              <w:rPr>
                <w:color w:val="000000"/>
                <w:kern w:val="14"/>
                <w:lang w:val="en-GB" w:eastAsia="fr-FR"/>
              </w:rPr>
              <w:t>7</w:t>
            </w:r>
          </w:p>
          <w:p w14:paraId="2BA8F50D" w14:textId="77777777" w:rsidR="009B0665" w:rsidRPr="009B0665" w:rsidRDefault="009B0665" w:rsidP="009B0665">
            <w:pPr>
              <w:tabs>
                <w:tab w:val="left" w:pos="1620"/>
              </w:tabs>
              <w:suppressAutoHyphens/>
              <w:spacing w:after="120" w:line="240" w:lineRule="exact"/>
              <w:jc w:val="right"/>
              <w:rPr>
                <w:color w:val="000000"/>
                <w:spacing w:val="4"/>
                <w:w w:val="103"/>
                <w:kern w:val="14"/>
                <w:lang w:val="en-GB" w:eastAsia="fr-FR"/>
              </w:rPr>
            </w:pPr>
            <w:r w:rsidRPr="009B0665">
              <w:rPr>
                <w:color w:val="000000"/>
                <w:kern w:val="14"/>
                <w:lang w:val="en-GB" w:eastAsia="fr-FR"/>
              </w:rPr>
              <w:t>8</w:t>
            </w:r>
          </w:p>
        </w:tc>
      </w:tr>
      <w:tr w:rsidR="009B0665" w:rsidRPr="009B0665" w14:paraId="69F72666" w14:textId="77777777" w:rsidTr="0063786F">
        <w:tc>
          <w:tcPr>
            <w:tcW w:w="9290" w:type="dxa"/>
            <w:gridSpan w:val="3"/>
            <w:shd w:val="clear" w:color="auto" w:fill="auto"/>
          </w:tcPr>
          <w:p w14:paraId="6F0C593C" w14:textId="77777777" w:rsidR="009B0665" w:rsidRPr="009B0665" w:rsidRDefault="009B0665" w:rsidP="009B0665">
            <w:pPr>
              <w:numPr>
                <w:ilvl w:val="0"/>
                <w:numId w:val="1"/>
              </w:numPr>
              <w:tabs>
                <w:tab w:val="right" w:pos="1080"/>
                <w:tab w:val="left" w:pos="1296"/>
                <w:tab w:val="left" w:pos="1620"/>
                <w:tab w:val="left" w:pos="2160"/>
                <w:tab w:val="left" w:pos="2592"/>
                <w:tab w:val="left" w:pos="3024"/>
                <w:tab w:val="left" w:pos="3420"/>
                <w:tab w:val="left" w:pos="3456"/>
                <w:tab w:val="left" w:pos="9090"/>
              </w:tabs>
              <w:suppressAutoHyphens/>
              <w:spacing w:after="120" w:line="240" w:lineRule="exact"/>
              <w:jc w:val="both"/>
              <w:rPr>
                <w:color w:val="000000"/>
                <w:spacing w:val="4"/>
                <w:w w:val="103"/>
                <w:kern w:val="14"/>
                <w:lang w:val="en-GB" w:eastAsia="fr-FR"/>
              </w:rPr>
            </w:pPr>
            <w:r w:rsidRPr="009B0665">
              <w:rPr>
                <w:color w:val="000000"/>
                <w:kern w:val="14"/>
                <w:lang w:val="en-GB" w:eastAsia="fr-FR"/>
              </w:rPr>
              <w:tab/>
              <w:t>Monitoring and evaluation</w:t>
            </w:r>
            <w:r w:rsidRPr="009B0665">
              <w:rPr>
                <w:color w:val="000000"/>
                <w:sz w:val="24"/>
                <w:szCs w:val="24"/>
                <w:lang w:val="en-GB" w:eastAsia="fr-FR"/>
              </w:rPr>
              <w:tab/>
            </w:r>
            <w:r w:rsidRPr="009B0665">
              <w:rPr>
                <w:color w:val="000000"/>
                <w:lang w:val="en-GB" w:eastAsia="fr-FR"/>
              </w:rPr>
              <w:t>…………………………………………………….……………………</w:t>
            </w:r>
          </w:p>
        </w:tc>
        <w:tc>
          <w:tcPr>
            <w:tcW w:w="362" w:type="dxa"/>
            <w:gridSpan w:val="2"/>
            <w:vMerge/>
            <w:shd w:val="clear" w:color="auto" w:fill="auto"/>
            <w:vAlign w:val="bottom"/>
          </w:tcPr>
          <w:p w14:paraId="47C84B22" w14:textId="77777777" w:rsidR="009B0665" w:rsidRPr="009B0665" w:rsidRDefault="009B0665" w:rsidP="009B0665">
            <w:pPr>
              <w:tabs>
                <w:tab w:val="left" w:pos="1620"/>
              </w:tabs>
              <w:suppressAutoHyphens/>
              <w:spacing w:after="120" w:line="240" w:lineRule="exact"/>
              <w:jc w:val="right"/>
              <w:rPr>
                <w:color w:val="000000"/>
                <w:spacing w:val="4"/>
                <w:w w:val="103"/>
                <w:kern w:val="14"/>
                <w:lang w:val="en-GB" w:eastAsia="fr-FR"/>
              </w:rPr>
            </w:pPr>
          </w:p>
        </w:tc>
      </w:tr>
      <w:tr w:rsidR="009B0665" w:rsidRPr="009B0665" w14:paraId="02E55C5D" w14:textId="77777777" w:rsidTr="0063786F">
        <w:tc>
          <w:tcPr>
            <w:tcW w:w="9115" w:type="dxa"/>
            <w:gridSpan w:val="2"/>
            <w:shd w:val="clear" w:color="auto" w:fill="auto"/>
          </w:tcPr>
          <w:p w14:paraId="49890918" w14:textId="77777777" w:rsidR="009B0665" w:rsidRPr="009B0665" w:rsidRDefault="009B0665" w:rsidP="009B0665">
            <w:pPr>
              <w:tabs>
                <w:tab w:val="right" w:pos="1080"/>
                <w:tab w:val="left" w:pos="1296"/>
                <w:tab w:val="left" w:pos="1620"/>
                <w:tab w:val="right" w:pos="1714"/>
                <w:tab w:val="left" w:pos="2160"/>
                <w:tab w:val="left" w:pos="2592"/>
                <w:tab w:val="left" w:pos="3024"/>
                <w:tab w:val="left" w:pos="3456"/>
              </w:tabs>
              <w:suppressAutoHyphens/>
              <w:spacing w:after="120" w:line="240" w:lineRule="exact"/>
              <w:ind w:left="475"/>
              <w:rPr>
                <w:color w:val="000000"/>
                <w:spacing w:val="4"/>
                <w:w w:val="103"/>
                <w:kern w:val="14"/>
                <w:lang w:val="en-GB" w:eastAsia="fr-FR"/>
              </w:rPr>
            </w:pPr>
            <w:r w:rsidRPr="009B0665">
              <w:rPr>
                <w:color w:val="000000"/>
                <w:kern w:val="14"/>
                <w:lang w:val="en-GB" w:eastAsia="fr-FR"/>
              </w:rPr>
              <w:t xml:space="preserve">     Annex</w:t>
            </w:r>
          </w:p>
        </w:tc>
        <w:tc>
          <w:tcPr>
            <w:tcW w:w="537" w:type="dxa"/>
            <w:gridSpan w:val="3"/>
            <w:shd w:val="clear" w:color="auto" w:fill="auto"/>
            <w:vAlign w:val="bottom"/>
          </w:tcPr>
          <w:p w14:paraId="292EC918" w14:textId="77777777" w:rsidR="009B0665" w:rsidRPr="009B0665" w:rsidRDefault="009B0665" w:rsidP="009B0665">
            <w:pPr>
              <w:tabs>
                <w:tab w:val="left" w:pos="1620"/>
              </w:tabs>
              <w:suppressAutoHyphens/>
              <w:spacing w:after="120" w:line="240" w:lineRule="exact"/>
              <w:jc w:val="right"/>
              <w:rPr>
                <w:color w:val="000000"/>
                <w:spacing w:val="4"/>
                <w:w w:val="103"/>
                <w:kern w:val="14"/>
                <w:lang w:val="en-GB" w:eastAsia="fr-FR"/>
              </w:rPr>
            </w:pPr>
          </w:p>
        </w:tc>
      </w:tr>
      <w:tr w:rsidR="00E86DAE" w:rsidRPr="00E86DAE" w14:paraId="00E6161E" w14:textId="77777777" w:rsidTr="0063786F">
        <w:tc>
          <w:tcPr>
            <w:tcW w:w="9115" w:type="dxa"/>
            <w:gridSpan w:val="2"/>
            <w:shd w:val="clear" w:color="auto" w:fill="auto"/>
          </w:tcPr>
          <w:p w14:paraId="2546C06C" w14:textId="4C7EA335" w:rsidR="00E86DAE" w:rsidRPr="00E86DAE" w:rsidRDefault="00E86DAE" w:rsidP="00E86DAE">
            <w:pPr>
              <w:tabs>
                <w:tab w:val="right" w:pos="1080"/>
                <w:tab w:val="left" w:pos="1296"/>
                <w:tab w:val="left" w:pos="1620"/>
                <w:tab w:val="left" w:pos="2160"/>
                <w:tab w:val="left" w:pos="2592"/>
                <w:tab w:val="left" w:pos="3024"/>
                <w:tab w:val="left" w:pos="3456"/>
                <w:tab w:val="left" w:pos="3888"/>
                <w:tab w:val="left" w:pos="4320"/>
                <w:tab w:val="left" w:pos="4752"/>
                <w:tab w:val="left" w:pos="5184"/>
                <w:tab w:val="left" w:pos="5616"/>
                <w:tab w:val="left" w:pos="6048"/>
                <w:tab w:val="left" w:pos="6480"/>
                <w:tab w:val="right" w:leader="dot" w:pos="9360"/>
              </w:tabs>
              <w:suppressAutoHyphens/>
              <w:spacing w:after="120" w:line="240" w:lineRule="exact"/>
              <w:ind w:left="1296"/>
              <w:rPr>
                <w:color w:val="000000"/>
                <w:spacing w:val="60"/>
                <w:w w:val="103"/>
                <w:kern w:val="14"/>
                <w:sz w:val="17"/>
                <w:lang w:val="en-GB" w:eastAsia="fr-FR"/>
              </w:rPr>
            </w:pPr>
            <w:r w:rsidRPr="00E86DAE">
              <w:rPr>
                <w:color w:val="000000"/>
                <w:kern w:val="14"/>
                <w:lang w:val="en-GB" w:eastAsia="fr-FR"/>
              </w:rPr>
              <w:t xml:space="preserve">Results and resources framework for </w:t>
            </w:r>
            <w:r>
              <w:rPr>
                <w:color w:val="000000"/>
                <w:kern w:val="14"/>
                <w:lang w:val="en-GB" w:eastAsia="fr-FR"/>
              </w:rPr>
              <w:t>Kyrgyz</w:t>
            </w:r>
            <w:r w:rsidR="0063786F">
              <w:rPr>
                <w:color w:val="000000"/>
                <w:kern w:val="14"/>
                <w:lang w:val="en-GB" w:eastAsia="fr-FR"/>
              </w:rPr>
              <w:t>stan</w:t>
            </w:r>
            <w:r>
              <w:rPr>
                <w:color w:val="000000"/>
                <w:kern w:val="14"/>
                <w:lang w:val="en-GB" w:eastAsia="fr-FR"/>
              </w:rPr>
              <w:t xml:space="preserve"> </w:t>
            </w:r>
            <w:r w:rsidRPr="00E86DAE">
              <w:rPr>
                <w:color w:val="000000"/>
                <w:kern w:val="14"/>
                <w:lang w:val="en-GB" w:eastAsia="fr-FR"/>
              </w:rPr>
              <w:t>(2018-2022)</w:t>
            </w:r>
            <w:r w:rsidRPr="00E86DAE">
              <w:rPr>
                <w:color w:val="000000"/>
                <w:sz w:val="24"/>
                <w:szCs w:val="24"/>
                <w:lang w:val="en-GB" w:eastAsia="fr-FR"/>
              </w:rPr>
              <w:tab/>
            </w:r>
            <w:r>
              <w:rPr>
                <w:color w:val="000000"/>
                <w:lang w:val="en-GB" w:eastAsia="fr-FR"/>
              </w:rPr>
              <w:t>……………………………</w:t>
            </w:r>
          </w:p>
        </w:tc>
        <w:tc>
          <w:tcPr>
            <w:tcW w:w="537" w:type="dxa"/>
            <w:gridSpan w:val="3"/>
            <w:shd w:val="clear" w:color="auto" w:fill="auto"/>
            <w:vAlign w:val="bottom"/>
          </w:tcPr>
          <w:p w14:paraId="2650B2BF" w14:textId="32DBD10D" w:rsidR="00E86DAE" w:rsidRPr="00E86DAE" w:rsidRDefault="00A02262" w:rsidP="00E86DAE">
            <w:pPr>
              <w:tabs>
                <w:tab w:val="left" w:pos="1620"/>
              </w:tabs>
              <w:suppressAutoHyphens/>
              <w:spacing w:after="120" w:line="240" w:lineRule="exact"/>
              <w:jc w:val="right"/>
              <w:rPr>
                <w:color w:val="000000"/>
                <w:spacing w:val="4"/>
                <w:w w:val="103"/>
                <w:kern w:val="14"/>
                <w:lang w:val="en-GB" w:eastAsia="fr-FR"/>
              </w:rPr>
            </w:pPr>
            <w:r>
              <w:rPr>
                <w:color w:val="000000"/>
                <w:kern w:val="14"/>
                <w:lang w:val="en-GB" w:eastAsia="fr-FR"/>
              </w:rPr>
              <w:t>9</w:t>
            </w:r>
          </w:p>
        </w:tc>
      </w:tr>
    </w:tbl>
    <w:p w14:paraId="19F0E16B" w14:textId="29805BB3" w:rsidR="0002403A" w:rsidRPr="0019048D" w:rsidRDefault="000644AC" w:rsidP="008E3C5F">
      <w:pPr>
        <w:pStyle w:val="HCh"/>
        <w:spacing w:after="120"/>
        <w:rPr>
          <w:b w:val="0"/>
          <w:color w:val="000000"/>
          <w:sz w:val="20"/>
          <w:lang w:val="fr-FR"/>
        </w:rPr>
      </w:pPr>
      <w:r>
        <w:rPr>
          <w:b w:val="0"/>
          <w:color w:val="000000"/>
          <w:sz w:val="20"/>
          <w:lang w:val="fr-FR"/>
        </w:rPr>
        <w:t>\</w:t>
      </w:r>
    </w:p>
    <w:p w14:paraId="4904925F" w14:textId="77777777" w:rsidR="00785474" w:rsidRPr="0019048D" w:rsidRDefault="00785474" w:rsidP="0002403A">
      <w:pPr>
        <w:jc w:val="both"/>
        <w:rPr>
          <w:color w:val="000000"/>
          <w:sz w:val="6"/>
        </w:rPr>
        <w:sectPr w:rsidR="00785474" w:rsidRPr="0019048D" w:rsidSect="00DD0A8C">
          <w:headerReference w:type="even" r:id="rId12"/>
          <w:headerReference w:type="default" r:id="rId13"/>
          <w:footerReference w:type="even" r:id="rId14"/>
          <w:footerReference w:type="default" r:id="rId15"/>
          <w:headerReference w:type="first" r:id="rId16"/>
          <w:footnotePr>
            <w:numRestart w:val="eachSect"/>
          </w:footnotePr>
          <w:endnotePr>
            <w:numFmt w:val="decimal"/>
            <w:numStart w:val="7"/>
          </w:endnotePr>
          <w:type w:val="continuous"/>
          <w:pgSz w:w="12240" w:h="15840" w:code="1"/>
          <w:pgMar w:top="1166" w:right="1195" w:bottom="1440" w:left="1195" w:header="576" w:footer="1037" w:gutter="0"/>
          <w:pgNumType w:start="1"/>
          <w:cols w:space="720"/>
          <w:titlePg/>
          <w:docGrid w:linePitch="272"/>
        </w:sectPr>
      </w:pPr>
    </w:p>
    <w:p w14:paraId="4F7031CF" w14:textId="5C32C483" w:rsidR="00026F51" w:rsidRPr="00EA6B24" w:rsidRDefault="00026F51" w:rsidP="007868EE">
      <w:pPr>
        <w:pStyle w:val="Heading2"/>
        <w:numPr>
          <w:ilvl w:val="0"/>
          <w:numId w:val="14"/>
        </w:numPr>
        <w:ind w:left="360" w:right="90" w:hanging="450"/>
        <w:jc w:val="left"/>
        <w:rPr>
          <w:rFonts w:ascii="Times New Roman" w:hAnsi="Times New Roman"/>
          <w:bCs/>
          <w:color w:val="000000"/>
          <w:szCs w:val="28"/>
        </w:rPr>
      </w:pPr>
      <w:r w:rsidRPr="00EA6B24">
        <w:rPr>
          <w:rFonts w:ascii="Times New Roman" w:hAnsi="Times New Roman"/>
          <w:bCs/>
          <w:color w:val="000000"/>
          <w:szCs w:val="28"/>
        </w:rPr>
        <w:lastRenderedPageBreak/>
        <w:t xml:space="preserve">Programme </w:t>
      </w:r>
      <w:r w:rsidR="007868EE" w:rsidRPr="00EA6B24">
        <w:rPr>
          <w:rFonts w:ascii="Times New Roman" w:hAnsi="Times New Roman"/>
          <w:bCs/>
          <w:color w:val="000000"/>
          <w:szCs w:val="28"/>
        </w:rPr>
        <w:t>r</w:t>
      </w:r>
      <w:r w:rsidRPr="00EA6B24">
        <w:rPr>
          <w:rFonts w:ascii="Times New Roman" w:hAnsi="Times New Roman"/>
          <w:bCs/>
          <w:color w:val="000000"/>
          <w:szCs w:val="28"/>
        </w:rPr>
        <w:t>ationale</w:t>
      </w:r>
    </w:p>
    <w:p w14:paraId="1E33B03D" w14:textId="77777777" w:rsidR="00026F51" w:rsidRPr="005D25D4" w:rsidRDefault="00026F51" w:rsidP="007868EE">
      <w:pPr>
        <w:ind w:left="360" w:right="90"/>
      </w:pPr>
    </w:p>
    <w:p w14:paraId="3FFCC610" w14:textId="1E81099D" w:rsidR="0024500F" w:rsidRDefault="005A76D9" w:rsidP="007868EE">
      <w:pPr>
        <w:pStyle w:val="ListParagraph"/>
        <w:numPr>
          <w:ilvl w:val="0"/>
          <w:numId w:val="2"/>
        </w:numPr>
        <w:spacing w:after="120"/>
        <w:ind w:left="360" w:right="90" w:firstLine="0"/>
        <w:jc w:val="both"/>
        <w:rPr>
          <w:color w:val="000000"/>
        </w:rPr>
      </w:pPr>
      <w:r>
        <w:rPr>
          <w:color w:val="000000"/>
        </w:rPr>
        <w:t xml:space="preserve">Kyrgyzstan </w:t>
      </w:r>
      <w:r w:rsidR="00ED0DDA" w:rsidRPr="00A722FA">
        <w:rPr>
          <w:color w:val="000000"/>
        </w:rPr>
        <w:t>is a landlocked</w:t>
      </w:r>
      <w:r w:rsidR="00F64938">
        <w:rPr>
          <w:color w:val="000000"/>
        </w:rPr>
        <w:t>,</w:t>
      </w:r>
      <w:r w:rsidR="00ED0DDA" w:rsidRPr="00A722FA">
        <w:rPr>
          <w:color w:val="000000"/>
        </w:rPr>
        <w:t xml:space="preserve"> largely mountainous country in Central Asia, bordered by </w:t>
      </w:r>
      <w:r w:rsidR="00BC371A" w:rsidRPr="00A722FA">
        <w:rPr>
          <w:color w:val="000000"/>
        </w:rPr>
        <w:t>China</w:t>
      </w:r>
      <w:r w:rsidR="00BC371A">
        <w:rPr>
          <w:color w:val="000000"/>
        </w:rPr>
        <w:t>,</w:t>
      </w:r>
      <w:r w:rsidR="00BC371A" w:rsidRPr="00A722FA">
        <w:rPr>
          <w:color w:val="000000"/>
        </w:rPr>
        <w:t xml:space="preserve"> </w:t>
      </w:r>
      <w:r w:rsidR="00ED0DDA" w:rsidRPr="00A722FA">
        <w:rPr>
          <w:color w:val="000000"/>
        </w:rPr>
        <w:t xml:space="preserve">Kazakhstan, </w:t>
      </w:r>
      <w:r w:rsidR="00BC371A" w:rsidRPr="00A722FA">
        <w:rPr>
          <w:color w:val="000000"/>
        </w:rPr>
        <w:t xml:space="preserve">Tajikistan and </w:t>
      </w:r>
      <w:r w:rsidR="00ED0DDA" w:rsidRPr="00A722FA">
        <w:rPr>
          <w:color w:val="000000"/>
        </w:rPr>
        <w:t xml:space="preserve">Uzbekistan. </w:t>
      </w:r>
      <w:r w:rsidR="00446F19" w:rsidRPr="00A722FA">
        <w:rPr>
          <w:color w:val="000000"/>
        </w:rPr>
        <w:t xml:space="preserve">The population </w:t>
      </w:r>
      <w:r w:rsidR="00A93BEB">
        <w:rPr>
          <w:color w:val="000000"/>
        </w:rPr>
        <w:t xml:space="preserve">of </w:t>
      </w:r>
      <w:r w:rsidR="000E4F72">
        <w:rPr>
          <w:color w:val="000000"/>
        </w:rPr>
        <w:t>slightly above six</w:t>
      </w:r>
      <w:r w:rsidR="00446F19" w:rsidRPr="00A722FA">
        <w:rPr>
          <w:color w:val="000000"/>
        </w:rPr>
        <w:t xml:space="preserve"> million</w:t>
      </w:r>
      <w:r w:rsidR="00CD67EC">
        <w:rPr>
          <w:color w:val="000000"/>
        </w:rPr>
        <w:t xml:space="preserve"> </w:t>
      </w:r>
      <w:r w:rsidR="00A93BEB">
        <w:rPr>
          <w:color w:val="000000"/>
        </w:rPr>
        <w:t>is</w:t>
      </w:r>
      <w:r w:rsidR="007F3084">
        <w:rPr>
          <w:color w:val="000000"/>
        </w:rPr>
        <w:t xml:space="preserve"> </w:t>
      </w:r>
      <w:r w:rsidR="00446F19" w:rsidRPr="00A722FA">
        <w:rPr>
          <w:color w:val="000000"/>
        </w:rPr>
        <w:t>predominately young</w:t>
      </w:r>
      <w:r w:rsidR="00A93BEB">
        <w:rPr>
          <w:color w:val="000000"/>
        </w:rPr>
        <w:t>.</w:t>
      </w:r>
      <w:r w:rsidR="007F3084">
        <w:rPr>
          <w:rStyle w:val="FootnoteReference"/>
          <w:color w:val="000000"/>
        </w:rPr>
        <w:footnoteReference w:id="1"/>
      </w:r>
      <w:r w:rsidR="00446F19" w:rsidRPr="00A722FA">
        <w:rPr>
          <w:color w:val="000000"/>
        </w:rPr>
        <w:t xml:space="preserve"> </w:t>
      </w:r>
      <w:r>
        <w:rPr>
          <w:color w:val="000000"/>
        </w:rPr>
        <w:t>Kyrgyzstan</w:t>
      </w:r>
      <w:r w:rsidR="00A722FA" w:rsidRPr="00A722FA">
        <w:rPr>
          <w:color w:val="000000"/>
        </w:rPr>
        <w:t xml:space="preserve"> </w:t>
      </w:r>
      <w:r w:rsidR="00A722FA" w:rsidRPr="00A722FA">
        <w:rPr>
          <w:lang w:val="en-GB"/>
        </w:rPr>
        <w:t>is a lower</w:t>
      </w:r>
      <w:r w:rsidR="005F0EEE">
        <w:rPr>
          <w:lang w:val="en-GB"/>
        </w:rPr>
        <w:t>-</w:t>
      </w:r>
      <w:r w:rsidR="00A722FA" w:rsidRPr="00A722FA">
        <w:rPr>
          <w:lang w:val="en-GB"/>
        </w:rPr>
        <w:t>middle</w:t>
      </w:r>
      <w:r w:rsidR="005F0EEE">
        <w:rPr>
          <w:lang w:val="en-GB"/>
        </w:rPr>
        <w:t>-</w:t>
      </w:r>
      <w:r w:rsidR="00A722FA" w:rsidRPr="00A722FA">
        <w:rPr>
          <w:lang w:val="en-GB"/>
        </w:rPr>
        <w:t xml:space="preserve">income </w:t>
      </w:r>
      <w:r w:rsidR="00DD37F4">
        <w:rPr>
          <w:lang w:val="en-GB"/>
        </w:rPr>
        <w:t>economy</w:t>
      </w:r>
      <w:r w:rsidR="00BC371A">
        <w:rPr>
          <w:lang w:val="en-GB"/>
        </w:rPr>
        <w:t>,</w:t>
      </w:r>
      <w:r w:rsidR="00DD37F4">
        <w:rPr>
          <w:lang w:val="en-GB"/>
        </w:rPr>
        <w:t xml:space="preserve"> </w:t>
      </w:r>
      <w:r w:rsidR="00ED0DDA" w:rsidRPr="00A722FA">
        <w:rPr>
          <w:color w:val="000000"/>
        </w:rPr>
        <w:t xml:space="preserve">with per capita </w:t>
      </w:r>
      <w:r w:rsidR="000E4F72">
        <w:rPr>
          <w:color w:val="000000"/>
        </w:rPr>
        <w:t xml:space="preserve">gross national income </w:t>
      </w:r>
      <w:r w:rsidR="00ED0DDA" w:rsidRPr="00A722FA">
        <w:rPr>
          <w:color w:val="000000"/>
        </w:rPr>
        <w:t>of $1,170 in 2015</w:t>
      </w:r>
      <w:r w:rsidR="000E4F72">
        <w:rPr>
          <w:color w:val="000000"/>
        </w:rPr>
        <w:t>.</w:t>
      </w:r>
      <w:r w:rsidR="00F571AC">
        <w:rPr>
          <w:rStyle w:val="FootnoteReference"/>
          <w:color w:val="000000"/>
        </w:rPr>
        <w:footnoteReference w:id="2"/>
      </w:r>
      <w:r w:rsidR="00ED0DDA" w:rsidRPr="00A722FA">
        <w:rPr>
          <w:color w:val="000000"/>
        </w:rPr>
        <w:t xml:space="preserve"> </w:t>
      </w:r>
      <w:r w:rsidR="000E4F72">
        <w:rPr>
          <w:color w:val="000000"/>
        </w:rPr>
        <w:t>Its</w:t>
      </w:r>
      <w:r w:rsidR="00ED0DDA" w:rsidRPr="00A722FA">
        <w:rPr>
          <w:color w:val="000000"/>
        </w:rPr>
        <w:t xml:space="preserve"> 0.655</w:t>
      </w:r>
      <w:r w:rsidR="00792F0E">
        <w:rPr>
          <w:color w:val="000000"/>
        </w:rPr>
        <w:t xml:space="preserve"> </w:t>
      </w:r>
      <w:r w:rsidR="000E4F72">
        <w:rPr>
          <w:color w:val="000000"/>
        </w:rPr>
        <w:t>human development index</w:t>
      </w:r>
      <w:r w:rsidR="00F571AC">
        <w:rPr>
          <w:rStyle w:val="FootnoteReference"/>
          <w:color w:val="000000"/>
        </w:rPr>
        <w:footnoteReference w:id="3"/>
      </w:r>
      <w:r w:rsidR="00ED0DDA" w:rsidRPr="00A722FA">
        <w:rPr>
          <w:color w:val="000000"/>
        </w:rPr>
        <w:t xml:space="preserve"> rank</w:t>
      </w:r>
      <w:r w:rsidR="000E4F72">
        <w:rPr>
          <w:color w:val="000000"/>
        </w:rPr>
        <w:t>ing classifies it</w:t>
      </w:r>
      <w:r w:rsidR="00ED0DDA" w:rsidRPr="00A722FA">
        <w:rPr>
          <w:color w:val="000000"/>
        </w:rPr>
        <w:t xml:space="preserve"> as a medium human development c</w:t>
      </w:r>
      <w:r w:rsidR="000A67E1">
        <w:rPr>
          <w:color w:val="000000"/>
        </w:rPr>
        <w:t>ountry</w:t>
      </w:r>
      <w:r w:rsidR="00967556">
        <w:rPr>
          <w:color w:val="000000"/>
        </w:rPr>
        <w:t>.</w:t>
      </w:r>
    </w:p>
    <w:p w14:paraId="5F472C9A" w14:textId="0E238B97" w:rsidR="00184FDF" w:rsidRDefault="00E01369" w:rsidP="007868EE">
      <w:pPr>
        <w:pStyle w:val="ListParagraph"/>
        <w:numPr>
          <w:ilvl w:val="0"/>
          <w:numId w:val="2"/>
        </w:numPr>
        <w:spacing w:before="120" w:after="120"/>
        <w:ind w:left="360" w:right="90" w:firstLine="0"/>
        <w:jc w:val="both"/>
        <w:rPr>
          <w:color w:val="000000"/>
        </w:rPr>
      </w:pPr>
      <w:r w:rsidRPr="00DC081B">
        <w:t>Since</w:t>
      </w:r>
      <w:r w:rsidR="00B1089D">
        <w:t xml:space="preserve"> </w:t>
      </w:r>
      <w:r w:rsidRPr="00DC081B">
        <w:t xml:space="preserve">independence in 1991, </w:t>
      </w:r>
      <w:r w:rsidR="005A76D9">
        <w:t xml:space="preserve">Kyrgyzstan </w:t>
      </w:r>
      <w:r w:rsidRPr="00DC081B">
        <w:t xml:space="preserve">has undergone </w:t>
      </w:r>
      <w:r w:rsidRPr="0024500F">
        <w:rPr>
          <w:color w:val="000000"/>
        </w:rPr>
        <w:t>complex social,</w:t>
      </w:r>
      <w:r w:rsidR="000A67E1">
        <w:rPr>
          <w:color w:val="000000"/>
        </w:rPr>
        <w:t xml:space="preserve"> economic,</w:t>
      </w:r>
      <w:r w:rsidRPr="0024500F">
        <w:rPr>
          <w:color w:val="000000"/>
        </w:rPr>
        <w:t xml:space="preserve"> </w:t>
      </w:r>
      <w:r w:rsidR="009731CC">
        <w:rPr>
          <w:color w:val="000000"/>
        </w:rPr>
        <w:t xml:space="preserve">and </w:t>
      </w:r>
      <w:r w:rsidRPr="0024500F">
        <w:rPr>
          <w:color w:val="000000"/>
        </w:rPr>
        <w:t>political changes, including two uprisings</w:t>
      </w:r>
      <w:r w:rsidR="000E4F72">
        <w:rPr>
          <w:color w:val="000000"/>
        </w:rPr>
        <w:t>,</w:t>
      </w:r>
      <w:r w:rsidRPr="0024500F">
        <w:rPr>
          <w:color w:val="000000"/>
        </w:rPr>
        <w:t xml:space="preserve"> in 2005 and 2010</w:t>
      </w:r>
      <w:r w:rsidR="000E4F72">
        <w:rPr>
          <w:color w:val="000000"/>
        </w:rPr>
        <w:t>,</w:t>
      </w:r>
      <w:r w:rsidRPr="0024500F">
        <w:rPr>
          <w:color w:val="000000"/>
        </w:rPr>
        <w:t xml:space="preserve"> which overthr</w:t>
      </w:r>
      <w:r w:rsidR="000E4F72">
        <w:rPr>
          <w:color w:val="000000"/>
        </w:rPr>
        <w:t>ew</w:t>
      </w:r>
      <w:r w:rsidRPr="0024500F">
        <w:rPr>
          <w:color w:val="000000"/>
        </w:rPr>
        <w:t xml:space="preserve"> authoritarian regimes. </w:t>
      </w:r>
      <w:r w:rsidR="00611401">
        <w:rPr>
          <w:color w:val="000000"/>
        </w:rPr>
        <w:t xml:space="preserve">The new </w:t>
      </w:r>
      <w:r w:rsidR="00A44AF5">
        <w:rPr>
          <w:color w:val="000000"/>
        </w:rPr>
        <w:t>c</w:t>
      </w:r>
      <w:r w:rsidR="00611401">
        <w:rPr>
          <w:color w:val="000000"/>
        </w:rPr>
        <w:t>onstitution adopted i</w:t>
      </w:r>
      <w:r w:rsidR="007C4258">
        <w:rPr>
          <w:color w:val="000000"/>
        </w:rPr>
        <w:t>n</w:t>
      </w:r>
      <w:r w:rsidRPr="0024500F">
        <w:rPr>
          <w:color w:val="000000"/>
        </w:rPr>
        <w:t xml:space="preserve"> June 2010 establish</w:t>
      </w:r>
      <w:r w:rsidR="00611401">
        <w:rPr>
          <w:color w:val="000000"/>
        </w:rPr>
        <w:t>ed</w:t>
      </w:r>
      <w:r w:rsidRPr="0024500F">
        <w:rPr>
          <w:color w:val="000000"/>
        </w:rPr>
        <w:t xml:space="preserve"> </w:t>
      </w:r>
      <w:r w:rsidR="00B70C45">
        <w:t>Kyrgyzstan</w:t>
      </w:r>
      <w:r w:rsidR="00B70C45" w:rsidRPr="0024500F" w:rsidDel="00B70C45">
        <w:rPr>
          <w:color w:val="000000"/>
        </w:rPr>
        <w:t xml:space="preserve"> </w:t>
      </w:r>
      <w:r w:rsidRPr="0024500F">
        <w:rPr>
          <w:color w:val="000000"/>
        </w:rPr>
        <w:t xml:space="preserve">as </w:t>
      </w:r>
      <w:r w:rsidR="00611401">
        <w:rPr>
          <w:color w:val="000000"/>
        </w:rPr>
        <w:t xml:space="preserve">a </w:t>
      </w:r>
      <w:r w:rsidRPr="0024500F">
        <w:rPr>
          <w:color w:val="000000"/>
        </w:rPr>
        <w:t xml:space="preserve">parliamentary democracy. </w:t>
      </w:r>
      <w:r w:rsidR="00D334EE">
        <w:rPr>
          <w:rFonts w:cs="Calibri"/>
        </w:rPr>
        <w:t>P</w:t>
      </w:r>
      <w:r w:rsidR="00D334EE" w:rsidRPr="00184FDF">
        <w:rPr>
          <w:rFonts w:cs="Calibri"/>
        </w:rPr>
        <w:t>arliamentary elections in 2011 and 2015</w:t>
      </w:r>
      <w:r w:rsidR="00A44AF5">
        <w:rPr>
          <w:rFonts w:cs="Calibri"/>
        </w:rPr>
        <w:t xml:space="preserve"> – </w:t>
      </w:r>
      <w:r w:rsidR="00D334EE" w:rsidRPr="0024500F">
        <w:rPr>
          <w:color w:val="000000"/>
        </w:rPr>
        <w:t>largely recognized as free and fair</w:t>
      </w:r>
      <w:r w:rsidR="00D334EE">
        <w:rPr>
          <w:rStyle w:val="FootnoteReference"/>
          <w:color w:val="000000"/>
        </w:rPr>
        <w:footnoteReference w:id="4"/>
      </w:r>
      <w:r w:rsidR="00D334EE" w:rsidRPr="00184FDF">
        <w:rPr>
          <w:rFonts w:cs="Calibri"/>
        </w:rPr>
        <w:t xml:space="preserve"> </w:t>
      </w:r>
      <w:r w:rsidR="00A44AF5">
        <w:rPr>
          <w:rFonts w:cs="Calibri"/>
        </w:rPr>
        <w:t xml:space="preserve">– </w:t>
      </w:r>
      <w:r w:rsidR="00D334EE" w:rsidRPr="00184FDF">
        <w:rPr>
          <w:rFonts w:cs="Calibri"/>
        </w:rPr>
        <w:t>have created a more responsive parliamentary system</w:t>
      </w:r>
      <w:r w:rsidR="00A44AF5">
        <w:rPr>
          <w:rFonts w:cs="Calibri"/>
        </w:rPr>
        <w:t>,</w:t>
      </w:r>
      <w:r w:rsidR="00D334EE" w:rsidRPr="00184FDF">
        <w:rPr>
          <w:rFonts w:cs="Calibri"/>
        </w:rPr>
        <w:t xml:space="preserve"> building the foundation </w:t>
      </w:r>
      <w:r w:rsidR="003737CD" w:rsidRPr="00184FDF">
        <w:rPr>
          <w:rFonts w:cs="Calibri"/>
        </w:rPr>
        <w:t>for improved</w:t>
      </w:r>
      <w:r w:rsidR="00D334EE" w:rsidRPr="00184FDF">
        <w:rPr>
          <w:rFonts w:cs="Calibri"/>
        </w:rPr>
        <w:t xml:space="preserve"> governance and application of </w:t>
      </w:r>
      <w:r w:rsidR="00435EEE">
        <w:rPr>
          <w:rFonts w:cs="Calibri"/>
        </w:rPr>
        <w:t xml:space="preserve">the </w:t>
      </w:r>
      <w:r w:rsidR="00D334EE" w:rsidRPr="00184FDF">
        <w:rPr>
          <w:rFonts w:cs="Calibri"/>
        </w:rPr>
        <w:t>rule of law</w:t>
      </w:r>
      <w:r w:rsidR="00D334EE">
        <w:rPr>
          <w:rFonts w:cs="Calibri"/>
        </w:rPr>
        <w:t>,</w:t>
      </w:r>
      <w:r w:rsidR="00D334EE" w:rsidRPr="00184FDF">
        <w:rPr>
          <w:rFonts w:cs="Calibri"/>
        </w:rPr>
        <w:t xml:space="preserve"> gender equality</w:t>
      </w:r>
      <w:r w:rsidR="00BC371A">
        <w:rPr>
          <w:rFonts w:cs="Calibri"/>
        </w:rPr>
        <w:t>,</w:t>
      </w:r>
      <w:r w:rsidR="00D334EE">
        <w:rPr>
          <w:rStyle w:val="FootnoteReference"/>
        </w:rPr>
        <w:footnoteReference w:id="5"/>
      </w:r>
      <w:r w:rsidR="00D334EE" w:rsidRPr="00184FDF">
        <w:rPr>
          <w:rFonts w:cs="Calibri"/>
        </w:rPr>
        <w:t xml:space="preserve"> and human rights.</w:t>
      </w:r>
      <w:r w:rsidR="00D334EE">
        <w:rPr>
          <w:rFonts w:cs="Calibri"/>
        </w:rPr>
        <w:t xml:space="preserve"> </w:t>
      </w:r>
      <w:r w:rsidR="00DB0D0C" w:rsidRPr="0024500F">
        <w:rPr>
          <w:rFonts w:cs="Calibri"/>
        </w:rPr>
        <w:t xml:space="preserve"> </w:t>
      </w:r>
      <w:r w:rsidR="00225F01" w:rsidRPr="0024500F">
        <w:rPr>
          <w:rFonts w:cs="Arial"/>
        </w:rPr>
        <w:t xml:space="preserve">Since 2014, </w:t>
      </w:r>
      <w:r w:rsidR="005A76D9">
        <w:rPr>
          <w:rFonts w:cs="Arial"/>
        </w:rPr>
        <w:t xml:space="preserve">Kyrgyzstan </w:t>
      </w:r>
      <w:r w:rsidR="00A44AF5">
        <w:rPr>
          <w:rFonts w:cs="Arial"/>
        </w:rPr>
        <w:t>has been</w:t>
      </w:r>
      <w:r w:rsidR="00225F01" w:rsidRPr="0024500F">
        <w:rPr>
          <w:rFonts w:cs="Arial"/>
        </w:rPr>
        <w:t xml:space="preserve"> a lower-middle</w:t>
      </w:r>
      <w:r w:rsidR="000D329C">
        <w:rPr>
          <w:rFonts w:cs="Arial"/>
        </w:rPr>
        <w:t>-</w:t>
      </w:r>
      <w:r w:rsidR="00225F01" w:rsidRPr="0024500F">
        <w:rPr>
          <w:rFonts w:cs="Arial"/>
        </w:rPr>
        <w:t xml:space="preserve">income country with average annual </w:t>
      </w:r>
      <w:r w:rsidR="00A44AF5">
        <w:rPr>
          <w:rFonts w:cs="Arial"/>
        </w:rPr>
        <w:t>domestic product</w:t>
      </w:r>
      <w:r w:rsidR="00A44AF5" w:rsidRPr="0024500F">
        <w:rPr>
          <w:rFonts w:cs="Arial"/>
        </w:rPr>
        <w:t xml:space="preserve"> </w:t>
      </w:r>
      <w:r w:rsidR="00225F01" w:rsidRPr="0024500F">
        <w:rPr>
          <w:rFonts w:cs="Arial"/>
        </w:rPr>
        <w:t>growth of 4.8 per</w:t>
      </w:r>
      <w:r w:rsidR="00A44AF5">
        <w:rPr>
          <w:rFonts w:cs="Arial"/>
        </w:rPr>
        <w:t xml:space="preserve"> </w:t>
      </w:r>
      <w:r w:rsidR="00225F01" w:rsidRPr="0024500F">
        <w:rPr>
          <w:rFonts w:cs="Arial"/>
        </w:rPr>
        <w:t>cent</w:t>
      </w:r>
      <w:r w:rsidR="00812206">
        <w:rPr>
          <w:rFonts w:cs="Arial"/>
        </w:rPr>
        <w:t>.</w:t>
      </w:r>
      <w:r w:rsidR="007C4258">
        <w:rPr>
          <w:rStyle w:val="FootnoteReference"/>
        </w:rPr>
        <w:footnoteReference w:id="6"/>
      </w:r>
      <w:r w:rsidR="00225F01" w:rsidRPr="0024500F">
        <w:rPr>
          <w:rFonts w:cs="Arial"/>
        </w:rPr>
        <w:t xml:space="preserve"> </w:t>
      </w:r>
      <w:r w:rsidR="00A211CE">
        <w:rPr>
          <w:rFonts w:cs="Arial"/>
        </w:rPr>
        <w:t xml:space="preserve">Extreme </w:t>
      </w:r>
      <w:r w:rsidR="00A211CE">
        <w:rPr>
          <w:color w:val="000000"/>
        </w:rPr>
        <w:t>p</w:t>
      </w:r>
      <w:r w:rsidR="00225F01" w:rsidRPr="0024500F">
        <w:rPr>
          <w:color w:val="000000"/>
        </w:rPr>
        <w:t xml:space="preserve">overty decreased from 5.3 </w:t>
      </w:r>
      <w:r w:rsidR="00A44AF5">
        <w:rPr>
          <w:color w:val="000000"/>
        </w:rPr>
        <w:t>per cent</w:t>
      </w:r>
      <w:r w:rsidR="00225F01" w:rsidRPr="0024500F">
        <w:rPr>
          <w:color w:val="000000"/>
        </w:rPr>
        <w:t xml:space="preserve"> in 2010 to 1.2 </w:t>
      </w:r>
      <w:r w:rsidR="00A44AF5">
        <w:rPr>
          <w:color w:val="000000"/>
        </w:rPr>
        <w:t>per cent</w:t>
      </w:r>
      <w:r w:rsidR="00225F01" w:rsidRPr="0024500F">
        <w:rPr>
          <w:color w:val="000000"/>
        </w:rPr>
        <w:t xml:space="preserve"> in 2015</w:t>
      </w:r>
      <w:r w:rsidR="00812206">
        <w:rPr>
          <w:color w:val="000000"/>
        </w:rPr>
        <w:t>.</w:t>
      </w:r>
      <w:r w:rsidR="007C4258">
        <w:rPr>
          <w:rStyle w:val="FootnoteReference"/>
          <w:color w:val="000000"/>
        </w:rPr>
        <w:footnoteReference w:id="7"/>
      </w:r>
      <w:r w:rsidR="00225F01" w:rsidRPr="0024500F">
        <w:rPr>
          <w:color w:val="000000"/>
        </w:rPr>
        <w:t xml:space="preserve"> </w:t>
      </w:r>
      <w:r w:rsidR="00C14938">
        <w:rPr>
          <w:rFonts w:cs="Calibri"/>
        </w:rPr>
        <w:t>Government peace</w:t>
      </w:r>
      <w:r w:rsidR="00400631" w:rsidRPr="00184FDF">
        <w:rPr>
          <w:rFonts w:cs="Calibri"/>
        </w:rPr>
        <w:t>building efforts</w:t>
      </w:r>
      <w:r w:rsidR="00400631">
        <w:rPr>
          <w:rStyle w:val="FootnoteReference"/>
        </w:rPr>
        <w:footnoteReference w:id="8"/>
      </w:r>
      <w:r w:rsidR="00400631" w:rsidRPr="00184FDF">
        <w:rPr>
          <w:rFonts w:cs="Calibri"/>
        </w:rPr>
        <w:t xml:space="preserve"> over the past five years </w:t>
      </w:r>
      <w:r w:rsidR="00BC371A">
        <w:rPr>
          <w:rFonts w:cs="Calibri"/>
        </w:rPr>
        <w:t>led to</w:t>
      </w:r>
      <w:r w:rsidR="00400631" w:rsidRPr="00184FDF">
        <w:rPr>
          <w:rFonts w:cs="Calibri"/>
        </w:rPr>
        <w:t xml:space="preserve"> increased stability and trust of </w:t>
      </w:r>
      <w:r w:rsidR="009E595F">
        <w:rPr>
          <w:rFonts w:cs="Calibri"/>
        </w:rPr>
        <w:t xml:space="preserve">the </w:t>
      </w:r>
      <w:r w:rsidR="00400631" w:rsidRPr="00184FDF">
        <w:rPr>
          <w:rFonts w:cs="Calibri"/>
        </w:rPr>
        <w:t>population in institutions</w:t>
      </w:r>
      <w:r w:rsidR="00BC371A">
        <w:rPr>
          <w:rFonts w:cs="Calibri"/>
        </w:rPr>
        <w:t>,</w:t>
      </w:r>
      <w:r w:rsidR="00400631" w:rsidRPr="00184FDF">
        <w:rPr>
          <w:rFonts w:cs="Calibri"/>
        </w:rPr>
        <w:t xml:space="preserve"> and reduced conflicts. </w:t>
      </w:r>
      <w:r w:rsidR="00400631" w:rsidRPr="000D7468">
        <w:t xml:space="preserve">The civil society sector in </w:t>
      </w:r>
      <w:r w:rsidR="005A76D9">
        <w:t xml:space="preserve">Kyrgyzstan </w:t>
      </w:r>
      <w:r w:rsidR="00400631" w:rsidRPr="000D7468">
        <w:t>is one of the strongest in Central Asia</w:t>
      </w:r>
      <w:r w:rsidR="00BC371A">
        <w:t>,</w:t>
      </w:r>
      <w:r w:rsidR="00400631" w:rsidRPr="000D7468">
        <w:rPr>
          <w:rStyle w:val="FootnoteReference"/>
        </w:rPr>
        <w:footnoteReference w:id="9"/>
      </w:r>
      <w:r w:rsidR="00400631" w:rsidRPr="000D7468">
        <w:t xml:space="preserve"> engag</w:t>
      </w:r>
      <w:r w:rsidR="00BC371A">
        <w:t>ing</w:t>
      </w:r>
      <w:r w:rsidR="00400631" w:rsidRPr="000D7468">
        <w:t xml:space="preserve"> with the </w:t>
      </w:r>
      <w:r w:rsidR="00BC371A">
        <w:t>G</w:t>
      </w:r>
      <w:r w:rsidR="00400631" w:rsidRPr="000D7468">
        <w:t>overnment through numerous consultative public councils.</w:t>
      </w:r>
      <w:r w:rsidR="007A7156">
        <w:t xml:space="preserve"> </w:t>
      </w:r>
      <w:r w:rsidR="00225F01" w:rsidRPr="0024500F">
        <w:rPr>
          <w:color w:val="000000"/>
        </w:rPr>
        <w:t xml:space="preserve">Despite these notable results, </w:t>
      </w:r>
      <w:r w:rsidR="005A76D9">
        <w:rPr>
          <w:color w:val="000000"/>
        </w:rPr>
        <w:t>Kyrgyzstan</w:t>
      </w:r>
      <w:r w:rsidR="00225F01" w:rsidRPr="0024500F">
        <w:rPr>
          <w:color w:val="000000"/>
        </w:rPr>
        <w:t xml:space="preserve"> faces a number of challenges</w:t>
      </w:r>
      <w:r w:rsidR="00822B56">
        <w:rPr>
          <w:color w:val="000000"/>
        </w:rPr>
        <w:t xml:space="preserve">. </w:t>
      </w:r>
    </w:p>
    <w:p w14:paraId="4886F326" w14:textId="55378087" w:rsidR="006C3389" w:rsidRPr="00184FDF" w:rsidRDefault="009E28B9" w:rsidP="007868EE">
      <w:pPr>
        <w:pStyle w:val="ListParagraph"/>
        <w:numPr>
          <w:ilvl w:val="0"/>
          <w:numId w:val="2"/>
        </w:numPr>
        <w:spacing w:before="120" w:after="120"/>
        <w:ind w:left="360" w:right="90" w:firstLine="0"/>
        <w:jc w:val="both"/>
        <w:rPr>
          <w:color w:val="000000"/>
        </w:rPr>
      </w:pPr>
      <w:r>
        <w:rPr>
          <w:rFonts w:cs="Calibri"/>
        </w:rPr>
        <w:t>P</w:t>
      </w:r>
      <w:r w:rsidR="00225F01" w:rsidRPr="00184FDF">
        <w:rPr>
          <w:rFonts w:cs="Calibri"/>
        </w:rPr>
        <w:t>ublic sector effectiveness, efficiency, accountability and transparency of institutions and processes</w:t>
      </w:r>
      <w:r w:rsidR="00992741" w:rsidRPr="00184FDF">
        <w:rPr>
          <w:rFonts w:cs="Calibri"/>
        </w:rPr>
        <w:t xml:space="preserve">, </w:t>
      </w:r>
      <w:r w:rsidR="00741AC5">
        <w:rPr>
          <w:rFonts w:cs="Calibri"/>
        </w:rPr>
        <w:t>undermined</w:t>
      </w:r>
      <w:r w:rsidR="00741AC5" w:rsidRPr="00184FDF">
        <w:rPr>
          <w:rFonts w:cs="Calibri"/>
        </w:rPr>
        <w:t xml:space="preserve"> </w:t>
      </w:r>
      <w:r w:rsidR="00992741" w:rsidRPr="00184FDF">
        <w:rPr>
          <w:rFonts w:cs="Calibri"/>
        </w:rPr>
        <w:t>by weak oversight by the parliament and society</w:t>
      </w:r>
      <w:r w:rsidR="001B263D" w:rsidRPr="00184FDF">
        <w:rPr>
          <w:rFonts w:cs="Calibri"/>
        </w:rPr>
        <w:t xml:space="preserve"> </w:t>
      </w:r>
      <w:r w:rsidR="00992741" w:rsidRPr="00184FDF">
        <w:rPr>
          <w:rFonts w:cs="Calibri"/>
        </w:rPr>
        <w:t>and limited capacity for transparent</w:t>
      </w:r>
      <w:r w:rsidR="00C67817">
        <w:rPr>
          <w:rFonts w:cs="Calibri"/>
        </w:rPr>
        <w:t>,</w:t>
      </w:r>
      <w:r w:rsidR="00992741" w:rsidRPr="00184FDF">
        <w:rPr>
          <w:rFonts w:cs="Calibri"/>
        </w:rPr>
        <w:t xml:space="preserve"> inclusive policy implementation and service delivery</w:t>
      </w:r>
      <w:r w:rsidR="00592259">
        <w:rPr>
          <w:rFonts w:cs="Calibri"/>
        </w:rPr>
        <w:t>,</w:t>
      </w:r>
      <w:r w:rsidR="000949D6">
        <w:rPr>
          <w:rStyle w:val="FootnoteReference"/>
        </w:rPr>
        <w:footnoteReference w:id="10"/>
      </w:r>
      <w:r w:rsidR="00992741" w:rsidRPr="00184FDF">
        <w:rPr>
          <w:rFonts w:cs="Calibri"/>
        </w:rPr>
        <w:t xml:space="preserve"> </w:t>
      </w:r>
      <w:r w:rsidR="00225F01" w:rsidRPr="00184FDF">
        <w:rPr>
          <w:rFonts w:cs="Calibri"/>
        </w:rPr>
        <w:t>remain key areas for improvement</w:t>
      </w:r>
      <w:r w:rsidR="00AA3293">
        <w:rPr>
          <w:rFonts w:cs="Calibri"/>
        </w:rPr>
        <w:t>.</w:t>
      </w:r>
      <w:r w:rsidR="00664FAF">
        <w:rPr>
          <w:rStyle w:val="FootnoteReference"/>
        </w:rPr>
        <w:footnoteReference w:id="11"/>
      </w:r>
      <w:r w:rsidR="00225F01" w:rsidRPr="00184FDF">
        <w:rPr>
          <w:rFonts w:cs="Calibri"/>
        </w:rPr>
        <w:t xml:space="preserve"> </w:t>
      </w:r>
      <w:r w:rsidR="00C67817">
        <w:rPr>
          <w:rFonts w:cs="Calibri"/>
        </w:rPr>
        <w:t>J</w:t>
      </w:r>
      <w:r w:rsidR="00C67817" w:rsidRPr="00184FDF">
        <w:rPr>
          <w:rFonts w:cs="Calibri"/>
        </w:rPr>
        <w:t>udicial and human rights institutions</w:t>
      </w:r>
      <w:r w:rsidR="00C67817">
        <w:rPr>
          <w:rStyle w:val="FootnoteReference"/>
        </w:rPr>
        <w:footnoteReference w:id="12"/>
      </w:r>
      <w:r w:rsidR="00741AC5">
        <w:rPr>
          <w:rFonts w:cs="Calibri"/>
        </w:rPr>
        <w:t xml:space="preserve"> </w:t>
      </w:r>
      <w:r w:rsidR="00C67817">
        <w:rPr>
          <w:rFonts w:cs="Calibri"/>
        </w:rPr>
        <w:t>must be strengthened</w:t>
      </w:r>
      <w:r w:rsidR="0052690A">
        <w:rPr>
          <w:rFonts w:cs="Calibri"/>
        </w:rPr>
        <w:t xml:space="preserve"> </w:t>
      </w:r>
      <w:r w:rsidR="006E678B" w:rsidRPr="00184FDF">
        <w:rPr>
          <w:rFonts w:cs="Calibri"/>
        </w:rPr>
        <w:t>to ensure access to justice for all and implementation of the laws</w:t>
      </w:r>
      <w:r w:rsidR="00C67817">
        <w:rPr>
          <w:rFonts w:cs="Calibri"/>
        </w:rPr>
        <w:t>.</w:t>
      </w:r>
      <w:r w:rsidR="006E678B" w:rsidRPr="00184FDF">
        <w:rPr>
          <w:rFonts w:cs="Calibri"/>
        </w:rPr>
        <w:t xml:space="preserve"> </w:t>
      </w:r>
      <w:r w:rsidR="00CE4F98" w:rsidRPr="00184FDF">
        <w:rPr>
          <w:rFonts w:cs="Calibri"/>
        </w:rPr>
        <w:t>C</w:t>
      </w:r>
      <w:r w:rsidR="0048064F" w:rsidRPr="00184FDF">
        <w:rPr>
          <w:rFonts w:cs="Calibri"/>
        </w:rPr>
        <w:t>ross-border tensions</w:t>
      </w:r>
      <w:r w:rsidR="00741AC5">
        <w:rPr>
          <w:rFonts w:cs="Calibri"/>
        </w:rPr>
        <w:t xml:space="preserve"> – </w:t>
      </w:r>
      <w:r w:rsidR="002914A9" w:rsidRPr="00184FDF">
        <w:rPr>
          <w:rFonts w:cs="Calibri"/>
        </w:rPr>
        <w:t xml:space="preserve">triggered </w:t>
      </w:r>
      <w:r w:rsidR="003B5F57" w:rsidRPr="00184FDF">
        <w:rPr>
          <w:rFonts w:cs="Calibri"/>
        </w:rPr>
        <w:t xml:space="preserve">among other factors </w:t>
      </w:r>
      <w:r w:rsidR="002914A9" w:rsidRPr="00184FDF">
        <w:rPr>
          <w:rFonts w:cs="Calibri"/>
        </w:rPr>
        <w:t>by disputes over</w:t>
      </w:r>
      <w:r w:rsidR="00DA52F3" w:rsidRPr="00184FDF">
        <w:rPr>
          <w:rFonts w:cs="Calibri"/>
        </w:rPr>
        <w:t xml:space="preserve"> natural resources</w:t>
      </w:r>
      <w:r w:rsidR="00CE4F98" w:rsidRPr="00184FDF">
        <w:rPr>
          <w:rFonts w:cs="Calibri"/>
        </w:rPr>
        <w:t>,</w:t>
      </w:r>
      <w:r w:rsidR="00DA52F3" w:rsidRPr="00184FDF">
        <w:rPr>
          <w:rFonts w:cs="Calibri"/>
        </w:rPr>
        <w:t xml:space="preserve"> </w:t>
      </w:r>
      <w:r w:rsidR="003B5F57" w:rsidRPr="00184FDF">
        <w:rPr>
          <w:rFonts w:cs="Calibri"/>
        </w:rPr>
        <w:t>unsettled borders</w:t>
      </w:r>
      <w:r w:rsidR="00CE4F98" w:rsidRPr="00184FDF">
        <w:rPr>
          <w:rFonts w:cs="Calibri"/>
        </w:rPr>
        <w:t xml:space="preserve"> and</w:t>
      </w:r>
      <w:r w:rsidR="0048064F" w:rsidRPr="00184FDF">
        <w:rPr>
          <w:rFonts w:cs="Calibri"/>
        </w:rPr>
        <w:t xml:space="preserve"> </w:t>
      </w:r>
      <w:r w:rsidR="00CE4F98" w:rsidRPr="00184FDF">
        <w:rPr>
          <w:rFonts w:cs="Calibri"/>
        </w:rPr>
        <w:t xml:space="preserve">insufficient </w:t>
      </w:r>
      <w:r w:rsidR="00A5291C">
        <w:rPr>
          <w:rFonts w:cs="Calibri"/>
        </w:rPr>
        <w:t xml:space="preserve">risk-coping </w:t>
      </w:r>
      <w:r w:rsidR="00CE4F98" w:rsidRPr="00184FDF">
        <w:rPr>
          <w:rFonts w:cs="Calibri"/>
        </w:rPr>
        <w:t>mechanisms</w:t>
      </w:r>
      <w:r w:rsidR="00CE4F98">
        <w:rPr>
          <w:rStyle w:val="FootnoteReference"/>
        </w:rPr>
        <w:footnoteReference w:id="13"/>
      </w:r>
      <w:r w:rsidR="00CE4F98" w:rsidRPr="00184FDF">
        <w:rPr>
          <w:rFonts w:cs="Calibri"/>
        </w:rPr>
        <w:t xml:space="preserve"> still periodically intensify</w:t>
      </w:r>
      <w:r w:rsidR="00C67817">
        <w:rPr>
          <w:rFonts w:cs="Calibri"/>
        </w:rPr>
        <w:t>,</w:t>
      </w:r>
      <w:r w:rsidR="00CE4F98" w:rsidRPr="00184FDF">
        <w:rPr>
          <w:rFonts w:cs="Calibri"/>
        </w:rPr>
        <w:t xml:space="preserve"> undermining stability</w:t>
      </w:r>
      <w:r w:rsidR="00C67817">
        <w:rPr>
          <w:rFonts w:cs="Calibri"/>
        </w:rPr>
        <w:t xml:space="preserve"> in the region</w:t>
      </w:r>
      <w:r w:rsidR="0048064F" w:rsidRPr="00184FDF">
        <w:rPr>
          <w:rFonts w:cs="Calibri"/>
        </w:rPr>
        <w:t xml:space="preserve">. </w:t>
      </w:r>
      <w:r w:rsidR="00C67817">
        <w:rPr>
          <w:rFonts w:cs="Calibri"/>
        </w:rPr>
        <w:t xml:space="preserve">Rising </w:t>
      </w:r>
      <w:r w:rsidR="00822B56" w:rsidRPr="00D40E77">
        <w:t>violent extremism threaten</w:t>
      </w:r>
      <w:r w:rsidR="00C67817">
        <w:t>s</w:t>
      </w:r>
      <w:r w:rsidR="00822B56" w:rsidRPr="00D40E77">
        <w:t xml:space="preserve"> the development gains made </w:t>
      </w:r>
      <w:r w:rsidR="007A6F38">
        <w:t xml:space="preserve">by </w:t>
      </w:r>
      <w:r w:rsidR="005A76D9">
        <w:rPr>
          <w:color w:val="000000"/>
        </w:rPr>
        <w:t>Kyrgyzstan</w:t>
      </w:r>
      <w:r w:rsidR="007A6F38">
        <w:rPr>
          <w:rStyle w:val="FootnoteReference"/>
        </w:rPr>
        <w:footnoteReference w:id="14"/>
      </w:r>
      <w:r w:rsidR="007A6F38">
        <w:t xml:space="preserve"> and the entire Central Asia region </w:t>
      </w:r>
      <w:r w:rsidR="00822B56" w:rsidRPr="00D40E77">
        <w:t>over the past twenty years</w:t>
      </w:r>
      <w:r w:rsidR="00C67817">
        <w:t>,</w:t>
      </w:r>
      <w:r w:rsidR="007A6F38">
        <w:t xml:space="preserve"> requiring a regional response</w:t>
      </w:r>
      <w:r w:rsidR="00822B56" w:rsidRPr="00D40E77">
        <w:t xml:space="preserve">. </w:t>
      </w:r>
      <w:r w:rsidR="00822B56" w:rsidRPr="00184FDF">
        <w:rPr>
          <w:rFonts w:eastAsia="MS Mincho"/>
          <w:color w:val="231F20"/>
        </w:rPr>
        <w:t xml:space="preserve">The main drivers of violent extremism </w:t>
      </w:r>
      <w:r w:rsidR="00741AC5">
        <w:rPr>
          <w:rFonts w:eastAsia="MS Mincho"/>
          <w:color w:val="231F20"/>
        </w:rPr>
        <w:t>ar</w:t>
      </w:r>
      <w:r w:rsidR="00741AC5" w:rsidRPr="00184FDF">
        <w:rPr>
          <w:rFonts w:eastAsia="MS Mincho"/>
          <w:color w:val="231F20"/>
        </w:rPr>
        <w:t xml:space="preserve">e </w:t>
      </w:r>
      <w:r w:rsidR="00822B56" w:rsidRPr="00184FDF">
        <w:rPr>
          <w:rFonts w:eastAsia="MS Mincho"/>
          <w:color w:val="231F20"/>
        </w:rPr>
        <w:t>growing inequalities, weak rule of law, perceptions of injustice</w:t>
      </w:r>
      <w:r w:rsidR="001B263D" w:rsidRPr="00184FDF">
        <w:rPr>
          <w:rFonts w:eastAsia="MS Mincho"/>
          <w:color w:val="231F20"/>
        </w:rPr>
        <w:t xml:space="preserve"> and</w:t>
      </w:r>
      <w:r w:rsidR="00822B56" w:rsidRPr="00184FDF">
        <w:rPr>
          <w:rFonts w:eastAsia="MS Mincho"/>
          <w:color w:val="231F20"/>
        </w:rPr>
        <w:t xml:space="preserve"> exclusion, corruption</w:t>
      </w:r>
      <w:r w:rsidR="00682259">
        <w:rPr>
          <w:rFonts w:eastAsia="MS Mincho"/>
          <w:color w:val="231F20"/>
        </w:rPr>
        <w:t>,</w:t>
      </w:r>
      <w:r w:rsidR="00822B56" w:rsidRPr="00184FDF">
        <w:rPr>
          <w:rFonts w:eastAsia="MS Mincho"/>
          <w:color w:val="231F20"/>
        </w:rPr>
        <w:t xml:space="preserve"> </w:t>
      </w:r>
      <w:r w:rsidR="007E36C1" w:rsidRPr="00184FDF">
        <w:rPr>
          <w:rFonts w:eastAsia="MS Mincho"/>
          <w:color w:val="231F20"/>
        </w:rPr>
        <w:t>and</w:t>
      </w:r>
      <w:r w:rsidR="00822B56" w:rsidRPr="00184FDF">
        <w:rPr>
          <w:rFonts w:eastAsia="MS Mincho"/>
          <w:color w:val="231F20"/>
        </w:rPr>
        <w:t xml:space="preserve"> mistreatment of certain groups</w:t>
      </w:r>
      <w:r w:rsidR="00422D1E">
        <w:rPr>
          <w:rFonts w:eastAsia="MS Mincho"/>
          <w:color w:val="231F20"/>
        </w:rPr>
        <w:t>.</w:t>
      </w:r>
      <w:r w:rsidR="000B7B2E">
        <w:rPr>
          <w:rStyle w:val="FootnoteReference"/>
          <w:rFonts w:eastAsia="MS Mincho"/>
          <w:color w:val="231F20"/>
        </w:rPr>
        <w:footnoteReference w:id="15"/>
      </w:r>
      <w:r w:rsidR="00822B56" w:rsidRPr="00184FDF">
        <w:rPr>
          <w:rFonts w:eastAsia="MS Mincho"/>
          <w:color w:val="231F20"/>
        </w:rPr>
        <w:t xml:space="preserve"> </w:t>
      </w:r>
      <w:r w:rsidR="005F7144">
        <w:rPr>
          <w:rFonts w:cs="Calibri"/>
        </w:rPr>
        <w:t>V</w:t>
      </w:r>
      <w:r w:rsidR="00932738" w:rsidRPr="00184FDF">
        <w:rPr>
          <w:rFonts w:cs="Calibri"/>
        </w:rPr>
        <w:t xml:space="preserve">iolence against women and girls, child marriage, and </w:t>
      </w:r>
      <w:r w:rsidR="00682259">
        <w:rPr>
          <w:rFonts w:cs="Calibri"/>
        </w:rPr>
        <w:t xml:space="preserve">the </w:t>
      </w:r>
      <w:r w:rsidR="00932738" w:rsidRPr="00184FDF">
        <w:rPr>
          <w:rFonts w:cs="Calibri"/>
        </w:rPr>
        <w:t xml:space="preserve">economic and social status of rural women all </w:t>
      </w:r>
      <w:r w:rsidR="00741AC5">
        <w:rPr>
          <w:rFonts w:cs="Calibri"/>
        </w:rPr>
        <w:t>require</w:t>
      </w:r>
      <w:r w:rsidR="00741AC5" w:rsidRPr="00184FDF">
        <w:rPr>
          <w:rFonts w:cs="Calibri"/>
        </w:rPr>
        <w:t xml:space="preserve"> </w:t>
      </w:r>
      <w:r w:rsidR="00682259">
        <w:rPr>
          <w:rFonts w:cs="Calibri"/>
        </w:rPr>
        <w:t xml:space="preserve">government </w:t>
      </w:r>
      <w:r w:rsidR="00932738" w:rsidRPr="00184FDF">
        <w:rPr>
          <w:rFonts w:cs="Calibri"/>
        </w:rPr>
        <w:t xml:space="preserve">action. </w:t>
      </w:r>
      <w:r w:rsidR="004D6DB8" w:rsidRPr="00184FDF">
        <w:rPr>
          <w:rFonts w:cs="Calibri"/>
        </w:rPr>
        <w:t>C</w:t>
      </w:r>
      <w:r w:rsidR="00225F01" w:rsidRPr="00184FDF">
        <w:rPr>
          <w:rFonts w:cs="Calibri"/>
        </w:rPr>
        <w:t xml:space="preserve">itizens’ expectations for more transparent, effective basic services have yet to be met, and </w:t>
      </w:r>
      <w:r w:rsidR="00225F01" w:rsidRPr="00184FDF">
        <w:rPr>
          <w:rFonts w:cs="Calibri"/>
        </w:rPr>
        <w:lastRenderedPageBreak/>
        <w:t xml:space="preserve">polls show that </w:t>
      </w:r>
      <w:r w:rsidR="00682259">
        <w:rPr>
          <w:rFonts w:cs="Calibri"/>
        </w:rPr>
        <w:t xml:space="preserve">citizens perceive </w:t>
      </w:r>
      <w:r w:rsidR="00225F01" w:rsidRPr="00184FDF">
        <w:rPr>
          <w:rFonts w:cs="Calibri"/>
        </w:rPr>
        <w:t>corruption</w:t>
      </w:r>
      <w:r w:rsidR="00AD09D7">
        <w:rPr>
          <w:rFonts w:cs="Calibri"/>
        </w:rPr>
        <w:t>,</w:t>
      </w:r>
      <w:r w:rsidR="00225F01" w:rsidRPr="00184FDF">
        <w:rPr>
          <w:rFonts w:cs="Calibri"/>
        </w:rPr>
        <w:t xml:space="preserve"> accountability, and </w:t>
      </w:r>
      <w:r w:rsidR="00611401" w:rsidRPr="00184FDF">
        <w:rPr>
          <w:rFonts w:cs="Calibri"/>
        </w:rPr>
        <w:t xml:space="preserve">sustainable </w:t>
      </w:r>
      <w:r w:rsidR="00225F01" w:rsidRPr="00184FDF">
        <w:rPr>
          <w:rFonts w:cs="Calibri"/>
        </w:rPr>
        <w:t>economic development as priorities</w:t>
      </w:r>
      <w:r w:rsidR="00AD09D7">
        <w:rPr>
          <w:rFonts w:cs="Calibri"/>
        </w:rPr>
        <w:t>.</w:t>
      </w:r>
      <w:r w:rsidR="00DC081B">
        <w:rPr>
          <w:rStyle w:val="FootnoteReference"/>
        </w:rPr>
        <w:footnoteReference w:id="16"/>
      </w:r>
      <w:r w:rsidR="00862824" w:rsidRPr="00184FDF">
        <w:rPr>
          <w:rFonts w:cs="Calibri"/>
        </w:rPr>
        <w:t xml:space="preserve"> </w:t>
      </w:r>
    </w:p>
    <w:p w14:paraId="7C2AE586" w14:textId="12A51E18" w:rsidR="000A490B" w:rsidRPr="000A490B" w:rsidRDefault="002D2296" w:rsidP="007868EE">
      <w:pPr>
        <w:pStyle w:val="ListParagraph"/>
        <w:numPr>
          <w:ilvl w:val="0"/>
          <w:numId w:val="2"/>
        </w:numPr>
        <w:spacing w:before="120" w:after="120"/>
        <w:ind w:left="360" w:right="90" w:firstLine="0"/>
        <w:jc w:val="both"/>
        <w:rPr>
          <w:sz w:val="16"/>
          <w:szCs w:val="16"/>
          <w:lang w:val="en-GB"/>
        </w:rPr>
      </w:pPr>
      <w:r w:rsidRPr="00334549">
        <w:rPr>
          <w:color w:val="000000"/>
        </w:rPr>
        <w:t>Poverty</w:t>
      </w:r>
      <w:r w:rsidR="00A1709D" w:rsidRPr="00334549">
        <w:rPr>
          <w:color w:val="000000"/>
        </w:rPr>
        <w:t xml:space="preserve"> remains high</w:t>
      </w:r>
      <w:r w:rsidR="00682259">
        <w:rPr>
          <w:color w:val="000000"/>
        </w:rPr>
        <w:t>,</w:t>
      </w:r>
      <w:r w:rsidR="00A1709D" w:rsidRPr="00334549">
        <w:rPr>
          <w:color w:val="000000"/>
        </w:rPr>
        <w:t xml:space="preserve"> </w:t>
      </w:r>
      <w:r w:rsidR="00682259">
        <w:rPr>
          <w:color w:val="000000"/>
        </w:rPr>
        <w:t>at</w:t>
      </w:r>
      <w:r w:rsidR="00682259" w:rsidRPr="00334549">
        <w:rPr>
          <w:color w:val="000000"/>
        </w:rPr>
        <w:t xml:space="preserve"> </w:t>
      </w:r>
      <w:r w:rsidR="00FF173B" w:rsidRPr="00334549">
        <w:rPr>
          <w:color w:val="000000"/>
        </w:rPr>
        <w:t>3</w:t>
      </w:r>
      <w:r w:rsidR="00A1709D" w:rsidRPr="00334549">
        <w:rPr>
          <w:color w:val="000000"/>
        </w:rPr>
        <w:t>2.1</w:t>
      </w:r>
      <w:r w:rsidR="00FF173B" w:rsidRPr="00334549">
        <w:rPr>
          <w:color w:val="000000"/>
        </w:rPr>
        <w:t xml:space="preserve"> </w:t>
      </w:r>
      <w:r w:rsidR="00A44AF5">
        <w:rPr>
          <w:color w:val="000000"/>
        </w:rPr>
        <w:t>per cent</w:t>
      </w:r>
      <w:r w:rsidR="00F36C78" w:rsidRPr="00334549">
        <w:rPr>
          <w:rStyle w:val="FootnoteReference"/>
          <w:color w:val="000000"/>
        </w:rPr>
        <w:footnoteReference w:id="17"/>
      </w:r>
      <w:r w:rsidR="00FF173B" w:rsidRPr="00334549">
        <w:rPr>
          <w:color w:val="000000"/>
        </w:rPr>
        <w:t xml:space="preserve"> in 2015</w:t>
      </w:r>
      <w:r w:rsidR="00242DBB">
        <w:rPr>
          <w:color w:val="000000"/>
        </w:rPr>
        <w:t>,</w:t>
      </w:r>
      <w:r w:rsidR="00F36C78" w:rsidRPr="00334549">
        <w:rPr>
          <w:rFonts w:eastAsia="SimSun"/>
          <w:color w:val="000000"/>
        </w:rPr>
        <w:t xml:space="preserve"> </w:t>
      </w:r>
      <w:r w:rsidR="00682259">
        <w:rPr>
          <w:rFonts w:eastAsia="SimSun"/>
          <w:color w:val="000000"/>
        </w:rPr>
        <w:t xml:space="preserve">and </w:t>
      </w:r>
      <w:r w:rsidR="00E056DB">
        <w:rPr>
          <w:rFonts w:eastAsia="SimSun"/>
          <w:color w:val="000000"/>
        </w:rPr>
        <w:t xml:space="preserve">is </w:t>
      </w:r>
      <w:r w:rsidR="00F36C78" w:rsidRPr="00334549">
        <w:rPr>
          <w:rFonts w:eastAsia="SimSun"/>
          <w:color w:val="000000"/>
        </w:rPr>
        <w:t>concentrated in rural areas</w:t>
      </w:r>
      <w:r w:rsidR="00682259">
        <w:rPr>
          <w:rFonts w:eastAsia="SimSun"/>
          <w:color w:val="000000"/>
        </w:rPr>
        <w:t>,</w:t>
      </w:r>
      <w:r w:rsidR="00C97B3E" w:rsidRPr="00334549">
        <w:rPr>
          <w:rFonts w:eastAsia="SimSun"/>
          <w:color w:val="000000"/>
        </w:rPr>
        <w:t xml:space="preserve"> </w:t>
      </w:r>
      <w:r w:rsidR="00F36C78" w:rsidRPr="00334549">
        <w:rPr>
          <w:color w:val="000000"/>
        </w:rPr>
        <w:t>var</w:t>
      </w:r>
      <w:r w:rsidR="00682259">
        <w:rPr>
          <w:color w:val="000000"/>
        </w:rPr>
        <w:t>ying</w:t>
      </w:r>
      <w:r w:rsidR="00F36C78" w:rsidRPr="00334549">
        <w:rPr>
          <w:color w:val="000000"/>
        </w:rPr>
        <w:t xml:space="preserve"> </w:t>
      </w:r>
      <w:r w:rsidR="00F36C78" w:rsidRPr="000A490B">
        <w:rPr>
          <w:color w:val="000000"/>
        </w:rPr>
        <w:t xml:space="preserve">across regions </w:t>
      </w:r>
      <w:r w:rsidR="00C44AC6">
        <w:rPr>
          <w:color w:val="000000"/>
        </w:rPr>
        <w:t>but</w:t>
      </w:r>
      <w:r w:rsidR="00F36C78" w:rsidRPr="000A490B">
        <w:rPr>
          <w:color w:val="000000"/>
        </w:rPr>
        <w:t xml:space="preserve"> highest in Jalal-Abad, Batken</w:t>
      </w:r>
      <w:r w:rsidR="000A67E1" w:rsidRPr="000A490B">
        <w:rPr>
          <w:color w:val="000000"/>
        </w:rPr>
        <w:t>,</w:t>
      </w:r>
      <w:r w:rsidR="00F36C78" w:rsidRPr="000A490B">
        <w:rPr>
          <w:color w:val="000000"/>
        </w:rPr>
        <w:t xml:space="preserve"> Nary</w:t>
      </w:r>
      <w:r w:rsidR="00EE11D9" w:rsidRPr="000A490B">
        <w:rPr>
          <w:color w:val="000000"/>
        </w:rPr>
        <w:t>n</w:t>
      </w:r>
      <w:r w:rsidR="00682259">
        <w:rPr>
          <w:color w:val="000000"/>
        </w:rPr>
        <w:t>,</w:t>
      </w:r>
      <w:r w:rsidR="00F91960">
        <w:rPr>
          <w:color w:val="000000"/>
        </w:rPr>
        <w:t xml:space="preserve"> regions</w:t>
      </w:r>
      <w:r w:rsidR="009163BE" w:rsidRPr="000A490B">
        <w:rPr>
          <w:color w:val="000000"/>
        </w:rPr>
        <w:t xml:space="preserve"> and </w:t>
      </w:r>
      <w:r w:rsidR="00EE11D9" w:rsidRPr="000A490B">
        <w:rPr>
          <w:color w:val="000000"/>
        </w:rPr>
        <w:t xml:space="preserve">Osh </w:t>
      </w:r>
      <w:r w:rsidR="00EE11D9" w:rsidRPr="00682259">
        <w:rPr>
          <w:color w:val="000000"/>
        </w:rPr>
        <w:t>c</w:t>
      </w:r>
      <w:r w:rsidR="009163BE" w:rsidRPr="00682259">
        <w:rPr>
          <w:color w:val="000000"/>
        </w:rPr>
        <w:t>ity</w:t>
      </w:r>
      <w:r w:rsidR="00A96A34" w:rsidRPr="00682259">
        <w:rPr>
          <w:color w:val="000000"/>
        </w:rPr>
        <w:t>.</w:t>
      </w:r>
      <w:r w:rsidR="000906BE">
        <w:rPr>
          <w:rStyle w:val="FootnoteReference"/>
          <w:color w:val="000000"/>
        </w:rPr>
        <w:footnoteReference w:id="18"/>
      </w:r>
      <w:r w:rsidR="00F36C78" w:rsidRPr="000A490B">
        <w:rPr>
          <w:color w:val="000000"/>
        </w:rPr>
        <w:t xml:space="preserve"> </w:t>
      </w:r>
      <w:r w:rsidR="00B36DCE">
        <w:rPr>
          <w:color w:val="000000"/>
        </w:rPr>
        <w:t>Although r</w:t>
      </w:r>
      <w:r w:rsidR="00B36DCE" w:rsidRPr="00B36DCE">
        <w:rPr>
          <w:color w:val="000000"/>
        </w:rPr>
        <w:t>emittances helped reduce the national poverty rate by 6-7</w:t>
      </w:r>
      <w:r w:rsidR="00755615">
        <w:rPr>
          <w:color w:val="000000"/>
        </w:rPr>
        <w:t xml:space="preserve"> percentage</w:t>
      </w:r>
      <w:r w:rsidR="00755615" w:rsidRPr="00B36DCE">
        <w:rPr>
          <w:color w:val="000000"/>
        </w:rPr>
        <w:t xml:space="preserve"> </w:t>
      </w:r>
      <w:r w:rsidR="00B36DCE" w:rsidRPr="00B36DCE">
        <w:rPr>
          <w:color w:val="000000"/>
        </w:rPr>
        <w:t>points</w:t>
      </w:r>
      <w:r w:rsidR="008F5F6E">
        <w:rPr>
          <w:color w:val="000000"/>
        </w:rPr>
        <w:t>,</w:t>
      </w:r>
      <w:r w:rsidR="00B36DCE">
        <w:rPr>
          <w:rStyle w:val="FootnoteReference"/>
          <w:color w:val="000000"/>
        </w:rPr>
        <w:footnoteReference w:id="19"/>
      </w:r>
      <w:r w:rsidR="00B36DCE" w:rsidRPr="00B36DCE">
        <w:rPr>
          <w:color w:val="000000"/>
        </w:rPr>
        <w:t xml:space="preserve"> labour migration and remittances create</w:t>
      </w:r>
      <w:r w:rsidR="00B36DCE">
        <w:rPr>
          <w:color w:val="000000"/>
        </w:rPr>
        <w:t>d</w:t>
      </w:r>
      <w:r w:rsidR="00B36DCE" w:rsidRPr="00B36DCE">
        <w:rPr>
          <w:color w:val="000000"/>
        </w:rPr>
        <w:t xml:space="preserve"> </w:t>
      </w:r>
      <w:r w:rsidR="00682259">
        <w:rPr>
          <w:color w:val="000000"/>
        </w:rPr>
        <w:t xml:space="preserve">such </w:t>
      </w:r>
      <w:r w:rsidR="00B36DCE" w:rsidRPr="00B36DCE">
        <w:rPr>
          <w:color w:val="000000"/>
        </w:rPr>
        <w:t xml:space="preserve">side effects </w:t>
      </w:r>
      <w:r w:rsidR="005803A4">
        <w:rPr>
          <w:color w:val="000000"/>
        </w:rPr>
        <w:t>as outflow of human resources, dependency on exte</w:t>
      </w:r>
      <w:r w:rsidR="00643923">
        <w:rPr>
          <w:color w:val="000000"/>
        </w:rPr>
        <w:t>rnal factors</w:t>
      </w:r>
      <w:r w:rsidR="00682259">
        <w:rPr>
          <w:color w:val="000000"/>
        </w:rPr>
        <w:t>,</w:t>
      </w:r>
      <w:r w:rsidR="00F30C66">
        <w:rPr>
          <w:color w:val="000000"/>
        </w:rPr>
        <w:t xml:space="preserve"> and </w:t>
      </w:r>
      <w:r w:rsidR="00682259">
        <w:rPr>
          <w:color w:val="000000"/>
        </w:rPr>
        <w:t>erosion of</w:t>
      </w:r>
      <w:r w:rsidR="00643923">
        <w:rPr>
          <w:color w:val="000000"/>
        </w:rPr>
        <w:t xml:space="preserve"> family fabric</w:t>
      </w:r>
      <w:r w:rsidR="00B36DCE" w:rsidRPr="00B36DCE">
        <w:rPr>
          <w:color w:val="000000"/>
        </w:rPr>
        <w:t xml:space="preserve">. </w:t>
      </w:r>
      <w:r w:rsidR="00461F53" w:rsidRPr="000A490B">
        <w:rPr>
          <w:color w:val="000000"/>
        </w:rPr>
        <w:t xml:space="preserve">Key factors explaining </w:t>
      </w:r>
      <w:r w:rsidR="002B449C" w:rsidRPr="000A490B">
        <w:rPr>
          <w:color w:val="000000"/>
        </w:rPr>
        <w:t>high poverty rate</w:t>
      </w:r>
      <w:r w:rsidR="00EE11D9" w:rsidRPr="000A490B">
        <w:rPr>
          <w:color w:val="000000"/>
        </w:rPr>
        <w:t>s</w:t>
      </w:r>
      <w:r w:rsidR="000A67E1" w:rsidRPr="000A490B">
        <w:rPr>
          <w:color w:val="000000"/>
        </w:rPr>
        <w:t xml:space="preserve"> are</w:t>
      </w:r>
      <w:r w:rsidR="00C06E20">
        <w:rPr>
          <w:color w:val="000000"/>
        </w:rPr>
        <w:t>:</w:t>
      </w:r>
      <w:r w:rsidR="000A67E1" w:rsidRPr="000A490B">
        <w:rPr>
          <w:color w:val="000000"/>
        </w:rPr>
        <w:t xml:space="preserve"> </w:t>
      </w:r>
      <w:r w:rsidR="00461F53" w:rsidRPr="000A490B">
        <w:rPr>
          <w:color w:val="000000"/>
        </w:rPr>
        <w:t>volatile</w:t>
      </w:r>
      <w:r w:rsidR="00F30C66">
        <w:rPr>
          <w:color w:val="000000"/>
        </w:rPr>
        <w:t>,</w:t>
      </w:r>
      <w:r w:rsidR="00461F53" w:rsidRPr="000A490B">
        <w:rPr>
          <w:color w:val="000000"/>
        </w:rPr>
        <w:t xml:space="preserve"> </w:t>
      </w:r>
      <w:r w:rsidR="00741AC5">
        <w:rPr>
          <w:color w:val="000000"/>
        </w:rPr>
        <w:t>tenuous</w:t>
      </w:r>
      <w:r w:rsidR="008A5C37" w:rsidRPr="000A490B">
        <w:rPr>
          <w:color w:val="000000"/>
        </w:rPr>
        <w:t xml:space="preserve"> economic </w:t>
      </w:r>
      <w:r w:rsidR="00461F53" w:rsidRPr="000A490B">
        <w:rPr>
          <w:color w:val="000000"/>
        </w:rPr>
        <w:t>growth</w:t>
      </w:r>
      <w:r w:rsidR="00F30C66">
        <w:rPr>
          <w:color w:val="000000"/>
        </w:rPr>
        <w:t>;</w:t>
      </w:r>
      <w:r w:rsidR="008A5C37">
        <w:rPr>
          <w:rStyle w:val="FootnoteReference"/>
          <w:color w:val="000000"/>
        </w:rPr>
        <w:footnoteReference w:id="20"/>
      </w:r>
      <w:r w:rsidR="00461F53" w:rsidRPr="000A490B">
        <w:rPr>
          <w:color w:val="000000"/>
        </w:rPr>
        <w:t xml:space="preserve"> poor infrastructure</w:t>
      </w:r>
      <w:r w:rsidR="00F30C66">
        <w:rPr>
          <w:color w:val="000000"/>
        </w:rPr>
        <w:t>;</w:t>
      </w:r>
      <w:r w:rsidR="00461F53" w:rsidRPr="000A490B">
        <w:rPr>
          <w:color w:val="000000"/>
        </w:rPr>
        <w:t xml:space="preserve"> weak institutions</w:t>
      </w:r>
      <w:r w:rsidR="00F30C66">
        <w:rPr>
          <w:color w:val="000000"/>
        </w:rPr>
        <w:t>;</w:t>
      </w:r>
      <w:r w:rsidR="00A26878" w:rsidRPr="000A490B">
        <w:rPr>
          <w:color w:val="000000"/>
        </w:rPr>
        <w:t xml:space="preserve"> and inequitable access to natural resources</w:t>
      </w:r>
      <w:r w:rsidR="00461F53" w:rsidRPr="000A490B">
        <w:rPr>
          <w:color w:val="000000"/>
        </w:rPr>
        <w:t xml:space="preserve">. </w:t>
      </w:r>
      <w:r w:rsidR="00C44AC6">
        <w:rPr>
          <w:color w:val="000000"/>
        </w:rPr>
        <w:t>A</w:t>
      </w:r>
      <w:r w:rsidR="004D2BC6">
        <w:rPr>
          <w:color w:val="000000"/>
        </w:rPr>
        <w:t>ccess</w:t>
      </w:r>
      <w:r w:rsidR="004D2BC6">
        <w:rPr>
          <w:rFonts w:eastAsia="MS Mincho"/>
          <w:lang w:val="en-GB"/>
        </w:rPr>
        <w:t xml:space="preserve"> to </w:t>
      </w:r>
      <w:r w:rsidR="00461F53" w:rsidRPr="000A490B">
        <w:rPr>
          <w:rFonts w:eastAsia="MS Mincho"/>
          <w:lang w:val="en-GB"/>
        </w:rPr>
        <w:t>basic public services such as el</w:t>
      </w:r>
      <w:r w:rsidR="00EA6633">
        <w:rPr>
          <w:rFonts w:eastAsia="MS Mincho"/>
          <w:lang w:val="en-GB"/>
        </w:rPr>
        <w:t>ectricity, heating, clean water</w:t>
      </w:r>
      <w:r w:rsidR="00461F53" w:rsidRPr="000A490B">
        <w:rPr>
          <w:rFonts w:eastAsia="MS Mincho"/>
          <w:lang w:val="en-GB"/>
        </w:rPr>
        <w:t xml:space="preserve"> and sanitation remains </w:t>
      </w:r>
      <w:r w:rsidR="00461F53" w:rsidRPr="00682259">
        <w:rPr>
          <w:rFonts w:eastAsia="MS Mincho"/>
          <w:lang w:val="en-GB"/>
        </w:rPr>
        <w:t>suboptimal</w:t>
      </w:r>
      <w:r w:rsidR="00461F53" w:rsidRPr="000A490B">
        <w:rPr>
          <w:rFonts w:eastAsia="MS Mincho"/>
          <w:lang w:val="en-GB"/>
        </w:rPr>
        <w:t xml:space="preserve"> in rural areas. R</w:t>
      </w:r>
      <w:r w:rsidR="00461F53" w:rsidRPr="000A490B">
        <w:rPr>
          <w:lang w:val="en-GB"/>
        </w:rPr>
        <w:t>ural women and childre</w:t>
      </w:r>
      <w:r w:rsidR="00D57012" w:rsidRPr="000A490B">
        <w:rPr>
          <w:lang w:val="en-GB"/>
        </w:rPr>
        <w:t>n fac</w:t>
      </w:r>
      <w:r w:rsidR="00F30C66">
        <w:rPr>
          <w:lang w:val="en-GB"/>
        </w:rPr>
        <w:t>e</w:t>
      </w:r>
      <w:r w:rsidR="00D57012" w:rsidRPr="000A490B">
        <w:rPr>
          <w:lang w:val="en-GB"/>
        </w:rPr>
        <w:t xml:space="preserve"> even greater challenges and disadvantages</w:t>
      </w:r>
      <w:r w:rsidR="00E67421">
        <w:rPr>
          <w:lang w:val="en-GB"/>
        </w:rPr>
        <w:t>.</w:t>
      </w:r>
      <w:r w:rsidR="00C97B3E">
        <w:rPr>
          <w:rStyle w:val="FootnoteReference"/>
          <w:lang w:val="en-GB"/>
        </w:rPr>
        <w:footnoteReference w:id="21"/>
      </w:r>
      <w:r w:rsidR="00461F53" w:rsidRPr="000A490B">
        <w:rPr>
          <w:lang w:val="en-GB"/>
        </w:rPr>
        <w:t xml:space="preserve"> The increase in </w:t>
      </w:r>
      <w:r w:rsidR="00461F53" w:rsidRPr="000A490B">
        <w:rPr>
          <w:color w:val="000000"/>
        </w:rPr>
        <w:t xml:space="preserve">urban poverty </w:t>
      </w:r>
      <w:r w:rsidR="00461F53" w:rsidRPr="00682259">
        <w:rPr>
          <w:color w:val="000000"/>
        </w:rPr>
        <w:t>and fall in extreme poverty</w:t>
      </w:r>
      <w:r w:rsidR="00461F53" w:rsidRPr="000A490B">
        <w:rPr>
          <w:color w:val="000000"/>
        </w:rPr>
        <w:t xml:space="preserve"> have important policy implications</w:t>
      </w:r>
      <w:r w:rsidR="00F30C66">
        <w:rPr>
          <w:color w:val="000000"/>
        </w:rPr>
        <w:t>.</w:t>
      </w:r>
      <w:r w:rsidR="009163BE" w:rsidRPr="000A490B">
        <w:rPr>
          <w:rStyle w:val="FootnoteReference"/>
          <w:sz w:val="16"/>
          <w:szCs w:val="16"/>
          <w:lang w:val="en-GB"/>
        </w:rPr>
        <w:footnoteReference w:id="22"/>
      </w:r>
      <w:r w:rsidR="00461F53" w:rsidRPr="000A490B">
        <w:rPr>
          <w:sz w:val="16"/>
          <w:szCs w:val="16"/>
          <w:lang w:val="en-GB"/>
        </w:rPr>
        <w:t xml:space="preserve"> </w:t>
      </w:r>
      <w:r w:rsidR="00F30C66">
        <w:rPr>
          <w:lang w:val="en-GB"/>
        </w:rPr>
        <w:t>M</w:t>
      </w:r>
      <w:r w:rsidR="00461F53" w:rsidRPr="000A490B">
        <w:rPr>
          <w:lang w:val="en-GB"/>
        </w:rPr>
        <w:t xml:space="preserve">ore attention </w:t>
      </w:r>
      <w:r w:rsidR="00F30C66">
        <w:rPr>
          <w:lang w:val="en-GB"/>
        </w:rPr>
        <w:t xml:space="preserve">must be paid </w:t>
      </w:r>
      <w:r w:rsidR="00461F53" w:rsidRPr="000A490B">
        <w:rPr>
          <w:lang w:val="en-GB"/>
        </w:rPr>
        <w:t xml:space="preserve">to </w:t>
      </w:r>
      <w:r w:rsidR="00234DBE">
        <w:rPr>
          <w:lang w:val="en-GB"/>
        </w:rPr>
        <w:t>measur</w:t>
      </w:r>
      <w:r w:rsidR="00F30C66">
        <w:rPr>
          <w:lang w:val="en-GB"/>
        </w:rPr>
        <w:t>ing</w:t>
      </w:r>
      <w:r w:rsidR="00234DBE">
        <w:rPr>
          <w:lang w:val="en-GB"/>
        </w:rPr>
        <w:t xml:space="preserve"> </w:t>
      </w:r>
      <w:r w:rsidR="00461F53" w:rsidRPr="000A490B">
        <w:rPr>
          <w:lang w:val="en-GB"/>
        </w:rPr>
        <w:t>chronic poverty</w:t>
      </w:r>
      <w:r w:rsidR="00234DBE">
        <w:rPr>
          <w:lang w:val="en-GB"/>
        </w:rPr>
        <w:t xml:space="preserve"> and </w:t>
      </w:r>
      <w:r w:rsidR="00461F53" w:rsidRPr="000A490B">
        <w:rPr>
          <w:lang w:val="en-GB"/>
        </w:rPr>
        <w:t xml:space="preserve">inequality </w:t>
      </w:r>
      <w:r w:rsidR="00234DBE">
        <w:rPr>
          <w:lang w:val="en-GB"/>
        </w:rPr>
        <w:t xml:space="preserve">for </w:t>
      </w:r>
      <w:r w:rsidR="00F9006B">
        <w:rPr>
          <w:lang w:val="en-GB"/>
        </w:rPr>
        <w:t>appropriate planning and budgeting</w:t>
      </w:r>
      <w:r w:rsidR="00234DBE">
        <w:rPr>
          <w:lang w:val="en-GB"/>
        </w:rPr>
        <w:t xml:space="preserve">, </w:t>
      </w:r>
      <w:r w:rsidR="005478E3">
        <w:rPr>
          <w:lang w:val="en-GB"/>
        </w:rPr>
        <w:t>and t</w:t>
      </w:r>
      <w:r w:rsidR="00237BC0">
        <w:rPr>
          <w:lang w:val="en-GB"/>
        </w:rPr>
        <w:t xml:space="preserve">o </w:t>
      </w:r>
      <w:r w:rsidR="00461F53" w:rsidRPr="000A490B">
        <w:rPr>
          <w:lang w:val="en-GB"/>
        </w:rPr>
        <w:t>non-monetary dimensions of poverty (access to education</w:t>
      </w:r>
      <w:r w:rsidR="009163BE" w:rsidRPr="000A490B">
        <w:rPr>
          <w:lang w:val="en-GB"/>
        </w:rPr>
        <w:t>,</w:t>
      </w:r>
      <w:r w:rsidR="00461F53" w:rsidRPr="000A490B">
        <w:rPr>
          <w:lang w:val="en-GB"/>
        </w:rPr>
        <w:t xml:space="preserve"> health</w:t>
      </w:r>
      <w:r w:rsidR="009163BE" w:rsidRPr="000A490B">
        <w:rPr>
          <w:lang w:val="en-GB"/>
        </w:rPr>
        <w:t xml:space="preserve">, </w:t>
      </w:r>
      <w:r w:rsidR="00461F53" w:rsidRPr="000A490B">
        <w:rPr>
          <w:lang w:val="en-GB"/>
        </w:rPr>
        <w:t>water and other utilities</w:t>
      </w:r>
      <w:r w:rsidR="00C97B3E" w:rsidRPr="000A490B">
        <w:rPr>
          <w:lang w:val="en-GB"/>
        </w:rPr>
        <w:t>)</w:t>
      </w:r>
      <w:r w:rsidR="00234DBE">
        <w:rPr>
          <w:lang w:val="en-GB"/>
        </w:rPr>
        <w:t xml:space="preserve"> so that no one is left behind</w:t>
      </w:r>
      <w:r w:rsidR="00461F53" w:rsidRPr="000A490B">
        <w:rPr>
          <w:lang w:val="en-GB"/>
        </w:rPr>
        <w:t xml:space="preserve">. </w:t>
      </w:r>
      <w:r w:rsidR="000A490B" w:rsidRPr="000A490B">
        <w:rPr>
          <w:lang w:val="en-GB"/>
        </w:rPr>
        <w:t>The availability</w:t>
      </w:r>
      <w:r w:rsidR="00234DBE">
        <w:rPr>
          <w:lang w:val="en-GB"/>
        </w:rPr>
        <w:t xml:space="preserve"> and disaggregation </w:t>
      </w:r>
      <w:r w:rsidR="009B69BA">
        <w:rPr>
          <w:lang w:val="en-GB"/>
        </w:rPr>
        <w:t>of economic, financial</w:t>
      </w:r>
      <w:r w:rsidR="000A490B" w:rsidRPr="000A490B">
        <w:rPr>
          <w:lang w:val="en-GB"/>
        </w:rPr>
        <w:t xml:space="preserve"> and social data</w:t>
      </w:r>
      <w:r w:rsidR="00741AC5" w:rsidRPr="00741AC5">
        <w:rPr>
          <w:lang w:val="en-GB"/>
        </w:rPr>
        <w:t xml:space="preserve"> </w:t>
      </w:r>
      <w:r w:rsidR="00741AC5">
        <w:rPr>
          <w:lang w:val="en-GB"/>
        </w:rPr>
        <w:t>is limited</w:t>
      </w:r>
      <w:r w:rsidR="00234DBE">
        <w:rPr>
          <w:lang w:val="en-GB"/>
        </w:rPr>
        <w:t xml:space="preserve"> for </w:t>
      </w:r>
      <w:r w:rsidR="000A490B" w:rsidRPr="000A490B">
        <w:rPr>
          <w:lang w:val="en-GB"/>
        </w:rPr>
        <w:t>a realistic assessment of growth inclusiveness</w:t>
      </w:r>
      <w:r w:rsidR="00014751">
        <w:rPr>
          <w:lang w:val="en-GB"/>
        </w:rPr>
        <w:t>.</w:t>
      </w:r>
      <w:r w:rsidR="000A490B">
        <w:rPr>
          <w:rStyle w:val="FootnoteReference"/>
          <w:lang w:val="en-GB"/>
        </w:rPr>
        <w:footnoteReference w:id="23"/>
      </w:r>
      <w:r w:rsidR="000A490B" w:rsidRPr="000A490B">
        <w:rPr>
          <w:sz w:val="16"/>
          <w:szCs w:val="16"/>
          <w:lang w:val="en-GB"/>
        </w:rPr>
        <w:t xml:space="preserve"> </w:t>
      </w:r>
    </w:p>
    <w:p w14:paraId="14B43507" w14:textId="03CC1F19" w:rsidR="003A50B9" w:rsidRPr="00A211CE" w:rsidRDefault="007166D2" w:rsidP="007868EE">
      <w:pPr>
        <w:pStyle w:val="ListParagraph"/>
        <w:numPr>
          <w:ilvl w:val="0"/>
          <w:numId w:val="2"/>
        </w:numPr>
        <w:spacing w:before="120" w:after="120"/>
        <w:ind w:left="360" w:right="90" w:firstLine="0"/>
        <w:jc w:val="both"/>
        <w:rPr>
          <w:color w:val="000000"/>
        </w:rPr>
      </w:pPr>
      <w:r>
        <w:rPr>
          <w:lang w:val="en-GB"/>
        </w:rPr>
        <w:t>Income inequality remains high</w:t>
      </w:r>
      <w:r w:rsidR="00F30C66">
        <w:rPr>
          <w:lang w:val="en-GB"/>
        </w:rPr>
        <w:t>,</w:t>
      </w:r>
      <w:r>
        <w:rPr>
          <w:lang w:val="en-GB"/>
        </w:rPr>
        <w:t xml:space="preserve"> with </w:t>
      </w:r>
      <w:r w:rsidR="00F30C66">
        <w:rPr>
          <w:lang w:val="en-GB"/>
        </w:rPr>
        <w:t xml:space="preserve">a </w:t>
      </w:r>
      <w:r>
        <w:rPr>
          <w:lang w:val="en-GB"/>
        </w:rPr>
        <w:t>G</w:t>
      </w:r>
      <w:r w:rsidR="00E66B29">
        <w:rPr>
          <w:lang w:val="en-GB"/>
        </w:rPr>
        <w:t>ini</w:t>
      </w:r>
      <w:r>
        <w:rPr>
          <w:lang w:val="en-GB"/>
        </w:rPr>
        <w:t xml:space="preserve"> coefficient </w:t>
      </w:r>
      <w:r w:rsidR="00F30C66">
        <w:rPr>
          <w:lang w:val="en-GB"/>
        </w:rPr>
        <w:t xml:space="preserve">of </w:t>
      </w:r>
      <w:r>
        <w:rPr>
          <w:lang w:val="en-GB"/>
        </w:rPr>
        <w:t xml:space="preserve">41 </w:t>
      </w:r>
      <w:r w:rsidR="00A44AF5">
        <w:rPr>
          <w:lang w:val="en-GB"/>
        </w:rPr>
        <w:t>per cent</w:t>
      </w:r>
      <w:r>
        <w:rPr>
          <w:lang w:val="en-GB"/>
        </w:rPr>
        <w:t xml:space="preserve"> in 2015</w:t>
      </w:r>
      <w:r w:rsidR="00E66B29">
        <w:rPr>
          <w:lang w:val="en-GB"/>
        </w:rPr>
        <w:t>.</w:t>
      </w:r>
      <w:r>
        <w:rPr>
          <w:rStyle w:val="FootnoteReference"/>
          <w:lang w:val="en-GB"/>
        </w:rPr>
        <w:footnoteReference w:id="24"/>
      </w:r>
      <w:r>
        <w:rPr>
          <w:lang w:val="en-GB"/>
        </w:rPr>
        <w:t xml:space="preserve"> U</w:t>
      </w:r>
      <w:r w:rsidR="00D14DFC" w:rsidRPr="000A67E1">
        <w:rPr>
          <w:lang w:val="en-GB"/>
        </w:rPr>
        <w:t>nemployment</w:t>
      </w:r>
      <w:r w:rsidR="00F30C66">
        <w:rPr>
          <w:lang w:val="en-GB"/>
        </w:rPr>
        <w:t>,</w:t>
      </w:r>
      <w:r w:rsidR="00D14DFC" w:rsidRPr="000A67E1">
        <w:rPr>
          <w:lang w:val="en-GB"/>
        </w:rPr>
        <w:t xml:space="preserve"> </w:t>
      </w:r>
      <w:r w:rsidR="007742F3">
        <w:rPr>
          <w:lang w:val="en-GB"/>
        </w:rPr>
        <w:t>at</w:t>
      </w:r>
      <w:r w:rsidR="00D14DFC" w:rsidRPr="000A67E1">
        <w:rPr>
          <w:lang w:val="en-GB"/>
        </w:rPr>
        <w:t xml:space="preserve"> 8.5</w:t>
      </w:r>
      <w:r w:rsidR="00ED190B">
        <w:rPr>
          <w:lang w:val="en-GB"/>
        </w:rPr>
        <w:t xml:space="preserve"> </w:t>
      </w:r>
      <w:r w:rsidR="00A44AF5">
        <w:rPr>
          <w:lang w:val="en-GB"/>
        </w:rPr>
        <w:t>per cent</w:t>
      </w:r>
      <w:r w:rsidR="00F30C66">
        <w:rPr>
          <w:lang w:val="en-GB"/>
        </w:rPr>
        <w:t>,</w:t>
      </w:r>
      <w:r w:rsidR="00910140">
        <w:rPr>
          <w:lang w:val="en-GB"/>
        </w:rPr>
        <w:t xml:space="preserve"> is</w:t>
      </w:r>
      <w:r w:rsidR="00D14DFC" w:rsidRPr="000A67E1">
        <w:rPr>
          <w:lang w:val="en-GB"/>
        </w:rPr>
        <w:t xml:space="preserve"> concentrated among youth and women</w:t>
      </w:r>
      <w:r w:rsidR="00F30C66">
        <w:rPr>
          <w:lang w:val="en-GB"/>
        </w:rPr>
        <w:t>,</w:t>
      </w:r>
      <w:r w:rsidR="00F961CC">
        <w:rPr>
          <w:rStyle w:val="FootnoteReference"/>
          <w:lang w:val="en-GB"/>
        </w:rPr>
        <w:footnoteReference w:id="25"/>
      </w:r>
      <w:r w:rsidR="00AE7B06">
        <w:rPr>
          <w:lang w:val="en-GB"/>
        </w:rPr>
        <w:t xml:space="preserve"> and t</w:t>
      </w:r>
      <w:r w:rsidR="000A67E1" w:rsidRPr="000A67E1">
        <w:rPr>
          <w:lang w:val="en-GB"/>
        </w:rPr>
        <w:t xml:space="preserve">he gender gap in </w:t>
      </w:r>
      <w:r w:rsidR="00F30C66">
        <w:rPr>
          <w:lang w:val="en-GB"/>
        </w:rPr>
        <w:t xml:space="preserve">the </w:t>
      </w:r>
      <w:r w:rsidR="000A67E1" w:rsidRPr="000A67E1">
        <w:rPr>
          <w:lang w:val="en-GB"/>
        </w:rPr>
        <w:t>labour force is widening</w:t>
      </w:r>
      <w:r w:rsidR="00BC799F">
        <w:rPr>
          <w:lang w:val="en-GB"/>
        </w:rPr>
        <w:t>.</w:t>
      </w:r>
      <w:r w:rsidR="000A67E1" w:rsidRPr="000A67E1">
        <w:rPr>
          <w:lang w:val="en-GB"/>
        </w:rPr>
        <w:t xml:space="preserve"> </w:t>
      </w:r>
      <w:r w:rsidR="00197F57">
        <w:rPr>
          <w:lang w:val="en-GB"/>
        </w:rPr>
        <w:t>W</w:t>
      </w:r>
      <w:r w:rsidR="000A67E1" w:rsidRPr="000A67E1">
        <w:rPr>
          <w:lang w:val="en-GB"/>
        </w:rPr>
        <w:t xml:space="preserve">omen account for </w:t>
      </w:r>
      <w:r w:rsidR="005174C8">
        <w:rPr>
          <w:lang w:val="en-GB"/>
        </w:rPr>
        <w:t xml:space="preserve">only </w:t>
      </w:r>
      <w:r w:rsidR="000A67E1" w:rsidRPr="000A67E1">
        <w:rPr>
          <w:lang w:val="en-GB"/>
        </w:rPr>
        <w:t>40</w:t>
      </w:r>
      <w:r w:rsidR="00A838BA">
        <w:rPr>
          <w:lang w:val="en-GB"/>
        </w:rPr>
        <w:t xml:space="preserve"> </w:t>
      </w:r>
      <w:r w:rsidR="00A44AF5">
        <w:rPr>
          <w:lang w:val="en-GB"/>
        </w:rPr>
        <w:t>per cent</w:t>
      </w:r>
      <w:r w:rsidR="00A838BA">
        <w:rPr>
          <w:lang w:val="en-GB"/>
        </w:rPr>
        <w:t xml:space="preserve"> </w:t>
      </w:r>
      <w:r w:rsidR="00A211CE" w:rsidRPr="00A211CE">
        <w:rPr>
          <w:color w:val="000000"/>
        </w:rPr>
        <w:t>of the economically active population</w:t>
      </w:r>
      <w:r w:rsidR="00CB6405">
        <w:rPr>
          <w:color w:val="000000"/>
        </w:rPr>
        <w:t>.</w:t>
      </w:r>
      <w:r w:rsidR="00A211CE">
        <w:rPr>
          <w:rStyle w:val="FootnoteReference"/>
          <w:color w:val="000000"/>
        </w:rPr>
        <w:footnoteReference w:id="26"/>
      </w:r>
      <w:r w:rsidR="00A211CE" w:rsidRPr="00A211CE">
        <w:rPr>
          <w:color w:val="000000"/>
        </w:rPr>
        <w:t xml:space="preserve"> </w:t>
      </w:r>
      <w:r w:rsidR="00891299" w:rsidRPr="00A211CE">
        <w:rPr>
          <w:lang w:val="en-GB"/>
        </w:rPr>
        <w:t>I</w:t>
      </w:r>
      <w:r w:rsidR="000A67E1" w:rsidRPr="00A211CE">
        <w:rPr>
          <w:lang w:val="en-GB"/>
        </w:rPr>
        <w:t>n rural areas the gender gap in employment is wider</w:t>
      </w:r>
      <w:r w:rsidR="00F30C66">
        <w:rPr>
          <w:lang w:val="en-GB"/>
        </w:rPr>
        <w:t>,</w:t>
      </w:r>
      <w:r w:rsidR="000A67E1" w:rsidRPr="00A211CE">
        <w:rPr>
          <w:lang w:val="en-GB"/>
        </w:rPr>
        <w:t xml:space="preserve"> despite slightly higher employment rates</w:t>
      </w:r>
      <w:r w:rsidR="00CB6405">
        <w:rPr>
          <w:lang w:val="en-GB"/>
        </w:rPr>
        <w:t>.</w:t>
      </w:r>
      <w:r w:rsidR="00891299">
        <w:rPr>
          <w:rStyle w:val="FootnoteReference"/>
          <w:lang w:val="en-GB"/>
        </w:rPr>
        <w:footnoteReference w:id="27"/>
      </w:r>
      <w:r w:rsidR="001E1172" w:rsidRPr="00A211CE">
        <w:rPr>
          <w:lang w:val="en-GB"/>
        </w:rPr>
        <w:t xml:space="preserve"> </w:t>
      </w:r>
      <w:r w:rsidR="00FE37FE" w:rsidRPr="00A211CE">
        <w:rPr>
          <w:lang w:val="en-GB"/>
        </w:rPr>
        <w:t>Agriculture</w:t>
      </w:r>
      <w:r w:rsidR="00B7363F" w:rsidRPr="00A211CE">
        <w:rPr>
          <w:lang w:val="en-GB"/>
        </w:rPr>
        <w:t>,</w:t>
      </w:r>
      <w:r w:rsidR="00FE37FE" w:rsidRPr="00A211CE">
        <w:rPr>
          <w:lang w:val="en-GB"/>
        </w:rPr>
        <w:t xml:space="preserve"> </w:t>
      </w:r>
      <w:r w:rsidR="00B7363F" w:rsidRPr="00A211CE">
        <w:rPr>
          <w:lang w:val="en-GB"/>
        </w:rPr>
        <w:t xml:space="preserve">susceptible to climate change, </w:t>
      </w:r>
      <w:r w:rsidR="00FE37FE" w:rsidRPr="00A211CE">
        <w:rPr>
          <w:lang w:val="en-GB"/>
        </w:rPr>
        <w:t>remains the main employer in the economy</w:t>
      </w:r>
      <w:r w:rsidR="005478E3">
        <w:rPr>
          <w:lang w:val="en-GB"/>
        </w:rPr>
        <w:t xml:space="preserve"> (</w:t>
      </w:r>
      <w:r w:rsidR="00FE37FE" w:rsidRPr="00A211CE">
        <w:rPr>
          <w:lang w:val="en-GB"/>
        </w:rPr>
        <w:t>32</w:t>
      </w:r>
      <w:r w:rsidR="00A838BA">
        <w:rPr>
          <w:lang w:val="en-GB"/>
        </w:rPr>
        <w:t xml:space="preserve"> </w:t>
      </w:r>
      <w:r w:rsidR="00A44AF5">
        <w:rPr>
          <w:lang w:val="en-GB"/>
        </w:rPr>
        <w:t>per cent</w:t>
      </w:r>
      <w:r w:rsidR="00FE37FE" w:rsidRPr="00A211CE">
        <w:rPr>
          <w:lang w:val="en-GB"/>
        </w:rPr>
        <w:t xml:space="preserve"> of total employment</w:t>
      </w:r>
      <w:r w:rsidR="005478E3">
        <w:rPr>
          <w:lang w:val="en-GB"/>
        </w:rPr>
        <w:t>)</w:t>
      </w:r>
      <w:r w:rsidR="00F30C66">
        <w:rPr>
          <w:lang w:val="en-GB"/>
        </w:rPr>
        <w:t>.</w:t>
      </w:r>
      <w:r w:rsidR="00FE37FE" w:rsidRPr="00A211CE">
        <w:rPr>
          <w:lang w:val="en-GB"/>
        </w:rPr>
        <w:t xml:space="preserve"> </w:t>
      </w:r>
      <w:r w:rsidR="00F30C66">
        <w:rPr>
          <w:lang w:val="en-GB"/>
        </w:rPr>
        <w:t>Seventy</w:t>
      </w:r>
      <w:r w:rsidR="00A838BA">
        <w:rPr>
          <w:lang w:val="en-GB"/>
        </w:rPr>
        <w:t xml:space="preserve"> </w:t>
      </w:r>
      <w:r w:rsidR="00A44AF5">
        <w:rPr>
          <w:lang w:val="en-GB"/>
        </w:rPr>
        <w:t>per cent</w:t>
      </w:r>
      <w:r w:rsidR="00FE37FE" w:rsidRPr="00A211CE">
        <w:rPr>
          <w:lang w:val="en-GB"/>
        </w:rPr>
        <w:t xml:space="preserve"> of the poor depend </w:t>
      </w:r>
      <w:r w:rsidR="00F30C66">
        <w:rPr>
          <w:lang w:val="en-GB"/>
        </w:rPr>
        <w:t xml:space="preserve">entirely </w:t>
      </w:r>
      <w:r w:rsidR="00FE37FE" w:rsidRPr="00A211CE">
        <w:rPr>
          <w:lang w:val="en-GB"/>
        </w:rPr>
        <w:t>on agriculture.</w:t>
      </w:r>
      <w:r w:rsidR="00472FC4" w:rsidRPr="00A211CE">
        <w:rPr>
          <w:lang w:val="en-GB"/>
        </w:rPr>
        <w:t xml:space="preserve"> </w:t>
      </w:r>
      <w:r w:rsidR="005478E3">
        <w:rPr>
          <w:lang w:val="en-GB"/>
        </w:rPr>
        <w:t>S</w:t>
      </w:r>
      <w:r w:rsidR="007F082F" w:rsidRPr="00A211CE">
        <w:rPr>
          <w:lang w:val="en-GB"/>
        </w:rPr>
        <w:t>mall and medium-sized enterprises contribute 19</w:t>
      </w:r>
      <w:r w:rsidR="00A838BA">
        <w:rPr>
          <w:lang w:val="en-GB"/>
        </w:rPr>
        <w:t xml:space="preserve"> </w:t>
      </w:r>
      <w:r w:rsidR="00A44AF5">
        <w:rPr>
          <w:lang w:val="en-GB"/>
        </w:rPr>
        <w:t>per cent</w:t>
      </w:r>
      <w:r w:rsidR="007F082F" w:rsidRPr="00A211CE">
        <w:rPr>
          <w:lang w:val="en-GB"/>
        </w:rPr>
        <w:t xml:space="preserve"> to employment and 37</w:t>
      </w:r>
      <w:r w:rsidR="00A838BA">
        <w:rPr>
          <w:lang w:val="en-GB"/>
        </w:rPr>
        <w:t xml:space="preserve"> </w:t>
      </w:r>
      <w:r w:rsidR="00A44AF5">
        <w:rPr>
          <w:lang w:val="en-GB"/>
        </w:rPr>
        <w:t>per cent</w:t>
      </w:r>
      <w:r w:rsidR="007F082F" w:rsidRPr="00A211CE">
        <w:rPr>
          <w:lang w:val="en-GB"/>
        </w:rPr>
        <w:t xml:space="preserve"> to </w:t>
      </w:r>
      <w:r w:rsidR="00F30C66">
        <w:rPr>
          <w:lang w:val="en-GB"/>
        </w:rPr>
        <w:t>the gross domestic product</w:t>
      </w:r>
      <w:r w:rsidR="00741AC5">
        <w:rPr>
          <w:lang w:val="en-GB"/>
        </w:rPr>
        <w:t xml:space="preserve"> </w:t>
      </w:r>
      <w:r w:rsidR="001A020E">
        <w:rPr>
          <w:lang w:val="en-GB"/>
        </w:rPr>
        <w:t>due to</w:t>
      </w:r>
      <w:r w:rsidR="001E1172" w:rsidRPr="00A211CE">
        <w:rPr>
          <w:lang w:val="en-GB"/>
        </w:rPr>
        <w:t xml:space="preserve"> </w:t>
      </w:r>
      <w:r w:rsidR="00D170A6" w:rsidRPr="00A211CE">
        <w:rPr>
          <w:lang w:val="en-GB"/>
        </w:rPr>
        <w:t xml:space="preserve">challenges </w:t>
      </w:r>
      <w:r w:rsidR="00F961CC" w:rsidRPr="00A211CE">
        <w:rPr>
          <w:lang w:val="en-GB"/>
        </w:rPr>
        <w:t xml:space="preserve">in </w:t>
      </w:r>
      <w:r w:rsidR="00F30C66">
        <w:rPr>
          <w:lang w:val="en-GB"/>
        </w:rPr>
        <w:t xml:space="preserve">the </w:t>
      </w:r>
      <w:r w:rsidR="00F961CC" w:rsidRPr="00A211CE">
        <w:rPr>
          <w:lang w:val="en-GB"/>
        </w:rPr>
        <w:t>business environment</w:t>
      </w:r>
      <w:r w:rsidR="00F30C66">
        <w:rPr>
          <w:lang w:val="en-GB"/>
        </w:rPr>
        <w:t>,</w:t>
      </w:r>
      <w:r w:rsidR="00F961CC" w:rsidRPr="00A211CE">
        <w:rPr>
          <w:lang w:val="en-GB"/>
        </w:rPr>
        <w:t xml:space="preserve"> with burdensome regulations</w:t>
      </w:r>
      <w:r w:rsidR="00D170A6" w:rsidRPr="00A211CE">
        <w:rPr>
          <w:lang w:val="en-GB"/>
        </w:rPr>
        <w:t>,</w:t>
      </w:r>
      <w:r w:rsidR="006447C5" w:rsidRPr="00A211CE">
        <w:rPr>
          <w:lang w:val="en-GB"/>
        </w:rPr>
        <w:t xml:space="preserve"> including legal barriers to women’s participation</w:t>
      </w:r>
      <w:r w:rsidR="0088472F">
        <w:rPr>
          <w:lang w:val="en-GB"/>
        </w:rPr>
        <w:t xml:space="preserve"> in </w:t>
      </w:r>
      <w:r w:rsidR="00F30C66">
        <w:rPr>
          <w:lang w:val="en-GB"/>
        </w:rPr>
        <w:t xml:space="preserve">the </w:t>
      </w:r>
      <w:r w:rsidR="0088472F">
        <w:rPr>
          <w:lang w:val="en-GB"/>
        </w:rPr>
        <w:t>labour force</w:t>
      </w:r>
      <w:r w:rsidR="00F30C66">
        <w:rPr>
          <w:lang w:val="en-GB"/>
        </w:rPr>
        <w:t>;</w:t>
      </w:r>
      <w:r w:rsidR="006447C5">
        <w:rPr>
          <w:rStyle w:val="FootnoteReference"/>
          <w:lang w:val="en-GB"/>
        </w:rPr>
        <w:footnoteReference w:id="28"/>
      </w:r>
      <w:r w:rsidR="00D170A6" w:rsidRPr="00A211CE">
        <w:rPr>
          <w:lang w:val="en-GB"/>
        </w:rPr>
        <w:t xml:space="preserve"> lack of skilled labour</w:t>
      </w:r>
      <w:r w:rsidR="00F30C66">
        <w:rPr>
          <w:lang w:val="en-GB"/>
        </w:rPr>
        <w:t>;</w:t>
      </w:r>
      <w:r w:rsidR="00D170A6" w:rsidRPr="00A211CE">
        <w:rPr>
          <w:lang w:val="en-GB"/>
        </w:rPr>
        <w:t xml:space="preserve"> </w:t>
      </w:r>
      <w:r w:rsidR="00F05661" w:rsidRPr="00DC081B">
        <w:t>insufficient access to infrastructure (</w:t>
      </w:r>
      <w:r w:rsidR="00F30C66">
        <w:t>such as a</w:t>
      </w:r>
      <w:r w:rsidR="00F05661" w:rsidRPr="00DC081B">
        <w:t xml:space="preserve"> </w:t>
      </w:r>
      <w:r w:rsidR="00B7363F">
        <w:t>reliable supply of electricity)</w:t>
      </w:r>
      <w:r w:rsidR="00741AC5">
        <w:t>,</w:t>
      </w:r>
      <w:r w:rsidR="00B7363F">
        <w:t xml:space="preserve"> </w:t>
      </w:r>
      <w:r w:rsidR="00F05661" w:rsidRPr="00DC081B">
        <w:t>finance</w:t>
      </w:r>
      <w:r w:rsidR="005478E3">
        <w:t>,</w:t>
      </w:r>
      <w:r w:rsidR="001E1172">
        <w:t xml:space="preserve"> </w:t>
      </w:r>
      <w:r w:rsidR="00B7363F" w:rsidRPr="00A211CE">
        <w:rPr>
          <w:lang w:val="en-GB"/>
        </w:rPr>
        <w:t xml:space="preserve">and </w:t>
      </w:r>
      <w:r w:rsidR="00F30C66">
        <w:rPr>
          <w:lang w:val="en-GB"/>
        </w:rPr>
        <w:t>reliable</w:t>
      </w:r>
      <w:r w:rsidR="00F961CC" w:rsidRPr="00A211CE">
        <w:rPr>
          <w:lang w:val="en-GB"/>
        </w:rPr>
        <w:t xml:space="preserve"> public service</w:t>
      </w:r>
      <w:r w:rsidR="00B7363F" w:rsidRPr="00A211CE">
        <w:rPr>
          <w:lang w:val="en-GB"/>
        </w:rPr>
        <w:t>s</w:t>
      </w:r>
      <w:r w:rsidR="00F961CC" w:rsidRPr="00A211CE">
        <w:rPr>
          <w:lang w:val="en-GB"/>
        </w:rPr>
        <w:t>.</w:t>
      </w:r>
      <w:r w:rsidR="00D170A6" w:rsidRPr="002522EA">
        <w:t xml:space="preserve"> </w:t>
      </w:r>
      <w:r w:rsidR="00AE2CFB">
        <w:rPr>
          <w:lang w:val="en-GB"/>
        </w:rPr>
        <w:t>While</w:t>
      </w:r>
      <w:r w:rsidR="00AE2CFB" w:rsidRPr="00A211CE">
        <w:rPr>
          <w:lang w:val="en-GB"/>
        </w:rPr>
        <w:t xml:space="preserve"> </w:t>
      </w:r>
      <w:r w:rsidR="004530B3">
        <w:rPr>
          <w:color w:val="000000"/>
          <w:lang w:val="en-GB"/>
        </w:rPr>
        <w:t>a</w:t>
      </w:r>
      <w:r w:rsidR="004530B3" w:rsidRPr="00A211CE">
        <w:rPr>
          <w:color w:val="000000"/>
          <w:lang w:val="en-GB"/>
        </w:rPr>
        <w:t xml:space="preserve">ccession to the </w:t>
      </w:r>
      <w:r w:rsidR="004530B3" w:rsidRPr="00A211CE">
        <w:rPr>
          <w:lang w:val="en-GB"/>
        </w:rPr>
        <w:t>Eurasia</w:t>
      </w:r>
      <w:r w:rsidR="004530B3">
        <w:rPr>
          <w:lang w:val="en-GB"/>
        </w:rPr>
        <w:t>n</w:t>
      </w:r>
      <w:r w:rsidR="004530B3" w:rsidRPr="00A211CE">
        <w:rPr>
          <w:lang w:val="en-GB"/>
        </w:rPr>
        <w:t xml:space="preserve"> Economic Union in 2015</w:t>
      </w:r>
      <w:r w:rsidR="004530B3" w:rsidRPr="00A211CE">
        <w:rPr>
          <w:color w:val="000000"/>
          <w:lang w:val="en-GB"/>
        </w:rPr>
        <w:t xml:space="preserve"> </w:t>
      </w:r>
      <w:r w:rsidR="003A50B9" w:rsidRPr="00A211CE">
        <w:rPr>
          <w:lang w:val="en-GB"/>
        </w:rPr>
        <w:t>improved access to a large market for</w:t>
      </w:r>
      <w:r w:rsidR="00D23FF4">
        <w:rPr>
          <w:lang w:val="en-GB"/>
        </w:rPr>
        <w:t xml:space="preserve"> goods, services</w:t>
      </w:r>
      <w:r w:rsidR="003A50B9" w:rsidRPr="00A211CE">
        <w:rPr>
          <w:lang w:val="en-GB"/>
        </w:rPr>
        <w:t xml:space="preserve"> and labour</w:t>
      </w:r>
      <w:r w:rsidR="00BE2353">
        <w:rPr>
          <w:lang w:val="en-GB"/>
        </w:rPr>
        <w:t xml:space="preserve"> </w:t>
      </w:r>
      <w:r w:rsidR="006161A4">
        <w:rPr>
          <w:lang w:val="en-GB"/>
        </w:rPr>
        <w:t>offers advantages</w:t>
      </w:r>
      <w:r w:rsidR="00BE2353">
        <w:rPr>
          <w:lang w:val="en-GB"/>
        </w:rPr>
        <w:t>,</w:t>
      </w:r>
      <w:r w:rsidR="006F2688" w:rsidRPr="00A211CE">
        <w:rPr>
          <w:lang w:val="en-GB"/>
        </w:rPr>
        <w:t xml:space="preserve"> s</w:t>
      </w:r>
      <w:r w:rsidR="003A50B9" w:rsidRPr="00A211CE">
        <w:rPr>
          <w:lang w:val="en-GB"/>
        </w:rPr>
        <w:t xml:space="preserve">tructural reforms </w:t>
      </w:r>
      <w:r w:rsidR="006161A4">
        <w:rPr>
          <w:lang w:val="en-GB"/>
        </w:rPr>
        <w:t>to</w:t>
      </w:r>
      <w:r w:rsidR="003A50B9" w:rsidRPr="00A211CE">
        <w:rPr>
          <w:lang w:val="en-GB"/>
        </w:rPr>
        <w:t xml:space="preserve"> rais</w:t>
      </w:r>
      <w:r w:rsidR="006161A4">
        <w:rPr>
          <w:lang w:val="en-GB"/>
        </w:rPr>
        <w:t>e</w:t>
      </w:r>
      <w:r w:rsidR="003A50B9" w:rsidRPr="00A211CE">
        <w:rPr>
          <w:lang w:val="en-GB"/>
        </w:rPr>
        <w:t xml:space="preserve"> productivity and diversify the economy are necessary for the full benefits of integration to be captured</w:t>
      </w:r>
      <w:r w:rsidR="007C7B33">
        <w:rPr>
          <w:lang w:val="en-GB"/>
        </w:rPr>
        <w:t>.</w:t>
      </w:r>
      <w:r w:rsidR="003A50B9">
        <w:rPr>
          <w:rStyle w:val="FootnoteReference"/>
          <w:lang w:val="en-GB"/>
        </w:rPr>
        <w:footnoteReference w:id="29"/>
      </w:r>
    </w:p>
    <w:p w14:paraId="6062FE05" w14:textId="1EAFF822" w:rsidR="005B49F0" w:rsidRPr="00334549" w:rsidRDefault="005A76D9" w:rsidP="007868EE">
      <w:pPr>
        <w:pStyle w:val="ListParagraph"/>
        <w:numPr>
          <w:ilvl w:val="0"/>
          <w:numId w:val="2"/>
        </w:numPr>
        <w:spacing w:before="120" w:after="120"/>
        <w:ind w:left="360" w:right="90" w:firstLine="0"/>
        <w:jc w:val="both"/>
        <w:rPr>
          <w:color w:val="000000"/>
        </w:rPr>
      </w:pPr>
      <w:r>
        <w:rPr>
          <w:color w:val="000000"/>
        </w:rPr>
        <w:t>Kyrgyzstan</w:t>
      </w:r>
      <w:r w:rsidRPr="00334549" w:rsidDel="005A76D9">
        <w:rPr>
          <w:szCs w:val="24"/>
        </w:rPr>
        <w:t xml:space="preserve"> </w:t>
      </w:r>
      <w:r w:rsidR="00B24BAA">
        <w:rPr>
          <w:szCs w:val="24"/>
        </w:rPr>
        <w:t>is particularly</w:t>
      </w:r>
      <w:r w:rsidR="00F10A3F" w:rsidRPr="00334549">
        <w:rPr>
          <w:szCs w:val="24"/>
        </w:rPr>
        <w:t xml:space="preserve"> </w:t>
      </w:r>
      <w:r w:rsidR="004827B3" w:rsidRPr="00334549">
        <w:rPr>
          <w:szCs w:val="24"/>
        </w:rPr>
        <w:t>vulnerable to climate change</w:t>
      </w:r>
      <w:r w:rsidR="00B24BAA">
        <w:rPr>
          <w:szCs w:val="24"/>
        </w:rPr>
        <w:t>, the</w:t>
      </w:r>
      <w:r w:rsidR="004827B3" w:rsidRPr="00334549">
        <w:rPr>
          <w:szCs w:val="24"/>
        </w:rPr>
        <w:t xml:space="preserve"> </w:t>
      </w:r>
      <w:r w:rsidR="003D3E8F">
        <w:rPr>
          <w:szCs w:val="24"/>
        </w:rPr>
        <w:t>effe</w:t>
      </w:r>
      <w:r w:rsidR="003D3E8F" w:rsidRPr="00334549">
        <w:rPr>
          <w:szCs w:val="24"/>
        </w:rPr>
        <w:t xml:space="preserve">cts </w:t>
      </w:r>
      <w:r w:rsidR="00B24BAA">
        <w:rPr>
          <w:szCs w:val="24"/>
        </w:rPr>
        <w:t xml:space="preserve">of which </w:t>
      </w:r>
      <w:r w:rsidR="003D3E8F">
        <w:rPr>
          <w:szCs w:val="24"/>
        </w:rPr>
        <w:t>include</w:t>
      </w:r>
      <w:r w:rsidR="004827B3" w:rsidRPr="00334549">
        <w:rPr>
          <w:szCs w:val="24"/>
        </w:rPr>
        <w:t xml:space="preserve"> glacial melting and higher risks of glacial lakes outflows</w:t>
      </w:r>
      <w:r w:rsidR="003D3E8F">
        <w:rPr>
          <w:szCs w:val="24"/>
        </w:rPr>
        <w:t>,</w:t>
      </w:r>
      <w:r w:rsidR="004827B3" w:rsidRPr="00334549">
        <w:rPr>
          <w:szCs w:val="24"/>
        </w:rPr>
        <w:t xml:space="preserve"> </w:t>
      </w:r>
      <w:r w:rsidR="005C55ED">
        <w:rPr>
          <w:szCs w:val="24"/>
        </w:rPr>
        <w:t>disrup</w:t>
      </w:r>
      <w:r w:rsidR="004827B3" w:rsidRPr="00334549">
        <w:rPr>
          <w:szCs w:val="24"/>
        </w:rPr>
        <w:t>t</w:t>
      </w:r>
      <w:r w:rsidR="003D3E8F">
        <w:rPr>
          <w:szCs w:val="24"/>
        </w:rPr>
        <w:t>ing</w:t>
      </w:r>
      <w:r w:rsidR="004827B3" w:rsidRPr="00334549">
        <w:rPr>
          <w:szCs w:val="24"/>
        </w:rPr>
        <w:t xml:space="preserve"> the water regime and disasters</w:t>
      </w:r>
      <w:r w:rsidR="00681E08">
        <w:rPr>
          <w:szCs w:val="24"/>
        </w:rPr>
        <w:t>.</w:t>
      </w:r>
      <w:r w:rsidR="00225F01">
        <w:rPr>
          <w:rStyle w:val="FootnoteReference"/>
          <w:szCs w:val="24"/>
        </w:rPr>
        <w:footnoteReference w:id="30"/>
      </w:r>
      <w:r w:rsidR="004827B3" w:rsidRPr="00334549">
        <w:rPr>
          <w:szCs w:val="24"/>
        </w:rPr>
        <w:t xml:space="preserve"> Extremes in weather and </w:t>
      </w:r>
      <w:r w:rsidR="004827B3" w:rsidRPr="00DF1801">
        <w:rPr>
          <w:szCs w:val="24"/>
        </w:rPr>
        <w:t>climate</w:t>
      </w:r>
      <w:r w:rsidR="003D3E8F">
        <w:rPr>
          <w:szCs w:val="24"/>
        </w:rPr>
        <w:t>,</w:t>
      </w:r>
      <w:r w:rsidR="004827B3" w:rsidRPr="00334549">
        <w:rPr>
          <w:szCs w:val="24"/>
        </w:rPr>
        <w:t xml:space="preserve"> and unsustainable natural resources management</w:t>
      </w:r>
      <w:r w:rsidR="003D3E8F">
        <w:rPr>
          <w:szCs w:val="24"/>
        </w:rPr>
        <w:t>,</w:t>
      </w:r>
      <w:r w:rsidR="004827B3" w:rsidRPr="00334549">
        <w:rPr>
          <w:szCs w:val="24"/>
        </w:rPr>
        <w:t xml:space="preserve"> are causing </w:t>
      </w:r>
      <w:r w:rsidR="003D3E8F">
        <w:rPr>
          <w:szCs w:val="24"/>
        </w:rPr>
        <w:t>over 20</w:t>
      </w:r>
      <w:r w:rsidR="00FF426D" w:rsidRPr="00334549">
        <w:rPr>
          <w:szCs w:val="24"/>
        </w:rPr>
        <w:t xml:space="preserve"> </w:t>
      </w:r>
      <w:r w:rsidR="00323992" w:rsidRPr="00334549">
        <w:rPr>
          <w:szCs w:val="24"/>
        </w:rPr>
        <w:t xml:space="preserve">kinds of dangerous processes </w:t>
      </w:r>
      <w:r w:rsidR="003D3E8F">
        <w:rPr>
          <w:szCs w:val="24"/>
        </w:rPr>
        <w:t>that</w:t>
      </w:r>
      <w:r w:rsidR="003D3E8F" w:rsidRPr="00334549">
        <w:rPr>
          <w:szCs w:val="24"/>
        </w:rPr>
        <w:t xml:space="preserve"> </w:t>
      </w:r>
      <w:r w:rsidR="005C55ED">
        <w:rPr>
          <w:szCs w:val="24"/>
        </w:rPr>
        <w:t>trigger</w:t>
      </w:r>
      <w:r w:rsidR="005C55ED" w:rsidRPr="00334549">
        <w:rPr>
          <w:szCs w:val="24"/>
        </w:rPr>
        <w:t xml:space="preserve"> </w:t>
      </w:r>
      <w:r w:rsidR="00323992" w:rsidRPr="00334549">
        <w:rPr>
          <w:szCs w:val="24"/>
        </w:rPr>
        <w:t>natural disasters</w:t>
      </w:r>
      <w:r w:rsidR="003D3E8F">
        <w:rPr>
          <w:szCs w:val="24"/>
        </w:rPr>
        <w:t>,</w:t>
      </w:r>
      <w:r w:rsidR="00FF426D">
        <w:rPr>
          <w:rStyle w:val="FootnoteReference"/>
          <w:szCs w:val="24"/>
        </w:rPr>
        <w:footnoteReference w:id="31"/>
      </w:r>
      <w:r w:rsidR="007E5A5B" w:rsidRPr="00334549">
        <w:rPr>
          <w:szCs w:val="24"/>
        </w:rPr>
        <w:t xml:space="preserve"> </w:t>
      </w:r>
      <w:r w:rsidR="004546B8" w:rsidRPr="00334549">
        <w:rPr>
          <w:szCs w:val="24"/>
        </w:rPr>
        <w:t xml:space="preserve">making the </w:t>
      </w:r>
      <w:r w:rsidR="00870D0B" w:rsidRPr="00334549">
        <w:rPr>
          <w:szCs w:val="24"/>
        </w:rPr>
        <w:t xml:space="preserve">socio-economic </w:t>
      </w:r>
      <w:r w:rsidR="004546B8" w:rsidRPr="00334549">
        <w:rPr>
          <w:szCs w:val="24"/>
        </w:rPr>
        <w:t>situation</w:t>
      </w:r>
      <w:r w:rsidR="00A26878" w:rsidRPr="00334549">
        <w:rPr>
          <w:szCs w:val="24"/>
        </w:rPr>
        <w:t xml:space="preserve"> even more</w:t>
      </w:r>
      <w:r w:rsidR="004546B8" w:rsidRPr="00334549">
        <w:rPr>
          <w:szCs w:val="24"/>
        </w:rPr>
        <w:t xml:space="preserve"> fragile </w:t>
      </w:r>
      <w:r w:rsidR="003D3E8F">
        <w:rPr>
          <w:szCs w:val="24"/>
        </w:rPr>
        <w:t xml:space="preserve">and increasing </w:t>
      </w:r>
      <w:r w:rsidR="004546B8" w:rsidRPr="00334549">
        <w:rPr>
          <w:szCs w:val="24"/>
        </w:rPr>
        <w:t xml:space="preserve">pressure </w:t>
      </w:r>
      <w:r w:rsidR="00A26878" w:rsidRPr="00334549">
        <w:rPr>
          <w:szCs w:val="24"/>
        </w:rPr>
        <w:t>upon local</w:t>
      </w:r>
      <w:r w:rsidR="004546B8" w:rsidRPr="00334549">
        <w:rPr>
          <w:szCs w:val="24"/>
        </w:rPr>
        <w:t xml:space="preserve"> communities</w:t>
      </w:r>
      <w:r w:rsidR="00323992" w:rsidRPr="00334549">
        <w:rPr>
          <w:szCs w:val="24"/>
        </w:rPr>
        <w:t>.</w:t>
      </w:r>
      <w:r w:rsidR="004827B3" w:rsidRPr="00334549">
        <w:rPr>
          <w:szCs w:val="24"/>
        </w:rPr>
        <w:t xml:space="preserve"> </w:t>
      </w:r>
      <w:r w:rsidR="004530B3">
        <w:rPr>
          <w:szCs w:val="24"/>
        </w:rPr>
        <w:t>D</w:t>
      </w:r>
      <w:r w:rsidR="00225F01" w:rsidRPr="00334549">
        <w:rPr>
          <w:szCs w:val="24"/>
        </w:rPr>
        <w:t xml:space="preserve">irect economic losses </w:t>
      </w:r>
      <w:r w:rsidR="005C55ED">
        <w:rPr>
          <w:szCs w:val="24"/>
        </w:rPr>
        <w:t>deriving</w:t>
      </w:r>
      <w:r w:rsidR="005C55ED" w:rsidRPr="00334549">
        <w:rPr>
          <w:szCs w:val="24"/>
        </w:rPr>
        <w:t xml:space="preserve"> </w:t>
      </w:r>
      <w:r w:rsidR="00225F01" w:rsidRPr="00334549">
        <w:rPr>
          <w:szCs w:val="24"/>
        </w:rPr>
        <w:t xml:space="preserve">from natural disasters are estimated </w:t>
      </w:r>
      <w:r w:rsidR="004530B3">
        <w:rPr>
          <w:szCs w:val="24"/>
        </w:rPr>
        <w:t xml:space="preserve">at </w:t>
      </w:r>
      <w:r w:rsidR="00225F01" w:rsidRPr="00334549">
        <w:rPr>
          <w:szCs w:val="24"/>
        </w:rPr>
        <w:t>1</w:t>
      </w:r>
      <w:r w:rsidR="004530B3">
        <w:rPr>
          <w:szCs w:val="24"/>
        </w:rPr>
        <w:t>-</w:t>
      </w:r>
      <w:r w:rsidR="00225F01" w:rsidRPr="00334549">
        <w:rPr>
          <w:szCs w:val="24"/>
        </w:rPr>
        <w:t>1.5</w:t>
      </w:r>
      <w:r w:rsidR="00A838BA">
        <w:rPr>
          <w:szCs w:val="24"/>
        </w:rPr>
        <w:t xml:space="preserve"> </w:t>
      </w:r>
      <w:r w:rsidR="00A44AF5">
        <w:rPr>
          <w:szCs w:val="24"/>
        </w:rPr>
        <w:t>per cent</w:t>
      </w:r>
      <w:r w:rsidR="00225F01" w:rsidRPr="00334549">
        <w:rPr>
          <w:szCs w:val="24"/>
        </w:rPr>
        <w:t xml:space="preserve"> of </w:t>
      </w:r>
      <w:r w:rsidR="003D3E8F">
        <w:rPr>
          <w:szCs w:val="24"/>
        </w:rPr>
        <w:t>annual gross domestic product</w:t>
      </w:r>
      <w:r w:rsidR="00FE6262">
        <w:rPr>
          <w:szCs w:val="24"/>
        </w:rPr>
        <w:t>.</w:t>
      </w:r>
      <w:r w:rsidR="00323992">
        <w:rPr>
          <w:rStyle w:val="FootnoteReference"/>
          <w:szCs w:val="24"/>
        </w:rPr>
        <w:footnoteReference w:id="32"/>
      </w:r>
      <w:r w:rsidR="00225F01" w:rsidRPr="00334549">
        <w:rPr>
          <w:szCs w:val="24"/>
        </w:rPr>
        <w:t xml:space="preserve"> </w:t>
      </w:r>
      <w:r w:rsidR="005C55ED">
        <w:rPr>
          <w:szCs w:val="24"/>
        </w:rPr>
        <w:t xml:space="preserve">Low </w:t>
      </w:r>
      <w:r w:rsidR="001E1172">
        <w:rPr>
          <w:szCs w:val="24"/>
        </w:rPr>
        <w:t>r</w:t>
      </w:r>
      <w:r w:rsidR="004D6DB8" w:rsidRPr="00334549">
        <w:rPr>
          <w:szCs w:val="24"/>
        </w:rPr>
        <w:t xml:space="preserve">esilience of people and communities, </w:t>
      </w:r>
      <w:r w:rsidR="001E1172">
        <w:rPr>
          <w:szCs w:val="24"/>
        </w:rPr>
        <w:lastRenderedPageBreak/>
        <w:t>limited policy and institutional framework</w:t>
      </w:r>
      <w:r w:rsidR="004530B3">
        <w:rPr>
          <w:szCs w:val="24"/>
        </w:rPr>
        <w:t>s</w:t>
      </w:r>
      <w:r w:rsidR="009731CC">
        <w:rPr>
          <w:szCs w:val="24"/>
        </w:rPr>
        <w:t>,</w:t>
      </w:r>
      <w:r w:rsidR="004827B3" w:rsidRPr="00334549">
        <w:rPr>
          <w:szCs w:val="24"/>
        </w:rPr>
        <w:t xml:space="preserve"> </w:t>
      </w:r>
      <w:r w:rsidR="003D3E8F">
        <w:rPr>
          <w:szCs w:val="24"/>
        </w:rPr>
        <w:t xml:space="preserve">and poor </w:t>
      </w:r>
      <w:r w:rsidR="004827B3" w:rsidRPr="00334549">
        <w:rPr>
          <w:szCs w:val="24"/>
        </w:rPr>
        <w:t>forecast and response capabilities</w:t>
      </w:r>
      <w:r w:rsidR="001E1172">
        <w:rPr>
          <w:szCs w:val="24"/>
        </w:rPr>
        <w:t xml:space="preserve"> imped</w:t>
      </w:r>
      <w:r w:rsidR="003D3E8F">
        <w:rPr>
          <w:szCs w:val="24"/>
        </w:rPr>
        <w:t>e</w:t>
      </w:r>
      <w:r w:rsidR="001E1172">
        <w:rPr>
          <w:szCs w:val="24"/>
        </w:rPr>
        <w:t xml:space="preserve"> adequate response to climate change and disasters. </w:t>
      </w:r>
      <w:r w:rsidR="004530B3">
        <w:rPr>
          <w:szCs w:val="24"/>
        </w:rPr>
        <w:t>D</w:t>
      </w:r>
      <w:r w:rsidR="00323992" w:rsidRPr="00334549">
        <w:rPr>
          <w:szCs w:val="24"/>
        </w:rPr>
        <w:t>isaster management governance rel</w:t>
      </w:r>
      <w:r w:rsidR="00A00814">
        <w:rPr>
          <w:szCs w:val="24"/>
        </w:rPr>
        <w:t>ies</w:t>
      </w:r>
      <w:r w:rsidR="00323992" w:rsidRPr="00334549">
        <w:rPr>
          <w:szCs w:val="24"/>
        </w:rPr>
        <w:t xml:space="preserve"> on </w:t>
      </w:r>
      <w:r w:rsidR="003D3E8F">
        <w:rPr>
          <w:szCs w:val="24"/>
        </w:rPr>
        <w:t xml:space="preserve">an </w:t>
      </w:r>
      <w:r w:rsidR="00323992" w:rsidRPr="00334549">
        <w:rPr>
          <w:szCs w:val="24"/>
        </w:rPr>
        <w:t xml:space="preserve">emergency management structure that is </w:t>
      </w:r>
      <w:r w:rsidR="00A00814">
        <w:rPr>
          <w:szCs w:val="24"/>
        </w:rPr>
        <w:t>in</w:t>
      </w:r>
      <w:r w:rsidR="00323992" w:rsidRPr="00334549">
        <w:rPr>
          <w:szCs w:val="24"/>
        </w:rPr>
        <w:t>sufficient</w:t>
      </w:r>
      <w:r w:rsidR="004530B3">
        <w:rPr>
          <w:szCs w:val="24"/>
        </w:rPr>
        <w:t xml:space="preserve"> for a system-wide approach</w:t>
      </w:r>
      <w:r w:rsidR="00323992" w:rsidRPr="00334549">
        <w:rPr>
          <w:szCs w:val="24"/>
        </w:rPr>
        <w:t xml:space="preserve"> to address</w:t>
      </w:r>
      <w:r w:rsidR="004530B3">
        <w:rPr>
          <w:szCs w:val="24"/>
        </w:rPr>
        <w:t>ing</w:t>
      </w:r>
      <w:r w:rsidR="00323992" w:rsidRPr="00334549">
        <w:rPr>
          <w:szCs w:val="24"/>
        </w:rPr>
        <w:t xml:space="preserve"> risks</w:t>
      </w:r>
      <w:r w:rsidR="003D3E8F">
        <w:rPr>
          <w:szCs w:val="24"/>
        </w:rPr>
        <w:t>.</w:t>
      </w:r>
      <w:r w:rsidR="00323992" w:rsidRPr="00334549">
        <w:rPr>
          <w:szCs w:val="24"/>
        </w:rPr>
        <w:t xml:space="preserve"> </w:t>
      </w:r>
      <w:r w:rsidR="003D3E8F">
        <w:rPr>
          <w:szCs w:val="24"/>
        </w:rPr>
        <w:t>A m</w:t>
      </w:r>
      <w:r w:rsidR="00323992" w:rsidRPr="00334549">
        <w:rPr>
          <w:szCs w:val="24"/>
        </w:rPr>
        <w:t>ulti</w:t>
      </w:r>
      <w:r w:rsidR="003D3E8F">
        <w:rPr>
          <w:szCs w:val="24"/>
        </w:rPr>
        <w:t>-</w:t>
      </w:r>
      <w:r w:rsidR="00323992" w:rsidRPr="00334549">
        <w:rPr>
          <w:szCs w:val="24"/>
        </w:rPr>
        <w:t>disciplinary ‘risk governance’ paradigm</w:t>
      </w:r>
      <w:r w:rsidR="003403BF">
        <w:rPr>
          <w:szCs w:val="24"/>
        </w:rPr>
        <w:t xml:space="preserve"> needs to be adopted</w:t>
      </w:r>
      <w:r w:rsidR="00AA246D">
        <w:rPr>
          <w:szCs w:val="24"/>
        </w:rPr>
        <w:t>.</w:t>
      </w:r>
    </w:p>
    <w:p w14:paraId="50B7F3A9" w14:textId="01E71867" w:rsidR="005B49F0" w:rsidRPr="005B49F0" w:rsidRDefault="00A52C9F" w:rsidP="007868EE">
      <w:pPr>
        <w:pStyle w:val="ListParagraph"/>
        <w:numPr>
          <w:ilvl w:val="0"/>
          <w:numId w:val="2"/>
        </w:numPr>
        <w:spacing w:before="120" w:after="120"/>
        <w:ind w:left="360" w:right="90" w:firstLine="0"/>
        <w:jc w:val="both"/>
        <w:rPr>
          <w:color w:val="000000"/>
        </w:rPr>
      </w:pPr>
      <w:r>
        <w:rPr>
          <w:color w:val="000000"/>
        </w:rPr>
        <w:t>Kyrgyzstan</w:t>
      </w:r>
      <w:r w:rsidDel="00A52C9F">
        <w:rPr>
          <w:lang w:val="en-GB"/>
        </w:rPr>
        <w:t xml:space="preserve"> </w:t>
      </w:r>
      <w:r w:rsidR="00487513" w:rsidRPr="005B49F0">
        <w:rPr>
          <w:lang w:val="en-GB"/>
        </w:rPr>
        <w:t xml:space="preserve">is characterized by high degree of biodiversity concentration </w:t>
      </w:r>
      <w:r w:rsidR="00F70823">
        <w:rPr>
          <w:lang w:val="en-GB"/>
        </w:rPr>
        <w:t>at</w:t>
      </w:r>
      <w:r w:rsidR="00F70823" w:rsidRPr="005B49F0">
        <w:rPr>
          <w:lang w:val="en-GB"/>
        </w:rPr>
        <w:t xml:space="preserve"> </w:t>
      </w:r>
      <w:r w:rsidR="004530B3">
        <w:rPr>
          <w:lang w:val="en-GB"/>
        </w:rPr>
        <w:t xml:space="preserve">both </w:t>
      </w:r>
      <w:r w:rsidR="00487513" w:rsidRPr="005B49F0">
        <w:rPr>
          <w:lang w:val="en-GB"/>
        </w:rPr>
        <w:t xml:space="preserve">ecosystem </w:t>
      </w:r>
      <w:r w:rsidR="004530B3">
        <w:rPr>
          <w:lang w:val="en-GB"/>
        </w:rPr>
        <w:t>and</w:t>
      </w:r>
      <w:r w:rsidR="00487513" w:rsidRPr="005B49F0">
        <w:rPr>
          <w:lang w:val="en-GB"/>
        </w:rPr>
        <w:t xml:space="preserve"> species level</w:t>
      </w:r>
      <w:r w:rsidR="005C55ED">
        <w:rPr>
          <w:lang w:val="en-GB"/>
        </w:rPr>
        <w:t>s</w:t>
      </w:r>
      <w:r w:rsidR="00D86B9E">
        <w:rPr>
          <w:lang w:val="en-GB"/>
        </w:rPr>
        <w:t>.</w:t>
      </w:r>
      <w:r w:rsidR="00487513" w:rsidRPr="00EF4A22">
        <w:rPr>
          <w:vertAlign w:val="superscript"/>
          <w:lang w:val="en-GB"/>
        </w:rPr>
        <w:footnoteReference w:id="33"/>
      </w:r>
      <w:r w:rsidR="00487513">
        <w:rPr>
          <w:lang w:val="en-GB"/>
        </w:rPr>
        <w:t xml:space="preserve"> However, </w:t>
      </w:r>
      <w:r w:rsidR="00A26878" w:rsidRPr="005B49F0">
        <w:rPr>
          <w:lang w:val="en-GB"/>
        </w:rPr>
        <w:t xml:space="preserve">natural resources </w:t>
      </w:r>
      <w:r w:rsidR="003403BF" w:rsidRPr="005B49F0">
        <w:rPr>
          <w:lang w:val="en-GB"/>
        </w:rPr>
        <w:t xml:space="preserve">exploitation </w:t>
      </w:r>
      <w:r w:rsidR="003403BF">
        <w:rPr>
          <w:lang w:val="en-GB"/>
        </w:rPr>
        <w:t>over</w:t>
      </w:r>
      <w:r w:rsidR="003403BF" w:rsidRPr="005B49F0">
        <w:rPr>
          <w:lang w:val="en-GB"/>
        </w:rPr>
        <w:t xml:space="preserve"> </w:t>
      </w:r>
      <w:r w:rsidR="00A26878" w:rsidRPr="005B49F0">
        <w:rPr>
          <w:lang w:val="en-GB"/>
        </w:rPr>
        <w:t>the past 50 years</w:t>
      </w:r>
      <w:r w:rsidR="003403BF">
        <w:rPr>
          <w:lang w:val="en-GB"/>
        </w:rPr>
        <w:t xml:space="preserve"> has</w:t>
      </w:r>
      <w:r w:rsidR="00A26878" w:rsidRPr="005B49F0">
        <w:rPr>
          <w:lang w:val="en-GB"/>
        </w:rPr>
        <w:t xml:space="preserve"> severe</w:t>
      </w:r>
      <w:r w:rsidR="007E5A5B">
        <w:rPr>
          <w:lang w:val="en-GB"/>
        </w:rPr>
        <w:t>ly</w:t>
      </w:r>
      <w:r w:rsidR="00A26878" w:rsidRPr="005B49F0">
        <w:rPr>
          <w:lang w:val="en-GB"/>
        </w:rPr>
        <w:t xml:space="preserve"> </w:t>
      </w:r>
      <w:r w:rsidR="003403BF">
        <w:rPr>
          <w:lang w:val="en-GB"/>
        </w:rPr>
        <w:t>damaged its</w:t>
      </w:r>
      <w:r w:rsidR="00A26878" w:rsidRPr="005B49F0">
        <w:rPr>
          <w:lang w:val="en-GB"/>
        </w:rPr>
        <w:t xml:space="preserve"> ecosystems (forests</w:t>
      </w:r>
      <w:r w:rsidR="004D6DB8">
        <w:rPr>
          <w:lang w:val="en-GB"/>
        </w:rPr>
        <w:t>,</w:t>
      </w:r>
      <w:r w:rsidR="00A26878" w:rsidRPr="005B49F0">
        <w:rPr>
          <w:lang w:val="en-GB"/>
        </w:rPr>
        <w:t xml:space="preserve"> pastures and arable lands</w:t>
      </w:r>
      <w:r w:rsidR="00DB501E">
        <w:rPr>
          <w:rStyle w:val="FootnoteReference"/>
          <w:lang w:val="en-GB"/>
        </w:rPr>
        <w:footnoteReference w:id="34"/>
      </w:r>
      <w:r w:rsidR="00A26878" w:rsidRPr="005B49F0">
        <w:rPr>
          <w:lang w:val="en-GB"/>
        </w:rPr>
        <w:t>). The rural poor</w:t>
      </w:r>
      <w:r w:rsidR="00323992" w:rsidRPr="005B49F0">
        <w:rPr>
          <w:lang w:val="en-GB"/>
        </w:rPr>
        <w:t>,</w:t>
      </w:r>
      <w:r w:rsidR="00A26878" w:rsidRPr="005B49F0">
        <w:rPr>
          <w:lang w:val="en-GB"/>
        </w:rPr>
        <w:t xml:space="preserve"> </w:t>
      </w:r>
      <w:r w:rsidR="00323992" w:rsidRPr="005B49F0">
        <w:rPr>
          <w:szCs w:val="24"/>
        </w:rPr>
        <w:t>especially women and children,</w:t>
      </w:r>
      <w:r w:rsidR="00323992" w:rsidRPr="005B49F0">
        <w:rPr>
          <w:lang w:val="en-GB"/>
        </w:rPr>
        <w:t xml:space="preserve"> </w:t>
      </w:r>
      <w:r w:rsidR="00A26878" w:rsidRPr="005B49F0">
        <w:rPr>
          <w:lang w:val="en-GB"/>
        </w:rPr>
        <w:t>depend on access to natural resources</w:t>
      </w:r>
      <w:r w:rsidR="003403BF">
        <w:rPr>
          <w:lang w:val="en-GB"/>
        </w:rPr>
        <w:t xml:space="preserve"> – </w:t>
      </w:r>
      <w:r w:rsidR="004530B3">
        <w:rPr>
          <w:lang w:val="en-GB"/>
        </w:rPr>
        <w:t>particular</w:t>
      </w:r>
      <w:r w:rsidR="00A26878" w:rsidRPr="005B49F0">
        <w:rPr>
          <w:lang w:val="en-GB"/>
        </w:rPr>
        <w:t>ly land and water</w:t>
      </w:r>
      <w:r w:rsidR="003403BF">
        <w:rPr>
          <w:lang w:val="en-GB"/>
        </w:rPr>
        <w:t xml:space="preserve"> – </w:t>
      </w:r>
      <w:r w:rsidR="00A26878" w:rsidRPr="005B49F0">
        <w:rPr>
          <w:lang w:val="en-GB"/>
        </w:rPr>
        <w:t xml:space="preserve">for </w:t>
      </w:r>
      <w:r w:rsidR="00160C11" w:rsidRPr="005B49F0">
        <w:rPr>
          <w:lang w:val="en-GB"/>
        </w:rPr>
        <w:t>sustainab</w:t>
      </w:r>
      <w:r w:rsidR="003403BF">
        <w:rPr>
          <w:lang w:val="en-GB"/>
        </w:rPr>
        <w:t>le</w:t>
      </w:r>
      <w:r w:rsidR="00A26878" w:rsidRPr="005B49F0">
        <w:rPr>
          <w:lang w:val="en-GB"/>
        </w:rPr>
        <w:t xml:space="preserve"> livelihoods. Climate change and more frequent natural disasters worsen the situation.</w:t>
      </w:r>
      <w:r w:rsidR="0024500F" w:rsidRPr="005B49F0">
        <w:rPr>
          <w:lang w:val="en-GB"/>
        </w:rPr>
        <w:t xml:space="preserve"> </w:t>
      </w:r>
      <w:r w:rsidR="003403BF">
        <w:rPr>
          <w:color w:val="000000"/>
        </w:rPr>
        <w:t>T</w:t>
      </w:r>
      <w:r w:rsidR="00A26878" w:rsidRPr="005B49F0">
        <w:rPr>
          <w:color w:val="000000"/>
        </w:rPr>
        <w:t xml:space="preserve">he </w:t>
      </w:r>
      <w:r w:rsidR="0042547B" w:rsidRPr="005B49F0">
        <w:rPr>
          <w:color w:val="000000"/>
        </w:rPr>
        <w:t xml:space="preserve">state of the environment </w:t>
      </w:r>
      <w:r w:rsidR="003403BF">
        <w:rPr>
          <w:color w:val="000000"/>
        </w:rPr>
        <w:t xml:space="preserve">thus </w:t>
      </w:r>
      <w:r w:rsidR="0042547B" w:rsidRPr="005B49F0">
        <w:rPr>
          <w:color w:val="000000"/>
        </w:rPr>
        <w:t>largely</w:t>
      </w:r>
      <w:r w:rsidR="00E84DFA" w:rsidRPr="005B49F0">
        <w:rPr>
          <w:color w:val="000000"/>
        </w:rPr>
        <w:t xml:space="preserve"> hinges on the </w:t>
      </w:r>
      <w:r w:rsidR="004530B3">
        <w:rPr>
          <w:color w:val="000000"/>
        </w:rPr>
        <w:t>appropriate</w:t>
      </w:r>
      <w:r w:rsidR="003403BF">
        <w:rPr>
          <w:color w:val="000000"/>
        </w:rPr>
        <w:t>,</w:t>
      </w:r>
      <w:r w:rsidR="00E84DFA" w:rsidRPr="005B49F0">
        <w:rPr>
          <w:color w:val="000000"/>
        </w:rPr>
        <w:t xml:space="preserve"> rational management of </w:t>
      </w:r>
      <w:r w:rsidR="0042547B" w:rsidRPr="005B49F0">
        <w:rPr>
          <w:color w:val="000000"/>
        </w:rPr>
        <w:t>energy, environment and natural resource</w:t>
      </w:r>
      <w:r w:rsidR="00A26878" w:rsidRPr="005B49F0">
        <w:rPr>
          <w:color w:val="000000"/>
        </w:rPr>
        <w:t>s</w:t>
      </w:r>
      <w:r w:rsidR="004827B3" w:rsidRPr="005B49F0">
        <w:rPr>
          <w:color w:val="000000"/>
        </w:rPr>
        <w:t xml:space="preserve">. </w:t>
      </w:r>
    </w:p>
    <w:p w14:paraId="3C0B7F2C" w14:textId="1C10789D" w:rsidR="005B49F0" w:rsidRPr="000A490B" w:rsidRDefault="0088387E" w:rsidP="007868EE">
      <w:pPr>
        <w:pStyle w:val="ListParagraph"/>
        <w:numPr>
          <w:ilvl w:val="0"/>
          <w:numId w:val="2"/>
        </w:numPr>
        <w:spacing w:before="120" w:after="120"/>
        <w:ind w:left="360" w:right="90" w:firstLine="0"/>
        <w:jc w:val="both"/>
        <w:rPr>
          <w:color w:val="000000"/>
        </w:rPr>
      </w:pPr>
      <w:r w:rsidRPr="000A490B">
        <w:rPr>
          <w:lang w:val="en-GB"/>
        </w:rPr>
        <w:t xml:space="preserve">During the </w:t>
      </w:r>
      <w:r w:rsidR="003403BF">
        <w:rPr>
          <w:lang w:val="en-GB"/>
        </w:rPr>
        <w:t>c</w:t>
      </w:r>
      <w:r w:rsidRPr="000A490B">
        <w:rPr>
          <w:lang w:val="en-GB"/>
        </w:rPr>
        <w:t xml:space="preserve">ountry </w:t>
      </w:r>
      <w:r w:rsidR="003403BF">
        <w:rPr>
          <w:lang w:val="en-GB"/>
        </w:rPr>
        <w:t>p</w:t>
      </w:r>
      <w:r w:rsidRPr="000A490B">
        <w:rPr>
          <w:lang w:val="en-GB"/>
        </w:rPr>
        <w:t xml:space="preserve">rogramme </w:t>
      </w:r>
      <w:r w:rsidR="003403BF">
        <w:rPr>
          <w:lang w:val="en-GB"/>
        </w:rPr>
        <w:t>cycle,</w:t>
      </w:r>
      <w:r w:rsidRPr="000A490B">
        <w:rPr>
          <w:lang w:val="en-GB"/>
        </w:rPr>
        <w:t xml:space="preserve"> </w:t>
      </w:r>
      <w:r w:rsidR="005C55ED">
        <w:rPr>
          <w:lang w:val="en-GB"/>
        </w:rPr>
        <w:t xml:space="preserve">2012-2017, </w:t>
      </w:r>
      <w:r w:rsidR="000A23C0" w:rsidRPr="000A490B">
        <w:rPr>
          <w:lang w:val="en-GB"/>
        </w:rPr>
        <w:t xml:space="preserve">UNDP activities were strongly anchored in </w:t>
      </w:r>
      <w:r w:rsidR="003403BF">
        <w:rPr>
          <w:lang w:val="en-GB"/>
        </w:rPr>
        <w:t>national</w:t>
      </w:r>
      <w:r w:rsidR="000A23C0" w:rsidRPr="000A490B">
        <w:rPr>
          <w:lang w:val="en-GB"/>
        </w:rPr>
        <w:t xml:space="preserve"> development priorities</w:t>
      </w:r>
      <w:r w:rsidR="002B449C" w:rsidRPr="000A490B">
        <w:rPr>
          <w:lang w:val="en-GB"/>
        </w:rPr>
        <w:t xml:space="preserve"> based on </w:t>
      </w:r>
      <w:r w:rsidR="006E2094">
        <w:rPr>
          <w:lang w:val="en-GB"/>
        </w:rPr>
        <w:t xml:space="preserve">the </w:t>
      </w:r>
      <w:r w:rsidR="003403BF" w:rsidRPr="000A490B">
        <w:rPr>
          <w:lang w:val="en-GB"/>
        </w:rPr>
        <w:t>M</w:t>
      </w:r>
      <w:r w:rsidR="003403BF">
        <w:rPr>
          <w:lang w:val="en-GB"/>
        </w:rPr>
        <w:t>illennium Development Goals</w:t>
      </w:r>
      <w:r w:rsidR="003403BF" w:rsidRPr="000A490B">
        <w:rPr>
          <w:lang w:val="en-GB"/>
        </w:rPr>
        <w:t xml:space="preserve"> </w:t>
      </w:r>
      <w:r w:rsidR="002B449C" w:rsidRPr="000A490B">
        <w:rPr>
          <w:lang w:val="en-GB"/>
        </w:rPr>
        <w:t>agenda</w:t>
      </w:r>
      <w:r w:rsidR="000A23C0" w:rsidRPr="000A490B">
        <w:rPr>
          <w:lang w:val="en-GB"/>
        </w:rPr>
        <w:t xml:space="preserve">. Although the programme operated in a volatile political and social environment, UNDP </w:t>
      </w:r>
      <w:r w:rsidR="005C55ED">
        <w:rPr>
          <w:lang w:val="en-GB"/>
        </w:rPr>
        <w:t>succeeded in</w:t>
      </w:r>
      <w:r w:rsidR="000A23C0" w:rsidRPr="000A490B">
        <w:rPr>
          <w:lang w:val="en-GB"/>
        </w:rPr>
        <w:t xml:space="preserve"> respond</w:t>
      </w:r>
      <w:r w:rsidR="005C55ED">
        <w:rPr>
          <w:lang w:val="en-GB"/>
        </w:rPr>
        <w:t>ing</w:t>
      </w:r>
      <w:r w:rsidR="000A23C0" w:rsidRPr="000A490B">
        <w:rPr>
          <w:lang w:val="en-GB"/>
        </w:rPr>
        <w:t xml:space="preserve"> effectively to evolving needs and contribut</w:t>
      </w:r>
      <w:r w:rsidR="004530B3">
        <w:rPr>
          <w:lang w:val="en-GB"/>
        </w:rPr>
        <w:t>e</w:t>
      </w:r>
      <w:r w:rsidR="005C55ED">
        <w:rPr>
          <w:lang w:val="en-GB"/>
        </w:rPr>
        <w:t>d</w:t>
      </w:r>
      <w:r w:rsidR="000A23C0" w:rsidRPr="000A490B">
        <w:rPr>
          <w:lang w:val="en-GB"/>
        </w:rPr>
        <w:t xml:space="preserve"> across a number of priority areas</w:t>
      </w:r>
      <w:r w:rsidR="00036D87">
        <w:rPr>
          <w:lang w:val="en-GB"/>
        </w:rPr>
        <w:t>.</w:t>
      </w:r>
      <w:r w:rsidR="000A23C0">
        <w:rPr>
          <w:rStyle w:val="FootnoteReference"/>
          <w:lang w:val="en-GB"/>
        </w:rPr>
        <w:footnoteReference w:id="35"/>
      </w:r>
      <w:r w:rsidR="000A23C0" w:rsidRPr="000A490B">
        <w:rPr>
          <w:lang w:val="en-GB"/>
        </w:rPr>
        <w:t xml:space="preserve"> </w:t>
      </w:r>
    </w:p>
    <w:p w14:paraId="201AA097" w14:textId="04AEC5A0" w:rsidR="005B49F0" w:rsidRPr="005B49F0" w:rsidRDefault="00AA7815" w:rsidP="007868EE">
      <w:pPr>
        <w:pStyle w:val="ListParagraph"/>
        <w:numPr>
          <w:ilvl w:val="0"/>
          <w:numId w:val="2"/>
        </w:numPr>
        <w:spacing w:before="120" w:after="120"/>
        <w:ind w:left="360" w:right="90" w:firstLine="0"/>
        <w:jc w:val="both"/>
        <w:rPr>
          <w:color w:val="000000"/>
        </w:rPr>
      </w:pPr>
      <w:r>
        <w:rPr>
          <w:lang w:val="en-GB"/>
        </w:rPr>
        <w:t xml:space="preserve">The </w:t>
      </w:r>
      <w:r w:rsidR="006255A6" w:rsidRPr="005B49F0">
        <w:rPr>
          <w:lang w:val="en-GB"/>
        </w:rPr>
        <w:t xml:space="preserve">programme had a significant focus on governance and </w:t>
      </w:r>
      <w:r w:rsidR="00435EEE">
        <w:rPr>
          <w:lang w:val="en-GB"/>
        </w:rPr>
        <w:t xml:space="preserve">the </w:t>
      </w:r>
      <w:r w:rsidR="006255A6" w:rsidRPr="005B49F0">
        <w:rPr>
          <w:lang w:val="en-GB"/>
        </w:rPr>
        <w:t>rule of law</w:t>
      </w:r>
      <w:r>
        <w:rPr>
          <w:lang w:val="en-GB"/>
        </w:rPr>
        <w:t>,</w:t>
      </w:r>
      <w:r w:rsidR="006255A6" w:rsidRPr="005B49F0">
        <w:rPr>
          <w:lang w:val="en-GB"/>
        </w:rPr>
        <w:t xml:space="preserve"> and supported all the major stakeholders (legislative, executive, judiciary, civil society, </w:t>
      </w:r>
      <w:r>
        <w:rPr>
          <w:lang w:val="en-GB"/>
        </w:rPr>
        <w:t xml:space="preserve">and the </w:t>
      </w:r>
      <w:r w:rsidR="00B436B8" w:rsidRPr="005B49F0">
        <w:rPr>
          <w:lang w:val="en-GB"/>
        </w:rPr>
        <w:t>most vulnerable</w:t>
      </w:r>
      <w:r w:rsidR="006255A6" w:rsidRPr="005B49F0">
        <w:rPr>
          <w:lang w:val="en-GB"/>
        </w:rPr>
        <w:t>). Important areas of work</w:t>
      </w:r>
      <w:r w:rsidR="00682E6B">
        <w:rPr>
          <w:lang w:val="en-GB"/>
        </w:rPr>
        <w:t>, supported by</w:t>
      </w:r>
      <w:r w:rsidR="00C74844">
        <w:rPr>
          <w:lang w:val="en-GB"/>
        </w:rPr>
        <w:t xml:space="preserve"> the</w:t>
      </w:r>
      <w:r w:rsidR="00682E6B">
        <w:rPr>
          <w:lang w:val="en-GB"/>
        </w:rPr>
        <w:t xml:space="preserve"> E</w:t>
      </w:r>
      <w:r>
        <w:rPr>
          <w:lang w:val="en-GB"/>
        </w:rPr>
        <w:t>uropean Union</w:t>
      </w:r>
      <w:r w:rsidR="00682E6B">
        <w:rPr>
          <w:lang w:val="en-GB"/>
        </w:rPr>
        <w:t xml:space="preserve">, Japan, </w:t>
      </w:r>
      <w:r w:rsidR="00C74844">
        <w:rPr>
          <w:lang w:val="en-GB"/>
        </w:rPr>
        <w:t xml:space="preserve">the </w:t>
      </w:r>
      <w:r w:rsidR="00682E6B">
        <w:rPr>
          <w:lang w:val="en-GB"/>
        </w:rPr>
        <w:t>Russia</w:t>
      </w:r>
      <w:r w:rsidR="00C74844">
        <w:rPr>
          <w:lang w:val="en-GB"/>
        </w:rPr>
        <w:t>n Federation</w:t>
      </w:r>
      <w:r w:rsidR="00FC7530">
        <w:rPr>
          <w:lang w:val="en-GB"/>
        </w:rPr>
        <w:t>, Switzerland, the United Kingdom,</w:t>
      </w:r>
      <w:r w:rsidR="00682E6B">
        <w:rPr>
          <w:lang w:val="en-GB"/>
        </w:rPr>
        <w:t xml:space="preserve"> and other partners,</w:t>
      </w:r>
      <w:r w:rsidR="006255A6" w:rsidRPr="005B49F0">
        <w:rPr>
          <w:lang w:val="en-GB"/>
        </w:rPr>
        <w:t xml:space="preserve"> included</w:t>
      </w:r>
      <w:r w:rsidR="00B436B8">
        <w:rPr>
          <w:lang w:val="en-GB"/>
        </w:rPr>
        <w:t xml:space="preserve"> electoral support</w:t>
      </w:r>
      <w:r w:rsidR="00313CA2">
        <w:rPr>
          <w:lang w:val="en-GB"/>
        </w:rPr>
        <w:t>;</w:t>
      </w:r>
      <w:r w:rsidR="00B436B8">
        <w:rPr>
          <w:lang w:val="en-GB"/>
        </w:rPr>
        <w:t xml:space="preserve"> rule of law</w:t>
      </w:r>
      <w:r w:rsidR="00313CA2">
        <w:rPr>
          <w:lang w:val="en-GB"/>
        </w:rPr>
        <w:t>;</w:t>
      </w:r>
      <w:r w:rsidR="006255A6" w:rsidRPr="005B49F0">
        <w:rPr>
          <w:lang w:val="en-GB"/>
        </w:rPr>
        <w:t xml:space="preserve"> judicial reform</w:t>
      </w:r>
      <w:r w:rsidR="00313CA2">
        <w:rPr>
          <w:lang w:val="en-GB"/>
        </w:rPr>
        <w:t>;</w:t>
      </w:r>
      <w:r w:rsidR="006255A6" w:rsidRPr="005B49F0">
        <w:rPr>
          <w:lang w:val="en-GB"/>
        </w:rPr>
        <w:t xml:space="preserve"> access to justice</w:t>
      </w:r>
      <w:r w:rsidR="00313CA2">
        <w:rPr>
          <w:lang w:val="en-GB"/>
        </w:rPr>
        <w:t>;</w:t>
      </w:r>
      <w:r w:rsidR="006255A6" w:rsidRPr="005B49F0">
        <w:rPr>
          <w:lang w:val="en-GB"/>
        </w:rPr>
        <w:t xml:space="preserve"> </w:t>
      </w:r>
      <w:r w:rsidR="00682E6B">
        <w:rPr>
          <w:lang w:val="en-GB"/>
        </w:rPr>
        <w:t>g</w:t>
      </w:r>
      <w:r w:rsidR="00682E6B" w:rsidRPr="005B49F0">
        <w:rPr>
          <w:lang w:val="en-GB"/>
        </w:rPr>
        <w:t>ender equality and women’s empowerment</w:t>
      </w:r>
      <w:r w:rsidR="00313CA2">
        <w:rPr>
          <w:lang w:val="en-GB"/>
        </w:rPr>
        <w:t>;</w:t>
      </w:r>
      <w:r w:rsidR="00682E6B" w:rsidRPr="005B49F0">
        <w:rPr>
          <w:lang w:val="en-GB"/>
        </w:rPr>
        <w:t xml:space="preserve"> </w:t>
      </w:r>
      <w:r w:rsidR="006255A6" w:rsidRPr="005B49F0">
        <w:rPr>
          <w:lang w:val="en-GB"/>
        </w:rPr>
        <w:t>anti-corruption</w:t>
      </w:r>
      <w:r w:rsidR="00313CA2">
        <w:rPr>
          <w:lang w:val="en-GB"/>
        </w:rPr>
        <w:t>;</w:t>
      </w:r>
      <w:r w:rsidR="006255A6" w:rsidRPr="005B49F0">
        <w:rPr>
          <w:lang w:val="en-GB"/>
        </w:rPr>
        <w:t xml:space="preserve"> delivery of public services</w:t>
      </w:r>
      <w:r w:rsidR="00313CA2">
        <w:rPr>
          <w:lang w:val="en-GB"/>
        </w:rPr>
        <w:t>;</w:t>
      </w:r>
      <w:r w:rsidR="006255A6" w:rsidRPr="005B49F0">
        <w:rPr>
          <w:lang w:val="en-GB"/>
        </w:rPr>
        <w:t xml:space="preserve"> </w:t>
      </w:r>
      <w:r w:rsidR="00313CA2">
        <w:rPr>
          <w:lang w:val="en-GB"/>
        </w:rPr>
        <w:t xml:space="preserve">and </w:t>
      </w:r>
      <w:r w:rsidR="006255A6" w:rsidRPr="005B49F0">
        <w:rPr>
          <w:lang w:val="en-GB"/>
        </w:rPr>
        <w:t>strengthening civil society and communit</w:t>
      </w:r>
      <w:r w:rsidR="00B436B8">
        <w:rPr>
          <w:lang w:val="en-GB"/>
        </w:rPr>
        <w:t>ies</w:t>
      </w:r>
      <w:r w:rsidR="00B464BF">
        <w:rPr>
          <w:lang w:val="en-GB"/>
        </w:rPr>
        <w:t xml:space="preserve">. </w:t>
      </w:r>
      <w:r w:rsidR="00313CA2">
        <w:rPr>
          <w:color w:val="000000"/>
        </w:rPr>
        <w:t>Helping</w:t>
      </w:r>
      <w:r w:rsidR="00313CA2" w:rsidRPr="005B49F0">
        <w:rPr>
          <w:lang w:val="en-GB"/>
        </w:rPr>
        <w:t xml:space="preserve"> </w:t>
      </w:r>
      <w:r w:rsidR="00313CA2">
        <w:rPr>
          <w:lang w:val="en-GB"/>
        </w:rPr>
        <w:t xml:space="preserve">Kyrgyzstan </w:t>
      </w:r>
      <w:r w:rsidR="00313CA2" w:rsidRPr="005B49F0">
        <w:rPr>
          <w:lang w:val="en-GB"/>
        </w:rPr>
        <w:t xml:space="preserve">transition </w:t>
      </w:r>
      <w:r w:rsidR="00B464BF" w:rsidRPr="005B49F0">
        <w:rPr>
          <w:lang w:val="en-GB"/>
        </w:rPr>
        <w:t>to the parliamentary system</w:t>
      </w:r>
      <w:r w:rsidR="00B464BF">
        <w:rPr>
          <w:lang w:val="en-GB"/>
        </w:rPr>
        <w:t xml:space="preserve"> and</w:t>
      </w:r>
      <w:r w:rsidR="006255A6" w:rsidRPr="005B49F0">
        <w:rPr>
          <w:lang w:val="en-GB"/>
        </w:rPr>
        <w:t xml:space="preserve"> support</w:t>
      </w:r>
      <w:r w:rsidR="00313CA2">
        <w:rPr>
          <w:lang w:val="en-GB"/>
        </w:rPr>
        <w:t>ing</w:t>
      </w:r>
      <w:r w:rsidR="006255A6" w:rsidRPr="005B49F0">
        <w:rPr>
          <w:lang w:val="en-GB"/>
        </w:rPr>
        <w:t xml:space="preserve"> free and fair elections </w:t>
      </w:r>
      <w:r w:rsidR="00313CA2">
        <w:rPr>
          <w:lang w:val="en-GB"/>
        </w:rPr>
        <w:t>are two</w:t>
      </w:r>
      <w:r w:rsidR="006255A6" w:rsidRPr="005B49F0">
        <w:rPr>
          <w:lang w:val="en-GB"/>
        </w:rPr>
        <w:t xml:space="preserve"> areas where </w:t>
      </w:r>
      <w:r w:rsidR="00313CA2">
        <w:rPr>
          <w:lang w:val="en-GB"/>
        </w:rPr>
        <w:t xml:space="preserve">the </w:t>
      </w:r>
      <w:r w:rsidR="006255A6" w:rsidRPr="005B49F0">
        <w:rPr>
          <w:lang w:val="en-GB"/>
        </w:rPr>
        <w:t xml:space="preserve">UNDP contribution </w:t>
      </w:r>
      <w:r w:rsidR="00926B06">
        <w:rPr>
          <w:lang w:val="en-GB"/>
        </w:rPr>
        <w:t>was</w:t>
      </w:r>
      <w:r w:rsidR="006255A6" w:rsidRPr="005B49F0">
        <w:rPr>
          <w:lang w:val="en-GB"/>
        </w:rPr>
        <w:t xml:space="preserve"> clear, consistent and </w:t>
      </w:r>
      <w:r w:rsidR="00313CA2">
        <w:rPr>
          <w:lang w:val="en-GB"/>
        </w:rPr>
        <w:t>effective</w:t>
      </w:r>
      <w:r w:rsidR="00040227">
        <w:rPr>
          <w:lang w:val="en-GB"/>
        </w:rPr>
        <w:t>.</w:t>
      </w:r>
      <w:r w:rsidR="000A23C0">
        <w:rPr>
          <w:rStyle w:val="FootnoteReference"/>
          <w:lang w:val="en-GB"/>
        </w:rPr>
        <w:footnoteReference w:id="36"/>
      </w:r>
      <w:r w:rsidR="006255A6" w:rsidRPr="005B49F0">
        <w:rPr>
          <w:lang w:val="en-GB"/>
        </w:rPr>
        <w:t xml:space="preserve"> </w:t>
      </w:r>
    </w:p>
    <w:p w14:paraId="388F8005" w14:textId="7AEEF9AD" w:rsidR="00F00023" w:rsidRPr="00F00023" w:rsidRDefault="00B342DB" w:rsidP="007868EE">
      <w:pPr>
        <w:pStyle w:val="ListParagraph"/>
        <w:numPr>
          <w:ilvl w:val="0"/>
          <w:numId w:val="2"/>
        </w:numPr>
        <w:spacing w:before="120" w:after="120"/>
        <w:ind w:left="360" w:right="90" w:firstLine="0"/>
        <w:jc w:val="both"/>
        <w:rPr>
          <w:color w:val="000000"/>
        </w:rPr>
      </w:pPr>
      <w:r w:rsidRPr="005B49F0">
        <w:rPr>
          <w:lang w:val="en-GB"/>
        </w:rPr>
        <w:t>UNDP strengthened the capacity of state institutions to formulate policies, laws and strategies related to conflict prevention and reconciliation. A large body of laws and policies resulted from this work</w:t>
      </w:r>
      <w:r w:rsidR="005D3A24">
        <w:rPr>
          <w:lang w:val="en-GB"/>
        </w:rPr>
        <w:t xml:space="preserve"> </w:t>
      </w:r>
      <w:r w:rsidR="006F2688" w:rsidRPr="005B49F0">
        <w:rPr>
          <w:lang w:val="en-GB"/>
        </w:rPr>
        <w:t xml:space="preserve">across all areas of </w:t>
      </w:r>
      <w:r w:rsidR="005D3A24">
        <w:rPr>
          <w:lang w:val="en-GB"/>
        </w:rPr>
        <w:t>UNDP</w:t>
      </w:r>
      <w:r w:rsidR="006F2688" w:rsidRPr="005B49F0">
        <w:rPr>
          <w:lang w:val="en-GB"/>
        </w:rPr>
        <w:t xml:space="preserve"> involvement</w:t>
      </w:r>
      <w:r w:rsidR="003B200A">
        <w:rPr>
          <w:lang w:val="en-GB"/>
        </w:rPr>
        <w:t>.</w:t>
      </w:r>
      <w:r w:rsidR="006F2688" w:rsidRPr="005B49F0">
        <w:rPr>
          <w:lang w:val="en-GB"/>
        </w:rPr>
        <w:t xml:space="preserve"> </w:t>
      </w:r>
      <w:r w:rsidR="003B200A">
        <w:rPr>
          <w:lang w:val="en-GB"/>
        </w:rPr>
        <w:t>H</w:t>
      </w:r>
      <w:r w:rsidRPr="005B49F0">
        <w:rPr>
          <w:lang w:val="en-GB"/>
        </w:rPr>
        <w:t>owever</w:t>
      </w:r>
      <w:r w:rsidR="003B200A">
        <w:rPr>
          <w:lang w:val="en-GB"/>
        </w:rPr>
        <w:t>,</w:t>
      </w:r>
      <w:r w:rsidRPr="005B49F0">
        <w:rPr>
          <w:lang w:val="en-GB"/>
        </w:rPr>
        <w:t xml:space="preserve"> the capacity of institutions to implement them remains </w:t>
      </w:r>
      <w:r w:rsidR="005C55ED">
        <w:rPr>
          <w:lang w:val="en-GB"/>
        </w:rPr>
        <w:t xml:space="preserve">limited </w:t>
      </w:r>
      <w:r w:rsidR="003B200A">
        <w:rPr>
          <w:lang w:val="en-GB"/>
        </w:rPr>
        <w:t>–</w:t>
      </w:r>
      <w:r w:rsidRPr="005B49F0">
        <w:rPr>
          <w:lang w:val="en-GB"/>
        </w:rPr>
        <w:t xml:space="preserve"> a challenge that needs to be tackled more effectively in the future.</w:t>
      </w:r>
      <w:r>
        <w:rPr>
          <w:rStyle w:val="FootnoteReference"/>
          <w:lang w:val="en-GB"/>
        </w:rPr>
        <w:footnoteReference w:id="37"/>
      </w:r>
      <w:r w:rsidR="005B49F0">
        <w:rPr>
          <w:lang w:val="en-GB"/>
        </w:rPr>
        <w:t xml:space="preserve">  </w:t>
      </w:r>
      <w:r w:rsidR="00C85032" w:rsidRPr="005B49F0">
        <w:rPr>
          <w:lang w:val="en-GB"/>
        </w:rPr>
        <w:t xml:space="preserve">UNDP </w:t>
      </w:r>
      <w:r w:rsidR="00E83408">
        <w:rPr>
          <w:lang w:val="en-GB"/>
        </w:rPr>
        <w:t>was</w:t>
      </w:r>
      <w:r w:rsidR="00E83408" w:rsidRPr="005B49F0">
        <w:rPr>
          <w:lang w:val="en-GB"/>
        </w:rPr>
        <w:t xml:space="preserve"> </w:t>
      </w:r>
      <w:r w:rsidR="00C85032" w:rsidRPr="005B49F0">
        <w:rPr>
          <w:lang w:val="en-GB"/>
        </w:rPr>
        <w:t xml:space="preserve">effective </w:t>
      </w:r>
      <w:r w:rsidR="005B49F0">
        <w:rPr>
          <w:lang w:val="en-GB"/>
        </w:rPr>
        <w:t>in ensuring</w:t>
      </w:r>
      <w:r w:rsidR="00C85032" w:rsidRPr="005B49F0">
        <w:rPr>
          <w:lang w:val="en-GB"/>
        </w:rPr>
        <w:t xml:space="preserve"> </w:t>
      </w:r>
      <w:r w:rsidR="00DA3F29">
        <w:rPr>
          <w:lang w:val="en-GB"/>
        </w:rPr>
        <w:t xml:space="preserve">the </w:t>
      </w:r>
      <w:r w:rsidR="00C85032" w:rsidRPr="005B49F0">
        <w:rPr>
          <w:lang w:val="en-GB"/>
        </w:rPr>
        <w:t>uninterrupted supply of medical supplies</w:t>
      </w:r>
      <w:r w:rsidR="00711B4D">
        <w:rPr>
          <w:lang w:val="en-GB"/>
        </w:rPr>
        <w:t xml:space="preserve"> and drugs</w:t>
      </w:r>
      <w:r w:rsidR="00C85032" w:rsidRPr="005B49F0">
        <w:rPr>
          <w:lang w:val="en-GB"/>
        </w:rPr>
        <w:t>, particularly for HIV/AIDS</w:t>
      </w:r>
      <w:r w:rsidR="00DA3F29">
        <w:rPr>
          <w:lang w:val="en-GB"/>
        </w:rPr>
        <w:t>,</w:t>
      </w:r>
      <w:r w:rsidR="00C85032" w:rsidRPr="005B49F0">
        <w:rPr>
          <w:lang w:val="en-GB"/>
        </w:rPr>
        <w:t xml:space="preserve"> and introduced new approaches </w:t>
      </w:r>
      <w:r w:rsidR="00DA3F29">
        <w:rPr>
          <w:lang w:val="en-GB"/>
        </w:rPr>
        <w:t>to</w:t>
      </w:r>
      <w:r w:rsidR="00DA3F29" w:rsidRPr="005B49F0">
        <w:rPr>
          <w:lang w:val="en-GB"/>
        </w:rPr>
        <w:t xml:space="preserve"> </w:t>
      </w:r>
      <w:r w:rsidR="00C85032" w:rsidRPr="005B49F0">
        <w:rPr>
          <w:lang w:val="en-GB"/>
        </w:rPr>
        <w:t>managing th</w:t>
      </w:r>
      <w:r w:rsidR="005C55ED">
        <w:rPr>
          <w:lang w:val="en-GB"/>
        </w:rPr>
        <w:t>os</w:t>
      </w:r>
      <w:r w:rsidR="00C85032" w:rsidRPr="005B49F0">
        <w:rPr>
          <w:lang w:val="en-GB"/>
        </w:rPr>
        <w:t>e diseases</w:t>
      </w:r>
      <w:r w:rsidR="00E83408">
        <w:rPr>
          <w:lang w:val="en-GB"/>
        </w:rPr>
        <w:t>.</w:t>
      </w:r>
      <w:r w:rsidR="005B49F0">
        <w:rPr>
          <w:rStyle w:val="FootnoteReference"/>
          <w:lang w:val="en-GB"/>
        </w:rPr>
        <w:footnoteReference w:id="38"/>
      </w:r>
      <w:r w:rsidR="00C85032" w:rsidRPr="005B49F0">
        <w:rPr>
          <w:lang w:val="en-GB"/>
        </w:rPr>
        <w:t xml:space="preserve"> </w:t>
      </w:r>
      <w:r w:rsidR="00DA3F29">
        <w:rPr>
          <w:lang w:val="en-GB"/>
        </w:rPr>
        <w:t>It</w:t>
      </w:r>
      <w:r w:rsidR="00C85032" w:rsidRPr="005B49F0">
        <w:rPr>
          <w:lang w:val="en-GB"/>
        </w:rPr>
        <w:t>s capacity</w:t>
      </w:r>
      <w:r w:rsidR="00DA3F29">
        <w:rPr>
          <w:lang w:val="en-GB"/>
        </w:rPr>
        <w:t>-</w:t>
      </w:r>
      <w:r w:rsidR="00C85032" w:rsidRPr="005B49F0">
        <w:rPr>
          <w:lang w:val="en-GB"/>
        </w:rPr>
        <w:t xml:space="preserve">building work needs strengthening, particularly </w:t>
      </w:r>
      <w:r w:rsidR="00A30155">
        <w:rPr>
          <w:lang w:val="en-GB"/>
        </w:rPr>
        <w:t>in</w:t>
      </w:r>
      <w:r w:rsidR="00DA3F29" w:rsidRPr="005B49F0">
        <w:rPr>
          <w:lang w:val="en-GB"/>
        </w:rPr>
        <w:t xml:space="preserve"> </w:t>
      </w:r>
      <w:r w:rsidR="00C85032" w:rsidRPr="005B49F0">
        <w:rPr>
          <w:lang w:val="en-GB"/>
        </w:rPr>
        <w:t xml:space="preserve">preparing the country </w:t>
      </w:r>
      <w:r w:rsidR="00DA3F29">
        <w:rPr>
          <w:lang w:val="en-GB"/>
        </w:rPr>
        <w:t>to</w:t>
      </w:r>
      <w:r w:rsidR="00DA3F29" w:rsidRPr="005B49F0">
        <w:rPr>
          <w:lang w:val="en-GB"/>
        </w:rPr>
        <w:t xml:space="preserve"> </w:t>
      </w:r>
      <w:r w:rsidR="00B328E1">
        <w:rPr>
          <w:lang w:val="en-GB"/>
        </w:rPr>
        <w:t>tak</w:t>
      </w:r>
      <w:r w:rsidR="00DA3F29">
        <w:rPr>
          <w:lang w:val="en-GB"/>
        </w:rPr>
        <w:t>e</w:t>
      </w:r>
      <w:r w:rsidR="00B328E1">
        <w:rPr>
          <w:lang w:val="en-GB"/>
        </w:rPr>
        <w:t xml:space="preserve"> over management of the GFATM grants.</w:t>
      </w:r>
    </w:p>
    <w:p w14:paraId="742F1E60" w14:textId="76F3D882" w:rsidR="00F00023" w:rsidRPr="00F00023" w:rsidRDefault="00A30155" w:rsidP="007868EE">
      <w:pPr>
        <w:pStyle w:val="ListParagraph"/>
        <w:numPr>
          <w:ilvl w:val="0"/>
          <w:numId w:val="2"/>
        </w:numPr>
        <w:spacing w:before="120" w:after="120"/>
        <w:ind w:left="360" w:right="90" w:firstLine="0"/>
        <w:jc w:val="both"/>
        <w:rPr>
          <w:color w:val="000000"/>
        </w:rPr>
      </w:pPr>
      <w:r>
        <w:rPr>
          <w:lang w:val="en-GB"/>
        </w:rPr>
        <w:t xml:space="preserve">The </w:t>
      </w:r>
      <w:r w:rsidR="00FB4F0F" w:rsidRPr="00F00023">
        <w:rPr>
          <w:lang w:val="en-GB"/>
        </w:rPr>
        <w:t xml:space="preserve">UNDP </w:t>
      </w:r>
      <w:r>
        <w:rPr>
          <w:lang w:val="en-GB"/>
        </w:rPr>
        <w:t>a</w:t>
      </w:r>
      <w:r w:rsidR="00FB4F0F" w:rsidRPr="00F00023">
        <w:rPr>
          <w:lang w:val="en-GB"/>
        </w:rPr>
        <w:t>rea</w:t>
      </w:r>
      <w:r w:rsidR="000D6877">
        <w:rPr>
          <w:lang w:val="en-GB"/>
        </w:rPr>
        <w:t>-</w:t>
      </w:r>
      <w:r>
        <w:rPr>
          <w:lang w:val="en-GB"/>
        </w:rPr>
        <w:t>b</w:t>
      </w:r>
      <w:r w:rsidR="00FB4F0F" w:rsidRPr="00F00023">
        <w:rPr>
          <w:lang w:val="en-GB"/>
        </w:rPr>
        <w:t xml:space="preserve">ased </w:t>
      </w:r>
      <w:r>
        <w:rPr>
          <w:lang w:val="en-GB"/>
        </w:rPr>
        <w:t>d</w:t>
      </w:r>
      <w:r w:rsidR="00FB4F0F" w:rsidRPr="00F00023">
        <w:rPr>
          <w:lang w:val="en-GB"/>
        </w:rPr>
        <w:t xml:space="preserve">evelopment approach enabled </w:t>
      </w:r>
      <w:r>
        <w:rPr>
          <w:lang w:val="en-GB"/>
        </w:rPr>
        <w:t xml:space="preserve">it </w:t>
      </w:r>
      <w:r w:rsidR="00FB4F0F" w:rsidRPr="00F00023">
        <w:rPr>
          <w:lang w:val="en-GB"/>
        </w:rPr>
        <w:t>to contribut</w:t>
      </w:r>
      <w:r>
        <w:rPr>
          <w:lang w:val="en-GB"/>
        </w:rPr>
        <w:t>e</w:t>
      </w:r>
      <w:r w:rsidR="00FB4F0F" w:rsidRPr="00F00023">
        <w:rPr>
          <w:lang w:val="en-GB"/>
        </w:rPr>
        <w:t xml:space="preserve"> to communities and accumulate knowledge of local development issues. </w:t>
      </w:r>
      <w:r>
        <w:rPr>
          <w:lang w:val="en-GB"/>
        </w:rPr>
        <w:t>Kyrgyzstan</w:t>
      </w:r>
      <w:r w:rsidR="00037AFA" w:rsidRPr="00F00023">
        <w:rPr>
          <w:lang w:val="en-GB"/>
        </w:rPr>
        <w:t xml:space="preserve"> and</w:t>
      </w:r>
      <w:r w:rsidR="00FB4F0F" w:rsidRPr="00F00023">
        <w:rPr>
          <w:lang w:val="en-GB"/>
        </w:rPr>
        <w:t xml:space="preserve"> UNDP </w:t>
      </w:r>
      <w:r>
        <w:rPr>
          <w:lang w:val="en-GB"/>
        </w:rPr>
        <w:t>must now</w:t>
      </w:r>
      <w:r w:rsidR="00037AFA" w:rsidRPr="00F00023">
        <w:rPr>
          <w:lang w:val="en-GB"/>
        </w:rPr>
        <w:t xml:space="preserve"> work out</w:t>
      </w:r>
      <w:r w:rsidR="00FB4F0F" w:rsidRPr="00F00023">
        <w:rPr>
          <w:lang w:val="en-GB"/>
        </w:rPr>
        <w:t xml:space="preserve"> a well-elaborated</w:t>
      </w:r>
      <w:r>
        <w:rPr>
          <w:lang w:val="en-GB"/>
        </w:rPr>
        <w:t>,</w:t>
      </w:r>
      <w:r w:rsidR="00FB4F0F" w:rsidRPr="00F00023">
        <w:rPr>
          <w:lang w:val="en-GB"/>
        </w:rPr>
        <w:t xml:space="preserve"> uniform model of regional</w:t>
      </w:r>
      <w:r>
        <w:rPr>
          <w:lang w:val="en-GB"/>
        </w:rPr>
        <w:t xml:space="preserve"> and </w:t>
      </w:r>
      <w:r w:rsidR="00FB4F0F" w:rsidRPr="00F00023">
        <w:rPr>
          <w:lang w:val="en-GB"/>
        </w:rPr>
        <w:t>local development</w:t>
      </w:r>
      <w:r w:rsidR="00884BC1">
        <w:rPr>
          <w:lang w:val="en-GB"/>
        </w:rPr>
        <w:t>.</w:t>
      </w:r>
      <w:r w:rsidR="002B449C">
        <w:rPr>
          <w:rStyle w:val="FootnoteReference"/>
          <w:lang w:val="en-GB"/>
        </w:rPr>
        <w:footnoteReference w:id="39"/>
      </w:r>
      <w:r w:rsidR="00FB4F0F" w:rsidRPr="00F00023">
        <w:rPr>
          <w:lang w:val="en-GB"/>
        </w:rPr>
        <w:t xml:space="preserve"> UNDP </w:t>
      </w:r>
      <w:r w:rsidR="00884BC1">
        <w:rPr>
          <w:lang w:val="en-GB"/>
        </w:rPr>
        <w:t>was</w:t>
      </w:r>
      <w:r w:rsidR="00FB4F0F" w:rsidRPr="00F00023">
        <w:rPr>
          <w:lang w:val="en-GB"/>
        </w:rPr>
        <w:t xml:space="preserve"> able to </w:t>
      </w:r>
      <w:r w:rsidRPr="00F00023">
        <w:rPr>
          <w:lang w:val="en-GB"/>
        </w:rPr>
        <w:t xml:space="preserve">address </w:t>
      </w:r>
      <w:r w:rsidR="00FB4F0F" w:rsidRPr="00F00023">
        <w:rPr>
          <w:lang w:val="en-GB"/>
        </w:rPr>
        <w:t>the complexities of gender equality and women’s empowerment and mainstream gender in the programme</w:t>
      </w:r>
      <w:r w:rsidR="005C55ED">
        <w:rPr>
          <w:lang w:val="en-GB"/>
        </w:rPr>
        <w:t>, which</w:t>
      </w:r>
      <w:r w:rsidR="00FB4F0F" w:rsidRPr="00F00023">
        <w:rPr>
          <w:lang w:val="en-GB"/>
        </w:rPr>
        <w:t xml:space="preserve"> </w:t>
      </w:r>
      <w:r w:rsidR="00711B4D">
        <w:rPr>
          <w:lang w:val="en-GB"/>
        </w:rPr>
        <w:t xml:space="preserve">must now be shifted </w:t>
      </w:r>
      <w:r w:rsidR="00FB4F0F" w:rsidRPr="00F00023">
        <w:rPr>
          <w:lang w:val="en-GB"/>
        </w:rPr>
        <w:t xml:space="preserve">from </w:t>
      </w:r>
      <w:r>
        <w:rPr>
          <w:lang w:val="en-GB"/>
        </w:rPr>
        <w:t>‘</w:t>
      </w:r>
      <w:r w:rsidR="00FB4F0F" w:rsidRPr="00F00023">
        <w:rPr>
          <w:lang w:val="en-GB"/>
        </w:rPr>
        <w:t>gender</w:t>
      </w:r>
      <w:r>
        <w:rPr>
          <w:lang w:val="en-GB"/>
        </w:rPr>
        <w:t>-</w:t>
      </w:r>
      <w:r w:rsidR="00FB4F0F" w:rsidRPr="00F00023">
        <w:rPr>
          <w:lang w:val="en-GB"/>
        </w:rPr>
        <w:t>responsive</w:t>
      </w:r>
      <w:r>
        <w:rPr>
          <w:lang w:val="en-GB"/>
        </w:rPr>
        <w:t>’</w:t>
      </w:r>
      <w:r w:rsidR="00FB4F0F" w:rsidRPr="00F00023">
        <w:rPr>
          <w:lang w:val="en-GB"/>
        </w:rPr>
        <w:t xml:space="preserve"> to </w:t>
      </w:r>
      <w:r>
        <w:rPr>
          <w:lang w:val="en-GB"/>
        </w:rPr>
        <w:t>‘</w:t>
      </w:r>
      <w:r w:rsidR="00FB4F0F" w:rsidRPr="00F00023">
        <w:rPr>
          <w:lang w:val="en-GB"/>
        </w:rPr>
        <w:t>gender</w:t>
      </w:r>
      <w:r>
        <w:rPr>
          <w:lang w:val="en-GB"/>
        </w:rPr>
        <w:t>-</w:t>
      </w:r>
      <w:r w:rsidR="00FB4F0F" w:rsidRPr="00F00023">
        <w:rPr>
          <w:lang w:val="en-GB"/>
        </w:rPr>
        <w:t>transformative</w:t>
      </w:r>
      <w:r>
        <w:rPr>
          <w:lang w:val="en-GB"/>
        </w:rPr>
        <w:t>’</w:t>
      </w:r>
      <w:r w:rsidR="00831F0C">
        <w:rPr>
          <w:lang w:val="en-GB"/>
        </w:rPr>
        <w:t>.</w:t>
      </w:r>
      <w:r w:rsidR="00FB4F0F">
        <w:rPr>
          <w:rStyle w:val="FootnoteReference"/>
          <w:lang w:val="en-GB"/>
        </w:rPr>
        <w:footnoteReference w:id="40"/>
      </w:r>
    </w:p>
    <w:p w14:paraId="4EAD2B8E" w14:textId="304F2255" w:rsidR="00C85032" w:rsidRPr="00F00023" w:rsidRDefault="005B49F0" w:rsidP="007868EE">
      <w:pPr>
        <w:pStyle w:val="ListParagraph"/>
        <w:numPr>
          <w:ilvl w:val="0"/>
          <w:numId w:val="2"/>
        </w:numPr>
        <w:spacing w:before="120"/>
        <w:ind w:left="360" w:right="90" w:firstLine="0"/>
        <w:jc w:val="both"/>
        <w:rPr>
          <w:color w:val="000000"/>
        </w:rPr>
      </w:pPr>
      <w:r w:rsidRPr="00F00023">
        <w:rPr>
          <w:lang w:val="en-GB"/>
        </w:rPr>
        <w:t xml:space="preserve">UNDP </w:t>
      </w:r>
      <w:r w:rsidR="00C85032" w:rsidRPr="00F00023">
        <w:rPr>
          <w:lang w:val="en-GB"/>
        </w:rPr>
        <w:t xml:space="preserve">policy </w:t>
      </w:r>
      <w:r w:rsidRPr="00F00023">
        <w:rPr>
          <w:lang w:val="en-GB"/>
        </w:rPr>
        <w:t>advice</w:t>
      </w:r>
      <w:r w:rsidR="00C85032" w:rsidRPr="00F00023">
        <w:rPr>
          <w:lang w:val="en-GB"/>
        </w:rPr>
        <w:t xml:space="preserve"> supported </w:t>
      </w:r>
      <w:r w:rsidRPr="00F00023">
        <w:rPr>
          <w:lang w:val="en-GB"/>
        </w:rPr>
        <w:t xml:space="preserve">the </w:t>
      </w:r>
      <w:r w:rsidR="003403BF">
        <w:rPr>
          <w:lang w:val="en-GB"/>
        </w:rPr>
        <w:t>G</w:t>
      </w:r>
      <w:r w:rsidR="00C85032" w:rsidRPr="00F00023">
        <w:rPr>
          <w:lang w:val="en-GB"/>
        </w:rPr>
        <w:t xml:space="preserve">overnment in embedding the </w:t>
      </w:r>
      <w:r w:rsidR="003403BF" w:rsidRPr="000A490B">
        <w:rPr>
          <w:lang w:val="en-GB"/>
        </w:rPr>
        <w:t>M</w:t>
      </w:r>
      <w:r w:rsidR="003403BF">
        <w:rPr>
          <w:lang w:val="en-GB"/>
        </w:rPr>
        <w:t>illennium Development Goals</w:t>
      </w:r>
      <w:r w:rsidR="00C85032" w:rsidRPr="00F00023">
        <w:rPr>
          <w:lang w:val="en-GB"/>
        </w:rPr>
        <w:t xml:space="preserve"> into</w:t>
      </w:r>
      <w:r w:rsidRPr="00F00023">
        <w:rPr>
          <w:lang w:val="en-GB"/>
        </w:rPr>
        <w:t xml:space="preserve"> national development processes</w:t>
      </w:r>
      <w:r w:rsidR="00711B4D">
        <w:rPr>
          <w:lang w:val="en-GB"/>
        </w:rPr>
        <w:t xml:space="preserve"> and</w:t>
      </w:r>
      <w:r w:rsidRPr="00F00023">
        <w:rPr>
          <w:lang w:val="en-GB"/>
        </w:rPr>
        <w:t xml:space="preserve"> </w:t>
      </w:r>
      <w:r w:rsidR="00C85032" w:rsidRPr="00F00023">
        <w:rPr>
          <w:lang w:val="en-GB"/>
        </w:rPr>
        <w:t>strengthen</w:t>
      </w:r>
      <w:r w:rsidR="003403BF">
        <w:rPr>
          <w:lang w:val="en-GB"/>
        </w:rPr>
        <w:t>ing</w:t>
      </w:r>
      <w:r w:rsidR="00C85032" w:rsidRPr="00F00023">
        <w:rPr>
          <w:lang w:val="en-GB"/>
        </w:rPr>
        <w:t xml:space="preserve"> national moni</w:t>
      </w:r>
      <w:r w:rsidRPr="00F00023">
        <w:rPr>
          <w:lang w:val="en-GB"/>
        </w:rPr>
        <w:t xml:space="preserve">toring and reporting mechanisms. </w:t>
      </w:r>
      <w:r w:rsidR="00B436B8">
        <w:rPr>
          <w:lang w:val="en-GB"/>
        </w:rPr>
        <w:t>T</w:t>
      </w:r>
      <w:r w:rsidR="005D3A24" w:rsidRPr="00004829">
        <w:rPr>
          <w:lang w:val="en-GB"/>
        </w:rPr>
        <w:t xml:space="preserve">he </w:t>
      </w:r>
      <w:r w:rsidR="005D3A24">
        <w:rPr>
          <w:lang w:val="en-GB"/>
        </w:rPr>
        <w:t>Government is</w:t>
      </w:r>
      <w:r w:rsidR="005D3A24" w:rsidRPr="00004829">
        <w:rPr>
          <w:lang w:val="en-GB"/>
        </w:rPr>
        <w:t xml:space="preserve"> committed to </w:t>
      </w:r>
      <w:r w:rsidR="00711B4D">
        <w:rPr>
          <w:lang w:val="en-GB"/>
        </w:rPr>
        <w:t xml:space="preserve">the 2030 </w:t>
      </w:r>
      <w:r w:rsidR="005D3A24">
        <w:rPr>
          <w:lang w:val="en-GB"/>
        </w:rPr>
        <w:t>Agenda</w:t>
      </w:r>
      <w:r w:rsidR="003403BF">
        <w:rPr>
          <w:lang w:val="en-GB"/>
        </w:rPr>
        <w:t xml:space="preserve"> </w:t>
      </w:r>
      <w:r w:rsidR="00711B4D" w:rsidRPr="0079095F">
        <w:rPr>
          <w:lang w:val="en-GB"/>
        </w:rPr>
        <w:t>for Sustainable Development</w:t>
      </w:r>
      <w:r w:rsidR="003403BF">
        <w:rPr>
          <w:lang w:val="en-GB"/>
        </w:rPr>
        <w:t>;</w:t>
      </w:r>
      <w:r w:rsidR="005D3A24">
        <w:rPr>
          <w:lang w:val="en-GB"/>
        </w:rPr>
        <w:t xml:space="preserve"> it </w:t>
      </w:r>
      <w:r w:rsidR="005F74A5">
        <w:rPr>
          <w:lang w:val="en-GB"/>
        </w:rPr>
        <w:t xml:space="preserve">now </w:t>
      </w:r>
      <w:r w:rsidR="005D3A24">
        <w:rPr>
          <w:lang w:val="en-GB"/>
        </w:rPr>
        <w:t>needs a</w:t>
      </w:r>
      <w:r w:rsidR="005D3A24" w:rsidRPr="00004829">
        <w:rPr>
          <w:lang w:val="en-GB"/>
        </w:rPr>
        <w:t xml:space="preserve"> coherent policy framework</w:t>
      </w:r>
      <w:r w:rsidR="005D3A24">
        <w:rPr>
          <w:lang w:val="en-GB"/>
        </w:rPr>
        <w:t xml:space="preserve"> </w:t>
      </w:r>
      <w:r w:rsidR="00C635FF">
        <w:rPr>
          <w:lang w:val="en-GB"/>
        </w:rPr>
        <w:t xml:space="preserve">incorporating the </w:t>
      </w:r>
      <w:r w:rsidR="003403BF">
        <w:rPr>
          <w:lang w:val="en-GB"/>
        </w:rPr>
        <w:t xml:space="preserve">sustainable development goals </w:t>
      </w:r>
      <w:r w:rsidR="00C635FF">
        <w:rPr>
          <w:lang w:val="en-GB"/>
        </w:rPr>
        <w:t xml:space="preserve">targets into </w:t>
      </w:r>
      <w:r w:rsidR="00F503EF">
        <w:rPr>
          <w:lang w:val="en-GB"/>
        </w:rPr>
        <w:t>national strategies. UNDP is</w:t>
      </w:r>
      <w:r w:rsidR="005D3A24">
        <w:rPr>
          <w:lang w:val="en-GB"/>
        </w:rPr>
        <w:t xml:space="preserve"> leading the joint </w:t>
      </w:r>
      <w:r w:rsidR="005D3A24">
        <w:rPr>
          <w:lang w:val="en-GB"/>
        </w:rPr>
        <w:lastRenderedPageBreak/>
        <w:t>U</w:t>
      </w:r>
      <w:r w:rsidR="003403BF">
        <w:rPr>
          <w:lang w:val="en-GB"/>
        </w:rPr>
        <w:t>nited Nations</w:t>
      </w:r>
      <w:r w:rsidR="005D3A24">
        <w:rPr>
          <w:lang w:val="en-GB"/>
        </w:rPr>
        <w:t xml:space="preserve"> support to implement</w:t>
      </w:r>
      <w:r w:rsidR="008B5807">
        <w:rPr>
          <w:lang w:val="en-GB"/>
        </w:rPr>
        <w:t>ing the goals and</w:t>
      </w:r>
      <w:r w:rsidR="005D3A24">
        <w:rPr>
          <w:lang w:val="en-GB"/>
        </w:rPr>
        <w:t xml:space="preserve"> develop</w:t>
      </w:r>
      <w:r w:rsidR="008B5807">
        <w:rPr>
          <w:lang w:val="en-GB"/>
        </w:rPr>
        <w:t>ing</w:t>
      </w:r>
      <w:r w:rsidR="005D3A24">
        <w:rPr>
          <w:lang w:val="en-GB"/>
        </w:rPr>
        <w:t xml:space="preserve"> long- and </w:t>
      </w:r>
      <w:r w:rsidR="00515223">
        <w:rPr>
          <w:lang w:val="en-GB"/>
        </w:rPr>
        <w:t>medium</w:t>
      </w:r>
      <w:r w:rsidR="005D3A24">
        <w:rPr>
          <w:lang w:val="en-GB"/>
        </w:rPr>
        <w:t>-term sustainable development strategies</w:t>
      </w:r>
      <w:r w:rsidR="005F74A5">
        <w:rPr>
          <w:lang w:val="en-GB"/>
        </w:rPr>
        <w:t xml:space="preserve"> </w:t>
      </w:r>
      <w:r w:rsidR="005D3A24">
        <w:rPr>
          <w:lang w:val="en-GB"/>
        </w:rPr>
        <w:t xml:space="preserve">aligned with the </w:t>
      </w:r>
      <w:r w:rsidR="003403BF">
        <w:rPr>
          <w:lang w:val="en-GB"/>
        </w:rPr>
        <w:t>goal</w:t>
      </w:r>
      <w:r w:rsidR="005D3A24">
        <w:rPr>
          <w:lang w:val="en-GB"/>
        </w:rPr>
        <w:t xml:space="preserve">s.  </w:t>
      </w:r>
    </w:p>
    <w:p w14:paraId="646CC8F7" w14:textId="77777777" w:rsidR="0024500F" w:rsidRDefault="0024500F" w:rsidP="007868EE">
      <w:pPr>
        <w:pStyle w:val="Heading2"/>
        <w:ind w:left="360" w:right="90"/>
        <w:jc w:val="both"/>
        <w:rPr>
          <w:rFonts w:ascii="Times New Roman" w:hAnsi="Times New Roman"/>
          <w:bCs/>
          <w:color w:val="000000"/>
          <w:sz w:val="24"/>
          <w:szCs w:val="24"/>
        </w:rPr>
      </w:pPr>
    </w:p>
    <w:p w14:paraId="3C669887" w14:textId="4E2E1D06" w:rsidR="0024500F" w:rsidRPr="003005C4" w:rsidRDefault="007868EE" w:rsidP="00E112CD">
      <w:pPr>
        <w:pStyle w:val="Heading2"/>
        <w:spacing w:after="240"/>
        <w:ind w:left="360" w:right="90" w:hanging="450"/>
        <w:jc w:val="both"/>
        <w:rPr>
          <w:rFonts w:ascii="Times New Roman" w:hAnsi="Times New Roman"/>
          <w:bCs/>
          <w:color w:val="000000"/>
          <w:sz w:val="24"/>
          <w:szCs w:val="24"/>
        </w:rPr>
      </w:pPr>
      <w:r w:rsidRPr="0079095F">
        <w:rPr>
          <w:rFonts w:ascii="Times New Roman" w:hAnsi="Times New Roman"/>
          <w:bCs/>
          <w:color w:val="000000"/>
          <w:szCs w:val="28"/>
        </w:rPr>
        <w:t xml:space="preserve">II. </w:t>
      </w:r>
      <w:r w:rsidRPr="0079095F">
        <w:rPr>
          <w:rFonts w:ascii="Times New Roman" w:hAnsi="Times New Roman"/>
          <w:bCs/>
          <w:color w:val="000000"/>
          <w:szCs w:val="28"/>
        </w:rPr>
        <w:tab/>
        <w:t>Programme p</w:t>
      </w:r>
      <w:r w:rsidR="0024500F" w:rsidRPr="0079095F">
        <w:rPr>
          <w:rFonts w:ascii="Times New Roman" w:hAnsi="Times New Roman"/>
          <w:bCs/>
          <w:color w:val="000000"/>
          <w:szCs w:val="28"/>
        </w:rPr>
        <w:t xml:space="preserve">riorities and </w:t>
      </w:r>
      <w:r>
        <w:rPr>
          <w:rFonts w:ascii="Times New Roman" w:hAnsi="Times New Roman"/>
          <w:bCs/>
          <w:color w:val="000000"/>
          <w:sz w:val="24"/>
          <w:szCs w:val="24"/>
        </w:rPr>
        <w:t>p</w:t>
      </w:r>
      <w:r w:rsidR="0024500F" w:rsidRPr="003005C4">
        <w:rPr>
          <w:rFonts w:ascii="Times New Roman" w:hAnsi="Times New Roman"/>
          <w:bCs/>
          <w:color w:val="000000"/>
          <w:sz w:val="24"/>
          <w:szCs w:val="24"/>
        </w:rPr>
        <w:t xml:space="preserve">artnerships </w:t>
      </w:r>
    </w:p>
    <w:p w14:paraId="46F642FE" w14:textId="315F3CB0" w:rsidR="0024500F" w:rsidRPr="00C11CB7" w:rsidRDefault="00D956DC" w:rsidP="007868EE">
      <w:pPr>
        <w:pStyle w:val="ListParagraph"/>
        <w:numPr>
          <w:ilvl w:val="0"/>
          <w:numId w:val="2"/>
        </w:numPr>
        <w:autoSpaceDE w:val="0"/>
        <w:autoSpaceDN w:val="0"/>
        <w:adjustRightInd w:val="0"/>
        <w:spacing w:before="120" w:after="120"/>
        <w:ind w:left="360" w:right="90" w:firstLine="0"/>
        <w:jc w:val="both"/>
        <w:rPr>
          <w:lang w:val="en-GB"/>
        </w:rPr>
      </w:pPr>
      <w:r w:rsidRPr="00C11CB7">
        <w:rPr>
          <w:lang w:val="en-GB"/>
        </w:rPr>
        <w:t xml:space="preserve">This </w:t>
      </w:r>
      <w:r w:rsidR="00AA7815">
        <w:rPr>
          <w:lang w:val="en-GB"/>
        </w:rPr>
        <w:t xml:space="preserve">country programme document </w:t>
      </w:r>
      <w:r w:rsidR="004D09F1" w:rsidRPr="00C11CB7">
        <w:rPr>
          <w:lang w:val="en-GB"/>
        </w:rPr>
        <w:t xml:space="preserve">benefited from broad-based consultations with the Government </w:t>
      </w:r>
      <w:r w:rsidR="00A30207" w:rsidRPr="00C11CB7">
        <w:rPr>
          <w:lang w:val="en-GB"/>
        </w:rPr>
        <w:t xml:space="preserve">and civil society. </w:t>
      </w:r>
      <w:r w:rsidR="00AA7815">
        <w:rPr>
          <w:color w:val="000000"/>
        </w:rPr>
        <w:t>Programme</w:t>
      </w:r>
      <w:r w:rsidR="00AA7815" w:rsidRPr="00C11CB7">
        <w:rPr>
          <w:color w:val="000000"/>
        </w:rPr>
        <w:t xml:space="preserve"> </w:t>
      </w:r>
      <w:r w:rsidR="00A30207" w:rsidRPr="00C11CB7">
        <w:rPr>
          <w:color w:val="000000"/>
        </w:rPr>
        <w:t>outcomes</w:t>
      </w:r>
      <w:r w:rsidR="004D09F1" w:rsidRPr="00C11CB7">
        <w:rPr>
          <w:color w:val="000000"/>
        </w:rPr>
        <w:t xml:space="preserve"> </w:t>
      </w:r>
      <w:r w:rsidR="004D09F1" w:rsidRPr="00C11CB7">
        <w:rPr>
          <w:color w:val="000000" w:themeColor="text1"/>
          <w:lang w:val="en-GB"/>
        </w:rPr>
        <w:t xml:space="preserve">are informed by </w:t>
      </w:r>
      <w:r w:rsidR="004D09F1" w:rsidRPr="00C11CB7">
        <w:rPr>
          <w:lang w:val="en-GB"/>
        </w:rPr>
        <w:t>national priorities</w:t>
      </w:r>
      <w:r w:rsidR="00F3666F">
        <w:rPr>
          <w:lang w:val="en-GB"/>
        </w:rPr>
        <w:t>;</w:t>
      </w:r>
      <w:r w:rsidR="00C11CB7">
        <w:rPr>
          <w:lang w:val="en-GB"/>
        </w:rPr>
        <w:t xml:space="preserve"> </w:t>
      </w:r>
      <w:r w:rsidR="00C11CB7" w:rsidRPr="00C11CB7">
        <w:rPr>
          <w:lang w:val="en-GB"/>
        </w:rPr>
        <w:t xml:space="preserve">the </w:t>
      </w:r>
      <w:r w:rsidR="00C11CB7" w:rsidRPr="00C11CB7">
        <w:rPr>
          <w:color w:val="000000"/>
        </w:rPr>
        <w:t>Sustainable Development Strategy 2018-2040</w:t>
      </w:r>
      <w:r w:rsidR="00F3666F">
        <w:rPr>
          <w:lang w:val="en-GB"/>
        </w:rPr>
        <w:t>;</w:t>
      </w:r>
      <w:r w:rsidR="004D09F1" w:rsidRPr="00C11CB7">
        <w:rPr>
          <w:lang w:val="en-GB"/>
        </w:rPr>
        <w:t xml:space="preserve"> </w:t>
      </w:r>
      <w:r w:rsidR="00F3666F">
        <w:rPr>
          <w:lang w:val="en-GB"/>
        </w:rPr>
        <w:t>the United Nations Development Assistance Framework,</w:t>
      </w:r>
      <w:r w:rsidR="00F3666F" w:rsidRPr="00C11CB7">
        <w:rPr>
          <w:lang w:val="en-GB"/>
        </w:rPr>
        <w:t xml:space="preserve"> </w:t>
      </w:r>
      <w:r w:rsidR="0071473A" w:rsidRPr="00C11CB7">
        <w:rPr>
          <w:lang w:val="en-GB"/>
        </w:rPr>
        <w:t>2018-2022</w:t>
      </w:r>
      <w:r w:rsidR="00F3666F">
        <w:rPr>
          <w:lang w:val="en-GB"/>
        </w:rPr>
        <w:t>;</w:t>
      </w:r>
      <w:r w:rsidR="0071473A" w:rsidRPr="00C11CB7">
        <w:rPr>
          <w:lang w:val="en-GB"/>
        </w:rPr>
        <w:t xml:space="preserve"> </w:t>
      </w:r>
      <w:r w:rsidR="008B5807">
        <w:rPr>
          <w:lang w:val="en-GB"/>
        </w:rPr>
        <w:t xml:space="preserve">the 2030 </w:t>
      </w:r>
      <w:r w:rsidR="004D09F1" w:rsidRPr="00C11CB7">
        <w:rPr>
          <w:color w:val="000000" w:themeColor="text1"/>
          <w:lang w:val="en-GB"/>
        </w:rPr>
        <w:t>Agenda</w:t>
      </w:r>
      <w:r w:rsidR="00F3666F">
        <w:rPr>
          <w:color w:val="000000" w:themeColor="text1"/>
          <w:lang w:val="en-GB"/>
        </w:rPr>
        <w:t>,</w:t>
      </w:r>
      <w:r w:rsidR="009731CC">
        <w:rPr>
          <w:color w:val="000000" w:themeColor="text1"/>
          <w:lang w:val="en-GB"/>
        </w:rPr>
        <w:t xml:space="preserve"> </w:t>
      </w:r>
      <w:r w:rsidR="004D09F1" w:rsidRPr="00C11CB7">
        <w:rPr>
          <w:color w:val="000000" w:themeColor="text1"/>
          <w:lang w:val="en-GB"/>
        </w:rPr>
        <w:t>reflecting national post-2015 consultations</w:t>
      </w:r>
      <w:r w:rsidR="00F3666F">
        <w:rPr>
          <w:color w:val="000000" w:themeColor="text1"/>
          <w:lang w:val="en-GB"/>
        </w:rPr>
        <w:t>;</w:t>
      </w:r>
      <w:r w:rsidR="004D09F1" w:rsidRPr="00C11CB7">
        <w:rPr>
          <w:color w:val="000000" w:themeColor="text1"/>
          <w:lang w:val="en-GB"/>
        </w:rPr>
        <w:t xml:space="preserve"> the </w:t>
      </w:r>
      <w:r w:rsidR="00F3666F">
        <w:rPr>
          <w:color w:val="000000" w:themeColor="text1"/>
          <w:lang w:val="en-GB"/>
        </w:rPr>
        <w:t>sustainable development goals</w:t>
      </w:r>
      <w:r w:rsidR="00F3666F" w:rsidRPr="00C11CB7">
        <w:rPr>
          <w:color w:val="000000" w:themeColor="text1"/>
          <w:lang w:val="en-GB"/>
        </w:rPr>
        <w:t xml:space="preserve"> </w:t>
      </w:r>
      <w:r w:rsidR="004D09F1" w:rsidRPr="00C11CB7">
        <w:rPr>
          <w:color w:val="000000" w:themeColor="text1"/>
          <w:lang w:val="en-GB"/>
        </w:rPr>
        <w:t>nationalization process</w:t>
      </w:r>
      <w:r w:rsidR="00F3666F">
        <w:rPr>
          <w:color w:val="000000" w:themeColor="text1"/>
          <w:lang w:val="en-GB"/>
        </w:rPr>
        <w:t>;</w:t>
      </w:r>
      <w:r w:rsidR="00DE0165">
        <w:rPr>
          <w:color w:val="000000" w:themeColor="text1"/>
          <w:lang w:val="en-GB"/>
        </w:rPr>
        <w:t xml:space="preserve"> and</w:t>
      </w:r>
      <w:r w:rsidR="00DE0165" w:rsidRPr="00DE0165">
        <w:rPr>
          <w:color w:val="000000"/>
        </w:rPr>
        <w:t xml:space="preserve"> </w:t>
      </w:r>
      <w:r w:rsidR="00DE0165" w:rsidRPr="00C11CB7">
        <w:rPr>
          <w:color w:val="000000"/>
        </w:rPr>
        <w:t xml:space="preserve">the </w:t>
      </w:r>
      <w:r w:rsidR="00F3666F">
        <w:rPr>
          <w:color w:val="000000"/>
        </w:rPr>
        <w:t>assessment of development results</w:t>
      </w:r>
      <w:r w:rsidR="00F3666F" w:rsidRPr="00C11CB7">
        <w:rPr>
          <w:color w:val="000000"/>
        </w:rPr>
        <w:t xml:space="preserve"> </w:t>
      </w:r>
      <w:r w:rsidR="00DE0165" w:rsidRPr="00C11CB7">
        <w:rPr>
          <w:color w:val="000000"/>
        </w:rPr>
        <w:t>findings</w:t>
      </w:r>
      <w:r w:rsidR="004D09F1" w:rsidRPr="00C11CB7">
        <w:rPr>
          <w:color w:val="000000" w:themeColor="text1"/>
          <w:lang w:val="en-GB"/>
        </w:rPr>
        <w:t xml:space="preserve">. </w:t>
      </w:r>
      <w:r w:rsidR="00682E6B">
        <w:rPr>
          <w:color w:val="000000" w:themeColor="text1"/>
          <w:lang w:val="en-GB"/>
        </w:rPr>
        <w:t xml:space="preserve">The </w:t>
      </w:r>
      <w:r w:rsidR="00F3666F">
        <w:rPr>
          <w:color w:val="000000" w:themeColor="text1"/>
          <w:lang w:val="en-GB"/>
        </w:rPr>
        <w:t xml:space="preserve">country programme document </w:t>
      </w:r>
      <w:r w:rsidR="00682E6B">
        <w:rPr>
          <w:color w:val="000000" w:themeColor="text1"/>
          <w:lang w:val="en-GB"/>
        </w:rPr>
        <w:t xml:space="preserve">will be aligned with the </w:t>
      </w:r>
      <w:r w:rsidR="004D09F1" w:rsidRPr="00C11CB7">
        <w:rPr>
          <w:color w:val="000000" w:themeColor="text1"/>
          <w:lang w:val="en-GB"/>
        </w:rPr>
        <w:t xml:space="preserve">UNDP Strategic </w:t>
      </w:r>
      <w:r w:rsidR="004D09F1" w:rsidRPr="00C11CB7">
        <w:rPr>
          <w:lang w:val="en-GB"/>
        </w:rPr>
        <w:t>Plan</w:t>
      </w:r>
      <w:r w:rsidR="00084870">
        <w:rPr>
          <w:lang w:val="en-GB"/>
        </w:rPr>
        <w:t>,</w:t>
      </w:r>
      <w:r w:rsidR="004D09F1" w:rsidRPr="00C11CB7">
        <w:rPr>
          <w:lang w:val="en-GB"/>
        </w:rPr>
        <w:t xml:space="preserve"> </w:t>
      </w:r>
      <w:r w:rsidR="002F47B2">
        <w:rPr>
          <w:lang w:val="en-GB"/>
        </w:rPr>
        <w:t>tak</w:t>
      </w:r>
      <w:r w:rsidR="00F3666F">
        <w:rPr>
          <w:lang w:val="en-GB"/>
        </w:rPr>
        <w:t>ing</w:t>
      </w:r>
      <w:r w:rsidR="002F47B2">
        <w:rPr>
          <w:lang w:val="en-GB"/>
        </w:rPr>
        <w:t xml:space="preserve"> regional strateg</w:t>
      </w:r>
      <w:r w:rsidR="00F3666F">
        <w:rPr>
          <w:lang w:val="en-GB"/>
        </w:rPr>
        <w:t>ic</w:t>
      </w:r>
      <w:r w:rsidR="002F47B2">
        <w:rPr>
          <w:lang w:val="en-GB"/>
        </w:rPr>
        <w:t xml:space="preserve"> priorities</w:t>
      </w:r>
      <w:r w:rsidR="00F3666F" w:rsidRPr="00F3666F">
        <w:rPr>
          <w:lang w:val="en-GB"/>
        </w:rPr>
        <w:t xml:space="preserve"> </w:t>
      </w:r>
      <w:r w:rsidR="00F3666F">
        <w:rPr>
          <w:lang w:val="en-GB"/>
        </w:rPr>
        <w:t>into consideration</w:t>
      </w:r>
      <w:r w:rsidR="004D09F1" w:rsidRPr="00C11CB7">
        <w:rPr>
          <w:lang w:val="en-GB"/>
        </w:rPr>
        <w:t>.</w:t>
      </w:r>
    </w:p>
    <w:p w14:paraId="7074DCD7" w14:textId="52336F27" w:rsidR="0024500F" w:rsidRPr="0024500F" w:rsidRDefault="000E1D20" w:rsidP="007868EE">
      <w:pPr>
        <w:pStyle w:val="ListParagraph"/>
        <w:numPr>
          <w:ilvl w:val="0"/>
          <w:numId w:val="2"/>
        </w:numPr>
        <w:autoSpaceDE w:val="0"/>
        <w:autoSpaceDN w:val="0"/>
        <w:adjustRightInd w:val="0"/>
        <w:spacing w:before="120" w:after="120"/>
        <w:ind w:left="360" w:right="90" w:firstLine="0"/>
        <w:jc w:val="both"/>
        <w:rPr>
          <w:lang w:val="en-GB"/>
        </w:rPr>
      </w:pPr>
      <w:r w:rsidRPr="0024500F">
        <w:rPr>
          <w:color w:val="000000"/>
          <w:shd w:val="clear" w:color="auto" w:fill="FFFFFF"/>
        </w:rPr>
        <w:t xml:space="preserve">The </w:t>
      </w:r>
      <w:r w:rsidRPr="0024500F">
        <w:rPr>
          <w:lang w:val="en-GB"/>
        </w:rPr>
        <w:t xml:space="preserve">overarching </w:t>
      </w:r>
      <w:r w:rsidR="008B5807" w:rsidRPr="0024500F">
        <w:rPr>
          <w:lang w:val="en-GB"/>
        </w:rPr>
        <w:t xml:space="preserve">programme </w:t>
      </w:r>
      <w:r w:rsidRPr="0024500F">
        <w:rPr>
          <w:lang w:val="en-GB"/>
        </w:rPr>
        <w:t xml:space="preserve">goal derives from </w:t>
      </w:r>
      <w:r w:rsidR="00435EEE">
        <w:rPr>
          <w:lang w:val="en-GB"/>
        </w:rPr>
        <w:t xml:space="preserve">the </w:t>
      </w:r>
      <w:r w:rsidR="00A31B8D" w:rsidRPr="0024500F">
        <w:rPr>
          <w:lang w:val="en-GB"/>
        </w:rPr>
        <w:t xml:space="preserve">national </w:t>
      </w:r>
      <w:r w:rsidRPr="0024500F">
        <w:rPr>
          <w:lang w:val="en-GB"/>
        </w:rPr>
        <w:t xml:space="preserve">vision of a </w:t>
      </w:r>
      <w:r w:rsidR="003737CD" w:rsidRPr="0024500F">
        <w:rPr>
          <w:lang w:val="en-GB"/>
        </w:rPr>
        <w:t xml:space="preserve">country </w:t>
      </w:r>
      <w:r w:rsidR="003737CD" w:rsidRPr="0018155C">
        <w:t>governed</w:t>
      </w:r>
      <w:r w:rsidRPr="0018155C">
        <w:t xml:space="preserve"> by the rule of law, </w:t>
      </w:r>
      <w:r w:rsidR="008B5807">
        <w:t>with assured</w:t>
      </w:r>
      <w:r w:rsidR="008B5807" w:rsidRPr="0018155C">
        <w:t xml:space="preserve"> </w:t>
      </w:r>
      <w:r w:rsidRPr="0018155C">
        <w:t>rights, freedoms, security and stability</w:t>
      </w:r>
      <w:r>
        <w:t xml:space="preserve">; </w:t>
      </w:r>
      <w:r w:rsidR="008B5807">
        <w:t>freedom from</w:t>
      </w:r>
      <w:r w:rsidRPr="0018155C">
        <w:t xml:space="preserve"> poverty</w:t>
      </w:r>
      <w:r w:rsidR="008B5807">
        <w:t>;</w:t>
      </w:r>
      <w:r w:rsidRPr="0018155C">
        <w:t xml:space="preserve"> robust economic growth and high attractiveness for investors</w:t>
      </w:r>
      <w:r>
        <w:t xml:space="preserve">; </w:t>
      </w:r>
      <w:r w:rsidRPr="0018155C">
        <w:t>high level</w:t>
      </w:r>
      <w:r w:rsidR="00435EEE">
        <w:t>s</w:t>
      </w:r>
      <w:r w:rsidRPr="0018155C">
        <w:t xml:space="preserve"> of education</w:t>
      </w:r>
      <w:r w:rsidR="00435EEE">
        <w:t xml:space="preserve"> and</w:t>
      </w:r>
      <w:r w:rsidRPr="0018155C">
        <w:t xml:space="preserve"> health</w:t>
      </w:r>
      <w:r w:rsidR="008B5807">
        <w:t>;</w:t>
      </w:r>
      <w:r>
        <w:t xml:space="preserve"> and </w:t>
      </w:r>
      <w:r w:rsidR="00435EEE">
        <w:t xml:space="preserve">a </w:t>
      </w:r>
      <w:r>
        <w:t>sustainable</w:t>
      </w:r>
      <w:r w:rsidRPr="0018155C">
        <w:t xml:space="preserve"> natural environment</w:t>
      </w:r>
      <w:r>
        <w:t>.</w:t>
      </w:r>
      <w:r w:rsidRPr="0018155C">
        <w:t xml:space="preserve"> </w:t>
      </w:r>
      <w:r w:rsidR="008B5807">
        <w:t>I</w:t>
      </w:r>
      <w:r w:rsidR="008477CD">
        <w:t xml:space="preserve">nformed by </w:t>
      </w:r>
      <w:r w:rsidR="00435EEE">
        <w:t>the assessment of development results</w:t>
      </w:r>
      <w:r w:rsidR="008477CD">
        <w:t xml:space="preserve">, </w:t>
      </w:r>
      <w:r w:rsidR="008477CD" w:rsidRPr="00F2689B">
        <w:rPr>
          <w:rFonts w:cs="Arial Unicode MS"/>
          <w:color w:val="000000"/>
          <w:u w:color="000000"/>
          <w:lang w:eastAsia="ko-KR"/>
        </w:rPr>
        <w:t xml:space="preserve">UNDP will leverage its comparative advantages </w:t>
      </w:r>
      <w:r w:rsidR="00CE71AE">
        <w:rPr>
          <w:rFonts w:cs="Arial Unicode MS"/>
          <w:color w:val="000000"/>
          <w:u w:color="000000"/>
          <w:lang w:eastAsia="ko-KR"/>
        </w:rPr>
        <w:t>in policy, capacity and institution development, gender mainstreaming and inclusion in the area</w:t>
      </w:r>
      <w:r w:rsidR="00435EEE">
        <w:rPr>
          <w:rFonts w:cs="Arial Unicode MS"/>
          <w:color w:val="000000"/>
          <w:u w:color="000000"/>
          <w:lang w:eastAsia="ko-KR"/>
        </w:rPr>
        <w:t>s</w:t>
      </w:r>
      <w:r w:rsidR="00CE71AE">
        <w:rPr>
          <w:rFonts w:cs="Arial Unicode MS"/>
          <w:color w:val="000000"/>
          <w:u w:color="000000"/>
          <w:lang w:eastAsia="ko-KR"/>
        </w:rPr>
        <w:t xml:space="preserve"> </w:t>
      </w:r>
      <w:r w:rsidR="00DD0FB8">
        <w:rPr>
          <w:rFonts w:cs="Arial Unicode MS"/>
          <w:color w:val="000000"/>
          <w:u w:color="000000"/>
          <w:lang w:eastAsia="ko-KR"/>
        </w:rPr>
        <w:t xml:space="preserve">of </w:t>
      </w:r>
      <w:r w:rsidR="008477CD" w:rsidRPr="00F2689B">
        <w:rPr>
          <w:rFonts w:cs="Arial Unicode MS"/>
          <w:color w:val="000000"/>
          <w:u w:color="000000"/>
          <w:lang w:eastAsia="ko-KR"/>
        </w:rPr>
        <w:t>governance</w:t>
      </w:r>
      <w:r w:rsidR="00435EEE">
        <w:rPr>
          <w:rFonts w:cs="Arial Unicode MS"/>
          <w:color w:val="000000"/>
          <w:u w:color="000000"/>
          <w:lang w:eastAsia="ko-KR"/>
        </w:rPr>
        <w:t>;</w:t>
      </w:r>
      <w:r w:rsidR="008477CD">
        <w:rPr>
          <w:rFonts w:cs="Arial Unicode MS"/>
          <w:color w:val="000000"/>
          <w:u w:color="000000"/>
          <w:lang w:eastAsia="ko-KR"/>
        </w:rPr>
        <w:t xml:space="preserve"> peacebuilding</w:t>
      </w:r>
      <w:r w:rsidR="00435EEE">
        <w:rPr>
          <w:rFonts w:cs="Arial Unicode MS"/>
          <w:color w:val="000000"/>
          <w:u w:color="000000"/>
          <w:lang w:eastAsia="ko-KR"/>
        </w:rPr>
        <w:t>;</w:t>
      </w:r>
      <w:r w:rsidR="008477CD" w:rsidRPr="00F2689B">
        <w:rPr>
          <w:rFonts w:cs="Arial Unicode MS"/>
          <w:color w:val="000000"/>
          <w:u w:color="000000"/>
          <w:lang w:eastAsia="ko-KR"/>
        </w:rPr>
        <w:t xml:space="preserve"> poverty reduction</w:t>
      </w:r>
      <w:r w:rsidR="00435EEE">
        <w:rPr>
          <w:rFonts w:cs="Arial Unicode MS"/>
          <w:color w:val="000000"/>
          <w:u w:color="000000"/>
          <w:lang w:eastAsia="ko-KR"/>
        </w:rPr>
        <w:t>;</w:t>
      </w:r>
      <w:r w:rsidR="008477CD" w:rsidRPr="00F2689B">
        <w:rPr>
          <w:rFonts w:cs="Arial Unicode MS"/>
          <w:color w:val="000000"/>
          <w:u w:color="000000"/>
          <w:lang w:eastAsia="ko-KR"/>
        </w:rPr>
        <w:t xml:space="preserve"> natural resource management</w:t>
      </w:r>
      <w:r w:rsidR="00435EEE">
        <w:rPr>
          <w:rFonts w:cs="Arial Unicode MS"/>
          <w:color w:val="000000"/>
          <w:u w:color="000000"/>
          <w:lang w:eastAsia="ko-KR"/>
        </w:rPr>
        <w:t>;</w:t>
      </w:r>
      <w:r w:rsidR="008477CD" w:rsidRPr="00F2689B">
        <w:rPr>
          <w:rFonts w:cs="Arial Unicode MS"/>
          <w:color w:val="000000"/>
          <w:u w:color="000000"/>
          <w:lang w:eastAsia="ko-KR"/>
        </w:rPr>
        <w:t xml:space="preserve"> disaster risk reduction</w:t>
      </w:r>
      <w:r w:rsidR="008B5807">
        <w:rPr>
          <w:rFonts w:cs="Arial Unicode MS"/>
          <w:color w:val="000000"/>
          <w:u w:color="000000"/>
          <w:lang w:eastAsia="ko-KR"/>
        </w:rPr>
        <w:t xml:space="preserve">; </w:t>
      </w:r>
      <w:r w:rsidR="00CE71AE" w:rsidRPr="00F2689B">
        <w:rPr>
          <w:rFonts w:cs="Arial Unicode MS"/>
          <w:color w:val="000000"/>
          <w:u w:color="000000"/>
          <w:lang w:eastAsia="ko-KR"/>
        </w:rPr>
        <w:t>more accountable</w:t>
      </w:r>
      <w:r w:rsidR="00CE71AE">
        <w:rPr>
          <w:rFonts w:cs="Arial Unicode MS"/>
          <w:color w:val="000000"/>
          <w:u w:color="000000"/>
          <w:lang w:eastAsia="ko-KR"/>
        </w:rPr>
        <w:t xml:space="preserve">, transparent and inclusive </w:t>
      </w:r>
      <w:r w:rsidR="00CE71AE" w:rsidRPr="00F2689B">
        <w:rPr>
          <w:rFonts w:cs="Arial Unicode MS"/>
          <w:color w:val="000000"/>
          <w:u w:color="000000"/>
          <w:lang w:eastAsia="ko-KR"/>
        </w:rPr>
        <w:t>institutions</w:t>
      </w:r>
      <w:r w:rsidR="00435EEE">
        <w:rPr>
          <w:rFonts w:cs="Arial Unicode MS"/>
          <w:color w:val="000000"/>
          <w:u w:color="000000"/>
          <w:lang w:eastAsia="ko-KR"/>
        </w:rPr>
        <w:t>;</w:t>
      </w:r>
      <w:r w:rsidR="008477CD" w:rsidRPr="00F2689B">
        <w:rPr>
          <w:rFonts w:cs="Arial Unicode MS"/>
          <w:color w:val="000000"/>
          <w:u w:color="000000"/>
          <w:lang w:eastAsia="ko-KR"/>
        </w:rPr>
        <w:t xml:space="preserve"> inclusive</w:t>
      </w:r>
      <w:r w:rsidR="00435EEE">
        <w:rPr>
          <w:rFonts w:cs="Arial Unicode MS"/>
          <w:color w:val="000000"/>
          <w:u w:color="000000"/>
          <w:lang w:eastAsia="ko-KR"/>
        </w:rPr>
        <w:t>,</w:t>
      </w:r>
      <w:r w:rsidR="008477CD" w:rsidRPr="00F2689B">
        <w:rPr>
          <w:rFonts w:cs="Arial Unicode MS"/>
          <w:color w:val="000000"/>
          <w:u w:color="000000"/>
          <w:lang w:eastAsia="ko-KR"/>
        </w:rPr>
        <w:t xml:space="preserve"> sustainable economic growth</w:t>
      </w:r>
      <w:r w:rsidR="00435EEE">
        <w:rPr>
          <w:rFonts w:cs="Arial Unicode MS"/>
          <w:color w:val="000000"/>
          <w:u w:color="000000"/>
          <w:lang w:eastAsia="ko-KR"/>
        </w:rPr>
        <w:t>;</w:t>
      </w:r>
      <w:r w:rsidR="008477CD" w:rsidRPr="00F2689B">
        <w:rPr>
          <w:rFonts w:cs="Arial Unicode MS"/>
          <w:color w:val="000000"/>
          <w:u w:color="000000"/>
          <w:lang w:eastAsia="ko-KR"/>
        </w:rPr>
        <w:t xml:space="preserve"> </w:t>
      </w:r>
      <w:r w:rsidR="00884826">
        <w:rPr>
          <w:rFonts w:cs="Arial Unicode MS"/>
          <w:color w:val="000000"/>
          <w:u w:color="000000"/>
          <w:lang w:eastAsia="ko-KR"/>
        </w:rPr>
        <w:t>increased resilience</w:t>
      </w:r>
      <w:r w:rsidR="00435EEE">
        <w:rPr>
          <w:rFonts w:cs="Arial Unicode MS"/>
          <w:color w:val="000000"/>
          <w:u w:color="000000"/>
          <w:lang w:eastAsia="ko-KR"/>
        </w:rPr>
        <w:t>;</w:t>
      </w:r>
      <w:r w:rsidR="00884826">
        <w:rPr>
          <w:rFonts w:cs="Arial Unicode MS"/>
          <w:color w:val="000000"/>
          <w:u w:color="000000"/>
          <w:lang w:eastAsia="ko-KR"/>
        </w:rPr>
        <w:t xml:space="preserve"> </w:t>
      </w:r>
      <w:r w:rsidR="008477CD" w:rsidRPr="00F2689B">
        <w:rPr>
          <w:rFonts w:cs="Arial Unicode MS"/>
          <w:color w:val="000000"/>
          <w:u w:color="000000"/>
          <w:lang w:eastAsia="ko-KR"/>
        </w:rPr>
        <w:t xml:space="preserve">and sound management of natural resources. </w:t>
      </w:r>
      <w:r w:rsidR="00A31B8D" w:rsidRPr="0024500F">
        <w:rPr>
          <w:lang w:val="en-GB"/>
        </w:rPr>
        <w:t xml:space="preserve">UNDP will pursue three of the four </w:t>
      </w:r>
      <w:r w:rsidR="008B5807">
        <w:rPr>
          <w:lang w:val="en-GB"/>
        </w:rPr>
        <w:t>United Nations Development Assistance Framework</w:t>
      </w:r>
      <w:r w:rsidR="008B5807" w:rsidRPr="0024500F">
        <w:rPr>
          <w:lang w:val="en-GB"/>
        </w:rPr>
        <w:t xml:space="preserve"> </w:t>
      </w:r>
      <w:r w:rsidR="00A31B8D" w:rsidRPr="0024500F">
        <w:rPr>
          <w:lang w:val="en-GB"/>
        </w:rPr>
        <w:t xml:space="preserve">outcomes: </w:t>
      </w:r>
      <w:r w:rsidR="00435EEE" w:rsidRPr="00146B93">
        <w:rPr>
          <w:b/>
          <w:lang w:val="en-GB"/>
        </w:rPr>
        <w:t>a</w:t>
      </w:r>
      <w:r w:rsidR="00F00023" w:rsidRPr="00146B93">
        <w:rPr>
          <w:b/>
          <w:lang w:val="en-GB"/>
        </w:rPr>
        <w:t xml:space="preserve">ccountable </w:t>
      </w:r>
      <w:r w:rsidR="00435EEE" w:rsidRPr="00146B93">
        <w:rPr>
          <w:b/>
          <w:lang w:val="en-GB"/>
        </w:rPr>
        <w:t>institutions, justice and peace; sustainable and inclusive economic growth; and environment, climate change and disaster risk managemen</w:t>
      </w:r>
      <w:r w:rsidR="00A31B8D" w:rsidRPr="00146B93">
        <w:rPr>
          <w:b/>
          <w:lang w:val="en-GB"/>
        </w:rPr>
        <w:t>t.</w:t>
      </w:r>
      <w:r w:rsidR="0060184A" w:rsidRPr="0060184A">
        <w:t xml:space="preserve"> </w:t>
      </w:r>
    </w:p>
    <w:p w14:paraId="4E492AC0" w14:textId="37EE5F48" w:rsidR="0024500F" w:rsidRPr="0024500F" w:rsidRDefault="006853B2" w:rsidP="007868EE">
      <w:pPr>
        <w:pStyle w:val="ListParagraph"/>
        <w:numPr>
          <w:ilvl w:val="0"/>
          <w:numId w:val="2"/>
        </w:numPr>
        <w:autoSpaceDE w:val="0"/>
        <w:autoSpaceDN w:val="0"/>
        <w:adjustRightInd w:val="0"/>
        <w:spacing w:before="120" w:after="120"/>
        <w:ind w:left="360" w:right="90" w:firstLine="0"/>
        <w:jc w:val="both"/>
        <w:rPr>
          <w:lang w:val="en-GB"/>
        </w:rPr>
      </w:pPr>
      <w:r w:rsidRPr="0024500F">
        <w:rPr>
          <w:b/>
          <w:lang w:val="en-GB"/>
        </w:rPr>
        <w:t xml:space="preserve">Accountable </w:t>
      </w:r>
      <w:r w:rsidR="00435EEE">
        <w:rPr>
          <w:b/>
          <w:lang w:val="en-GB"/>
        </w:rPr>
        <w:t>i</w:t>
      </w:r>
      <w:r w:rsidR="00225F01" w:rsidRPr="0024500F">
        <w:rPr>
          <w:b/>
          <w:lang w:val="en-GB"/>
        </w:rPr>
        <w:t xml:space="preserve">nstitutions, </w:t>
      </w:r>
      <w:r w:rsidR="00435EEE">
        <w:rPr>
          <w:b/>
          <w:lang w:val="en-GB"/>
        </w:rPr>
        <w:t>j</w:t>
      </w:r>
      <w:r w:rsidR="00225F01" w:rsidRPr="0024500F">
        <w:rPr>
          <w:b/>
          <w:lang w:val="en-GB"/>
        </w:rPr>
        <w:t xml:space="preserve">ustice and </w:t>
      </w:r>
      <w:r w:rsidR="00435EEE">
        <w:rPr>
          <w:b/>
          <w:lang w:val="en-GB"/>
        </w:rPr>
        <w:t>p</w:t>
      </w:r>
      <w:r w:rsidR="00225F01" w:rsidRPr="0024500F">
        <w:rPr>
          <w:b/>
          <w:lang w:val="en-GB"/>
        </w:rPr>
        <w:t>eace</w:t>
      </w:r>
      <w:r w:rsidR="00435EEE">
        <w:rPr>
          <w:b/>
          <w:lang w:val="en-GB"/>
        </w:rPr>
        <w:t>.</w:t>
      </w:r>
      <w:r w:rsidR="0060184A" w:rsidRPr="0024500F">
        <w:rPr>
          <w:lang w:val="en-GB"/>
        </w:rPr>
        <w:t xml:space="preserve"> </w:t>
      </w:r>
      <w:r w:rsidR="00E6112D" w:rsidRPr="0024500F">
        <w:rPr>
          <w:lang w:val="en-GB"/>
        </w:rPr>
        <w:t>Based on its</w:t>
      </w:r>
      <w:r w:rsidR="00630516" w:rsidRPr="00630516">
        <w:t xml:space="preserve"> </w:t>
      </w:r>
      <w:r w:rsidR="008661E6">
        <w:t xml:space="preserve">proven experience </w:t>
      </w:r>
      <w:r w:rsidR="00280AB3">
        <w:t xml:space="preserve">and </w:t>
      </w:r>
      <w:r w:rsidR="00435EEE">
        <w:t xml:space="preserve">effective </w:t>
      </w:r>
      <w:r w:rsidR="008661E6">
        <w:t>contribution</w:t>
      </w:r>
      <w:r w:rsidR="008661E6">
        <w:rPr>
          <w:rStyle w:val="FootnoteReference"/>
        </w:rPr>
        <w:footnoteReference w:id="41"/>
      </w:r>
      <w:r w:rsidR="008661E6">
        <w:t xml:space="preserve"> </w:t>
      </w:r>
      <w:r w:rsidR="008661E6" w:rsidRPr="008661E6">
        <w:t xml:space="preserve">to </w:t>
      </w:r>
      <w:r w:rsidR="00435EEE">
        <w:t xml:space="preserve">the transition of </w:t>
      </w:r>
      <w:r w:rsidR="00A52C9F">
        <w:rPr>
          <w:color w:val="000000"/>
        </w:rPr>
        <w:t>Kyrgyzstan</w:t>
      </w:r>
      <w:r w:rsidR="008661E6" w:rsidRPr="008661E6">
        <w:t xml:space="preserve"> to the parliamentary system</w:t>
      </w:r>
      <w:r w:rsidR="00FC7530">
        <w:t>;</w:t>
      </w:r>
      <w:r w:rsidR="008661E6">
        <w:t xml:space="preserve"> strengthening the legal system for</w:t>
      </w:r>
      <w:r w:rsidR="00435EEE">
        <w:t xml:space="preserve"> the</w:t>
      </w:r>
      <w:r w:rsidR="008661E6">
        <w:t xml:space="preserve"> rule of law and access to justice</w:t>
      </w:r>
      <w:r w:rsidR="00FC7530">
        <w:t>;</w:t>
      </w:r>
      <w:r w:rsidR="008661E6">
        <w:t xml:space="preserve"> </w:t>
      </w:r>
      <w:r w:rsidR="008661E6" w:rsidRPr="008661E6">
        <w:t xml:space="preserve"> streamlining the regulatory framework for service delivery</w:t>
      </w:r>
      <w:r w:rsidR="00FC7530">
        <w:t>;</w:t>
      </w:r>
      <w:r w:rsidR="008661E6">
        <w:t xml:space="preserve"> and </w:t>
      </w:r>
      <w:r w:rsidR="008661E6" w:rsidRPr="005F2A7A">
        <w:t>mainstreaming gender throughout most activities</w:t>
      </w:r>
      <w:r w:rsidR="00616DFB">
        <w:t>,</w:t>
      </w:r>
      <w:r w:rsidR="005F2A7A">
        <w:rPr>
          <w:rStyle w:val="FootnoteReference"/>
        </w:rPr>
        <w:footnoteReference w:id="42"/>
      </w:r>
      <w:r w:rsidR="005F2A7A">
        <w:t xml:space="preserve"> UNDP</w:t>
      </w:r>
      <w:r w:rsidR="00FC7530">
        <w:t>,</w:t>
      </w:r>
      <w:r w:rsidR="005F2A7A">
        <w:t xml:space="preserve"> in partnership with the </w:t>
      </w:r>
      <w:r w:rsidR="00C67817">
        <w:t>p</w:t>
      </w:r>
      <w:r w:rsidR="005F2A7A">
        <w:t xml:space="preserve">arliament, </w:t>
      </w:r>
      <w:r w:rsidR="00FC7530">
        <w:t xml:space="preserve">the </w:t>
      </w:r>
      <w:r w:rsidR="005F2A7A">
        <w:t xml:space="preserve">Government, </w:t>
      </w:r>
      <w:r w:rsidR="00FC7530">
        <w:t>human rights institutions</w:t>
      </w:r>
      <w:r w:rsidR="00BA3198">
        <w:t xml:space="preserve">, </w:t>
      </w:r>
      <w:r w:rsidR="00FC7530">
        <w:t>civil society organizations</w:t>
      </w:r>
      <w:r w:rsidR="00CA4C7F">
        <w:t>, informal institutions</w:t>
      </w:r>
      <w:r w:rsidR="003A7F4D">
        <w:t>,</w:t>
      </w:r>
      <w:r w:rsidR="00CA4C7F">
        <w:rPr>
          <w:rStyle w:val="FootnoteReference"/>
        </w:rPr>
        <w:footnoteReference w:id="43"/>
      </w:r>
      <w:r w:rsidR="000C17E4">
        <w:t xml:space="preserve"> communities</w:t>
      </w:r>
      <w:r w:rsidR="008B5807">
        <w:t>,</w:t>
      </w:r>
      <w:r w:rsidR="008661E6" w:rsidRPr="008661E6">
        <w:t xml:space="preserve"> </w:t>
      </w:r>
      <w:r w:rsidR="005F2A7A">
        <w:t>and the main target groups –</w:t>
      </w:r>
      <w:r w:rsidR="00FC7530">
        <w:t xml:space="preserve"> </w:t>
      </w:r>
      <w:r w:rsidR="005F2A7A">
        <w:t>women, youth and vulnerable population</w:t>
      </w:r>
      <w:r w:rsidR="005C55ED">
        <w:t>s</w:t>
      </w:r>
      <w:r w:rsidR="005F2A7A">
        <w:rPr>
          <w:rStyle w:val="FootnoteReference"/>
        </w:rPr>
        <w:footnoteReference w:id="44"/>
      </w:r>
      <w:r w:rsidR="005F2A7A">
        <w:t xml:space="preserve"> </w:t>
      </w:r>
      <w:r w:rsidR="00FC7530">
        <w:t xml:space="preserve">– </w:t>
      </w:r>
      <w:r w:rsidR="00D923D8">
        <w:t xml:space="preserve">will </w:t>
      </w:r>
      <w:r w:rsidR="001356BA">
        <w:t xml:space="preserve">contribute to </w:t>
      </w:r>
      <w:r w:rsidR="00FC7530">
        <w:t xml:space="preserve">sustainable development goals </w:t>
      </w:r>
      <w:r w:rsidR="00D923D8">
        <w:t>5</w:t>
      </w:r>
      <w:r w:rsidR="00FC7530">
        <w:t xml:space="preserve"> </w:t>
      </w:r>
      <w:r w:rsidR="00D923D8">
        <w:t>and 16</w:t>
      </w:r>
      <w:r w:rsidR="00FC7530">
        <w:t>,</w:t>
      </w:r>
      <w:r w:rsidR="001356BA">
        <w:t xml:space="preserve"> with indirect impact on </w:t>
      </w:r>
      <w:r w:rsidR="00FC7530">
        <w:t xml:space="preserve">goals </w:t>
      </w:r>
      <w:r w:rsidR="001356BA">
        <w:t>3 and 10</w:t>
      </w:r>
      <w:r w:rsidR="00ED5EAA">
        <w:t>.</w:t>
      </w:r>
      <w:r w:rsidR="00D923D8">
        <w:t xml:space="preserve"> </w:t>
      </w:r>
      <w:r w:rsidR="003F667E">
        <w:t>UNDP</w:t>
      </w:r>
      <w:r w:rsidR="00FC7530">
        <w:t>,</w:t>
      </w:r>
      <w:r w:rsidR="003F667E">
        <w:t xml:space="preserve"> </w:t>
      </w:r>
      <w:r w:rsidR="00ED5EAA">
        <w:t xml:space="preserve">jointly with </w:t>
      </w:r>
      <w:r w:rsidR="00FC7530">
        <w:t>other United Nations organizations</w:t>
      </w:r>
      <w:r w:rsidR="00ED5EAA">
        <w:t xml:space="preserve"> and</w:t>
      </w:r>
      <w:r w:rsidR="003F667E">
        <w:t xml:space="preserve"> </w:t>
      </w:r>
      <w:r w:rsidR="00280AB3">
        <w:t>build</w:t>
      </w:r>
      <w:r w:rsidR="00ED5EAA">
        <w:t>ing</w:t>
      </w:r>
      <w:r w:rsidR="00280AB3">
        <w:t xml:space="preserve"> on its </w:t>
      </w:r>
      <w:r w:rsidR="00ED5EAA">
        <w:t>cooperation</w:t>
      </w:r>
      <w:r w:rsidR="00280AB3">
        <w:t xml:space="preserve"> with development partners including </w:t>
      </w:r>
      <w:r w:rsidR="00FC7530">
        <w:t xml:space="preserve">the European Union, </w:t>
      </w:r>
      <w:r w:rsidR="00280AB3">
        <w:t xml:space="preserve">Finland, </w:t>
      </w:r>
      <w:r w:rsidR="00ED5EAA">
        <w:t xml:space="preserve">Japan, </w:t>
      </w:r>
      <w:r w:rsidR="00504E38">
        <w:t xml:space="preserve">the </w:t>
      </w:r>
      <w:r w:rsidR="007A571F">
        <w:t>Russia</w:t>
      </w:r>
      <w:r w:rsidR="00504E38">
        <w:t>n Federation</w:t>
      </w:r>
      <w:r w:rsidR="00FC7530">
        <w:t>, Switzerland, the United Kingdom,</w:t>
      </w:r>
      <w:r w:rsidR="007A571F">
        <w:t xml:space="preserve"> </w:t>
      </w:r>
      <w:r w:rsidR="00ED5EAA">
        <w:t xml:space="preserve">and </w:t>
      </w:r>
      <w:r w:rsidR="00504E38">
        <w:t xml:space="preserve">the </w:t>
      </w:r>
      <w:r w:rsidR="00FC7530">
        <w:t>United States</w:t>
      </w:r>
      <w:r w:rsidR="008B5807">
        <w:t xml:space="preserve"> of America</w:t>
      </w:r>
      <w:r w:rsidR="00ED5EAA">
        <w:t xml:space="preserve">, will support the country </w:t>
      </w:r>
      <w:r w:rsidR="00FC7530">
        <w:t>in</w:t>
      </w:r>
      <w:r w:rsidR="00ED5EAA">
        <w:t xml:space="preserve"> secur</w:t>
      </w:r>
      <w:r w:rsidR="00FC7530">
        <w:t>ing</w:t>
      </w:r>
      <w:r w:rsidR="00ED5EAA">
        <w:t xml:space="preserve"> and sustain</w:t>
      </w:r>
      <w:r w:rsidR="00FC7530">
        <w:t>ing</w:t>
      </w:r>
      <w:r w:rsidR="00ED5EAA">
        <w:t xml:space="preserve"> the </w:t>
      </w:r>
      <w:r w:rsidR="00FC7530">
        <w:t xml:space="preserve">recent </w:t>
      </w:r>
      <w:r w:rsidR="00ED5EAA">
        <w:t xml:space="preserve">gains and </w:t>
      </w:r>
      <w:r w:rsidR="005D03A5">
        <w:t>promot</w:t>
      </w:r>
      <w:r w:rsidR="00FC7530">
        <w:t>ing</w:t>
      </w:r>
      <w:r w:rsidR="005D03A5">
        <w:t xml:space="preserve"> </w:t>
      </w:r>
      <w:r w:rsidR="00ED5EAA">
        <w:t>peace, justice</w:t>
      </w:r>
      <w:r w:rsidR="000171C8">
        <w:t xml:space="preserve">, and the </w:t>
      </w:r>
      <w:r w:rsidR="00ED5EAA">
        <w:t xml:space="preserve">rule of law. </w:t>
      </w:r>
      <w:r w:rsidR="00280AB3">
        <w:t xml:space="preserve"> </w:t>
      </w:r>
      <w:r w:rsidR="00962836">
        <w:t>T</w:t>
      </w:r>
      <w:r w:rsidR="0023462C">
        <w:t xml:space="preserve">he assistance will focus </w:t>
      </w:r>
      <w:r w:rsidR="003737CD">
        <w:t>on accountability</w:t>
      </w:r>
      <w:r w:rsidR="0023462C" w:rsidRPr="0024500F">
        <w:rPr>
          <w:rFonts w:cs="Calibri"/>
        </w:rPr>
        <w:t>, transparency</w:t>
      </w:r>
      <w:r w:rsidR="009A391E">
        <w:rPr>
          <w:rFonts w:cs="Calibri"/>
        </w:rPr>
        <w:t>,</w:t>
      </w:r>
      <w:r w:rsidR="0023462C" w:rsidRPr="0024500F">
        <w:rPr>
          <w:rFonts w:cs="Calibri"/>
        </w:rPr>
        <w:t xml:space="preserve"> </w:t>
      </w:r>
      <w:r w:rsidR="007B2ADE">
        <w:rPr>
          <w:rFonts w:cs="Calibri"/>
        </w:rPr>
        <w:t xml:space="preserve">the </w:t>
      </w:r>
      <w:r w:rsidR="0023462C" w:rsidRPr="0024500F">
        <w:rPr>
          <w:rFonts w:cs="Calibri"/>
        </w:rPr>
        <w:t>effectiveness and efficiency</w:t>
      </w:r>
      <w:r w:rsidR="00A30071">
        <w:rPr>
          <w:rFonts w:cs="Calibri"/>
        </w:rPr>
        <w:t xml:space="preserve"> of institutions to respond to </w:t>
      </w:r>
      <w:r w:rsidR="0023462C" w:rsidRPr="0024500F">
        <w:rPr>
          <w:rFonts w:cs="Calibri"/>
        </w:rPr>
        <w:t xml:space="preserve">citizens’ expectations for rule of law and </w:t>
      </w:r>
      <w:r w:rsidR="0084759F" w:rsidRPr="0024500F">
        <w:rPr>
          <w:rFonts w:cs="Calibri"/>
        </w:rPr>
        <w:t>justice</w:t>
      </w:r>
      <w:r w:rsidR="0084759F">
        <w:rPr>
          <w:rFonts w:cs="Calibri"/>
        </w:rPr>
        <w:t>, more</w:t>
      </w:r>
      <w:r w:rsidR="0023462C" w:rsidRPr="0024500F">
        <w:rPr>
          <w:rFonts w:cs="Calibri"/>
        </w:rPr>
        <w:t xml:space="preserve"> effective services</w:t>
      </w:r>
      <w:r w:rsidR="007B2ADE">
        <w:rPr>
          <w:rFonts w:cs="Calibri"/>
        </w:rPr>
        <w:t>,</w:t>
      </w:r>
      <w:r w:rsidR="0023462C" w:rsidRPr="0024500F">
        <w:rPr>
          <w:rFonts w:cs="Calibri"/>
        </w:rPr>
        <w:t xml:space="preserve"> and economic development. </w:t>
      </w:r>
    </w:p>
    <w:p w14:paraId="67F9F152" w14:textId="296D74E5" w:rsidR="0024500F" w:rsidRPr="00334549" w:rsidRDefault="0023462C" w:rsidP="007868EE">
      <w:pPr>
        <w:pStyle w:val="ListParagraph"/>
        <w:numPr>
          <w:ilvl w:val="0"/>
          <w:numId w:val="2"/>
        </w:numPr>
        <w:autoSpaceDE w:val="0"/>
        <w:autoSpaceDN w:val="0"/>
        <w:adjustRightInd w:val="0"/>
        <w:spacing w:before="120" w:after="120"/>
        <w:ind w:left="360" w:right="90" w:firstLine="0"/>
        <w:jc w:val="both"/>
        <w:rPr>
          <w:lang w:val="en-GB"/>
        </w:rPr>
      </w:pPr>
      <w:r w:rsidRPr="00334549">
        <w:rPr>
          <w:rFonts w:cs="Calibri"/>
        </w:rPr>
        <w:t xml:space="preserve">UNDP will support the </w:t>
      </w:r>
      <w:r w:rsidR="00C67817">
        <w:rPr>
          <w:rFonts w:cs="Calibri"/>
        </w:rPr>
        <w:t>p</w:t>
      </w:r>
      <w:r w:rsidRPr="00334549">
        <w:rPr>
          <w:rFonts w:cs="Calibri"/>
        </w:rPr>
        <w:t xml:space="preserve">arliament </w:t>
      </w:r>
      <w:r w:rsidR="007B2ADE">
        <w:rPr>
          <w:rFonts w:cs="Calibri"/>
        </w:rPr>
        <w:t>in</w:t>
      </w:r>
      <w:r w:rsidR="007B2ADE" w:rsidRPr="00334549">
        <w:rPr>
          <w:rFonts w:cs="Calibri"/>
        </w:rPr>
        <w:t xml:space="preserve"> </w:t>
      </w:r>
      <w:r w:rsidRPr="00334549">
        <w:rPr>
          <w:rFonts w:cs="Calibri"/>
        </w:rPr>
        <w:t>better exercis</w:t>
      </w:r>
      <w:r w:rsidR="007B2ADE">
        <w:rPr>
          <w:rFonts w:cs="Calibri"/>
        </w:rPr>
        <w:t>ing</w:t>
      </w:r>
      <w:r w:rsidRPr="00334549">
        <w:rPr>
          <w:rFonts w:cs="Calibri"/>
        </w:rPr>
        <w:t xml:space="preserve"> its oversight functions</w:t>
      </w:r>
      <w:r w:rsidR="00FA5315" w:rsidRPr="00334549">
        <w:rPr>
          <w:rFonts w:cs="Calibri"/>
        </w:rPr>
        <w:t xml:space="preserve">. </w:t>
      </w:r>
      <w:r w:rsidRPr="00334549">
        <w:rPr>
          <w:rFonts w:cs="Calibri"/>
        </w:rPr>
        <w:t xml:space="preserve"> </w:t>
      </w:r>
      <w:r w:rsidR="007B2ADE">
        <w:t>Capacities</w:t>
      </w:r>
      <w:r w:rsidR="007B2ADE" w:rsidRPr="00334549">
        <w:rPr>
          <w:rFonts w:cs="Calibri"/>
        </w:rPr>
        <w:t xml:space="preserve"> </w:t>
      </w:r>
      <w:r w:rsidR="007B2ADE">
        <w:rPr>
          <w:rFonts w:cs="Calibri"/>
        </w:rPr>
        <w:t>of k</w:t>
      </w:r>
      <w:r w:rsidR="00630516" w:rsidRPr="00630516">
        <w:t>ey government institutions</w:t>
      </w:r>
      <w:r w:rsidR="005F2A7A">
        <w:t xml:space="preserve"> </w:t>
      </w:r>
      <w:r w:rsidR="00630516" w:rsidRPr="00630516">
        <w:t xml:space="preserve">and local authorities </w:t>
      </w:r>
      <w:r w:rsidR="00FA5315">
        <w:t xml:space="preserve">will be </w:t>
      </w:r>
      <w:r w:rsidR="00630516" w:rsidRPr="00630516">
        <w:t xml:space="preserve">strengthened for </w:t>
      </w:r>
      <w:r w:rsidR="00630516" w:rsidRPr="008874AA">
        <w:t>accountable, transparent and inclusive policy implementation</w:t>
      </w:r>
      <w:r w:rsidR="00962836" w:rsidRPr="008874AA">
        <w:t xml:space="preserve"> and delivery of public services</w:t>
      </w:r>
      <w:r w:rsidR="00630516" w:rsidRPr="008874AA">
        <w:t>.</w:t>
      </w:r>
      <w:r w:rsidR="00630516" w:rsidRPr="008874AA">
        <w:rPr>
          <w:iCs/>
          <w:lang w:val="en-GB"/>
        </w:rPr>
        <w:t xml:space="preserve"> </w:t>
      </w:r>
      <w:r w:rsidR="00E87FAA" w:rsidRPr="008874AA">
        <w:rPr>
          <w:iCs/>
          <w:lang w:val="en"/>
        </w:rPr>
        <w:t xml:space="preserve">UNDP will support the </w:t>
      </w:r>
      <w:r w:rsidR="000171C8">
        <w:rPr>
          <w:iCs/>
          <w:lang w:val="en"/>
        </w:rPr>
        <w:t>G</w:t>
      </w:r>
      <w:r w:rsidR="00E87FAA" w:rsidRPr="008874AA">
        <w:rPr>
          <w:iCs/>
          <w:lang w:val="en"/>
        </w:rPr>
        <w:t xml:space="preserve">overnment </w:t>
      </w:r>
      <w:r w:rsidR="000171C8">
        <w:rPr>
          <w:iCs/>
          <w:lang w:val="en"/>
        </w:rPr>
        <w:t>in</w:t>
      </w:r>
      <w:r w:rsidR="00E87FAA" w:rsidRPr="008874AA">
        <w:rPr>
          <w:iCs/>
          <w:lang w:val="en"/>
        </w:rPr>
        <w:t xml:space="preserve"> transform</w:t>
      </w:r>
      <w:r w:rsidR="000171C8">
        <w:rPr>
          <w:iCs/>
          <w:lang w:val="en"/>
        </w:rPr>
        <w:t>ing</w:t>
      </w:r>
      <w:r w:rsidR="00E87FAA" w:rsidRPr="008874AA">
        <w:rPr>
          <w:iCs/>
          <w:lang w:val="en"/>
        </w:rPr>
        <w:t xml:space="preserve"> the way it operates </w:t>
      </w:r>
      <w:r w:rsidR="000171C8">
        <w:rPr>
          <w:iCs/>
          <w:lang w:val="en"/>
        </w:rPr>
        <w:t>through</w:t>
      </w:r>
      <w:r w:rsidR="000171C8" w:rsidRPr="008874AA">
        <w:rPr>
          <w:iCs/>
          <w:lang w:val="en"/>
        </w:rPr>
        <w:t xml:space="preserve"> </w:t>
      </w:r>
      <w:r w:rsidR="000171C8">
        <w:rPr>
          <w:iCs/>
          <w:lang w:val="en"/>
        </w:rPr>
        <w:t>‘</w:t>
      </w:r>
      <w:r w:rsidR="00E87FAA" w:rsidRPr="008874AA">
        <w:rPr>
          <w:iCs/>
          <w:lang w:val="en"/>
        </w:rPr>
        <w:t>smart</w:t>
      </w:r>
      <w:r w:rsidR="000171C8">
        <w:rPr>
          <w:iCs/>
          <w:lang w:val="en"/>
        </w:rPr>
        <w:t>’</w:t>
      </w:r>
      <w:r w:rsidR="00E87FAA" w:rsidRPr="008874AA">
        <w:rPr>
          <w:iCs/>
          <w:lang w:val="en"/>
        </w:rPr>
        <w:t xml:space="preserve"> solutions and </w:t>
      </w:r>
      <w:r w:rsidR="00E02E82" w:rsidRPr="008874AA">
        <w:rPr>
          <w:iCs/>
          <w:lang w:val="en"/>
        </w:rPr>
        <w:t>e-</w:t>
      </w:r>
      <w:r w:rsidR="00E87FAA" w:rsidRPr="008874AA">
        <w:rPr>
          <w:iCs/>
          <w:lang w:val="en"/>
        </w:rPr>
        <w:t>services</w:t>
      </w:r>
      <w:r w:rsidR="000171C8">
        <w:rPr>
          <w:iCs/>
          <w:lang w:val="en"/>
        </w:rPr>
        <w:t>;</w:t>
      </w:r>
      <w:r w:rsidR="00E87FAA" w:rsidRPr="008874AA">
        <w:rPr>
          <w:rStyle w:val="Emphasis"/>
          <w:lang w:val="en"/>
        </w:rPr>
        <w:t xml:space="preserve"> </w:t>
      </w:r>
      <w:r w:rsidR="00E87FAA" w:rsidRPr="008874AA">
        <w:rPr>
          <w:rStyle w:val="Emphasis"/>
          <w:i w:val="0"/>
          <w:lang w:val="en"/>
        </w:rPr>
        <w:t>putting more power in</w:t>
      </w:r>
      <w:r w:rsidR="000171C8">
        <w:rPr>
          <w:rStyle w:val="Emphasis"/>
          <w:i w:val="0"/>
          <w:lang w:val="en"/>
        </w:rPr>
        <w:t>to</w:t>
      </w:r>
      <w:r w:rsidR="00E87FAA" w:rsidRPr="008874AA">
        <w:rPr>
          <w:rStyle w:val="Emphasis"/>
          <w:i w:val="0"/>
          <w:lang w:val="en"/>
        </w:rPr>
        <w:t xml:space="preserve"> the hands of citizens and being more responsive to their needs</w:t>
      </w:r>
      <w:r w:rsidR="00E87FAA" w:rsidRPr="008874AA">
        <w:rPr>
          <w:i/>
          <w:iCs/>
          <w:lang w:val="en"/>
        </w:rPr>
        <w:t>;</w:t>
      </w:r>
      <w:r w:rsidR="00E87FAA" w:rsidRPr="008874AA">
        <w:rPr>
          <w:iCs/>
          <w:lang w:val="en"/>
        </w:rPr>
        <w:t xml:space="preserve"> develop</w:t>
      </w:r>
      <w:r w:rsidR="000171C8">
        <w:rPr>
          <w:iCs/>
          <w:lang w:val="en"/>
        </w:rPr>
        <w:t>ing</w:t>
      </w:r>
      <w:r w:rsidR="00E87FAA" w:rsidRPr="008874AA">
        <w:rPr>
          <w:iCs/>
          <w:lang w:val="en"/>
        </w:rPr>
        <w:t xml:space="preserve"> </w:t>
      </w:r>
      <w:r w:rsidR="0087171E">
        <w:rPr>
          <w:iCs/>
          <w:lang w:val="en"/>
        </w:rPr>
        <w:t xml:space="preserve">relevant </w:t>
      </w:r>
      <w:r w:rsidR="00E87FAA" w:rsidRPr="008874AA">
        <w:rPr>
          <w:iCs/>
          <w:lang w:val="en"/>
        </w:rPr>
        <w:t xml:space="preserve">skills among people, </w:t>
      </w:r>
      <w:r w:rsidR="007B2ADE">
        <w:rPr>
          <w:iCs/>
          <w:lang w:val="en"/>
        </w:rPr>
        <w:t>civil society organizations</w:t>
      </w:r>
      <w:r w:rsidR="00184FDF">
        <w:rPr>
          <w:iCs/>
          <w:lang w:val="en"/>
        </w:rPr>
        <w:t xml:space="preserve">, </w:t>
      </w:r>
      <w:r w:rsidR="00E87FAA" w:rsidRPr="008874AA">
        <w:rPr>
          <w:iCs/>
          <w:lang w:val="en"/>
        </w:rPr>
        <w:t>public servants and leaders</w:t>
      </w:r>
      <w:r w:rsidR="007B2ADE">
        <w:rPr>
          <w:iCs/>
          <w:lang w:val="en"/>
        </w:rPr>
        <w:t>;</w:t>
      </w:r>
      <w:r w:rsidR="00E87FAA" w:rsidRPr="008874AA">
        <w:rPr>
          <w:iCs/>
          <w:lang w:val="en"/>
        </w:rPr>
        <w:t xml:space="preserve"> and bring</w:t>
      </w:r>
      <w:r w:rsidR="000171C8">
        <w:rPr>
          <w:iCs/>
          <w:lang w:val="en"/>
        </w:rPr>
        <w:t>ing</w:t>
      </w:r>
      <w:r w:rsidR="00E87FAA" w:rsidRPr="008874AA">
        <w:rPr>
          <w:iCs/>
          <w:lang w:val="en"/>
        </w:rPr>
        <w:t xml:space="preserve"> together policy and delivery </w:t>
      </w:r>
      <w:r w:rsidR="007B2ADE">
        <w:rPr>
          <w:iCs/>
          <w:lang w:val="en"/>
        </w:rPr>
        <w:t>so that</w:t>
      </w:r>
      <w:r w:rsidR="00E87FAA" w:rsidRPr="008874AA">
        <w:rPr>
          <w:iCs/>
          <w:lang w:val="en"/>
        </w:rPr>
        <w:t xml:space="preserve"> services </w:t>
      </w:r>
      <w:r w:rsidR="007B2ADE">
        <w:rPr>
          <w:iCs/>
          <w:lang w:val="en"/>
        </w:rPr>
        <w:t>are</w:t>
      </w:r>
      <w:r w:rsidR="00E87FAA" w:rsidRPr="008874AA">
        <w:rPr>
          <w:iCs/>
          <w:lang w:val="en"/>
        </w:rPr>
        <w:t xml:space="preserve"> focused on </w:t>
      </w:r>
      <w:r w:rsidR="00E87FAA" w:rsidRPr="008874AA">
        <w:rPr>
          <w:iCs/>
          <w:lang w:val="en"/>
        </w:rPr>
        <w:lastRenderedPageBreak/>
        <w:t>outcomes for people. </w:t>
      </w:r>
      <w:r w:rsidR="002922F9" w:rsidRPr="008874AA">
        <w:rPr>
          <w:iCs/>
          <w:lang w:val="en-GB"/>
        </w:rPr>
        <w:t xml:space="preserve">UNDP will continue </w:t>
      </w:r>
      <w:r w:rsidR="002922F9" w:rsidRPr="00334549">
        <w:rPr>
          <w:iCs/>
          <w:color w:val="000000"/>
          <w:lang w:val="en-GB"/>
        </w:rPr>
        <w:t xml:space="preserve">to strengthen the capacity of </w:t>
      </w:r>
      <w:r w:rsidR="00474CFE">
        <w:rPr>
          <w:iCs/>
          <w:color w:val="000000"/>
          <w:lang w:val="en-GB"/>
        </w:rPr>
        <w:t xml:space="preserve">the </w:t>
      </w:r>
      <w:r w:rsidR="002922F9" w:rsidRPr="00334549">
        <w:rPr>
          <w:iCs/>
          <w:color w:val="000000"/>
          <w:lang w:val="en-GB"/>
        </w:rPr>
        <w:t xml:space="preserve">Ministry of Health </w:t>
      </w:r>
      <w:r w:rsidR="007B2ADE">
        <w:rPr>
          <w:iCs/>
          <w:color w:val="000000"/>
          <w:lang w:val="en-GB"/>
        </w:rPr>
        <w:t>in</w:t>
      </w:r>
      <w:r w:rsidR="002922F9" w:rsidRPr="00334549">
        <w:rPr>
          <w:iCs/>
          <w:color w:val="000000"/>
          <w:lang w:val="en-GB"/>
        </w:rPr>
        <w:t xml:space="preserve"> ensur</w:t>
      </w:r>
      <w:r w:rsidR="007B2ADE">
        <w:rPr>
          <w:iCs/>
          <w:color w:val="000000"/>
          <w:lang w:val="en-GB"/>
        </w:rPr>
        <w:t>ing</w:t>
      </w:r>
      <w:r w:rsidR="002922F9" w:rsidRPr="00334549">
        <w:rPr>
          <w:iCs/>
          <w:color w:val="000000"/>
          <w:lang w:val="en-GB"/>
        </w:rPr>
        <w:t xml:space="preserve"> equal access to HIV</w:t>
      </w:r>
      <w:r w:rsidR="007B2ADE">
        <w:rPr>
          <w:iCs/>
          <w:color w:val="000000"/>
          <w:lang w:val="en-GB"/>
        </w:rPr>
        <w:t xml:space="preserve"> and tuberculosis </w:t>
      </w:r>
      <w:r w:rsidR="002922F9" w:rsidRPr="00334549">
        <w:rPr>
          <w:iCs/>
          <w:color w:val="000000"/>
          <w:lang w:val="en-GB"/>
        </w:rPr>
        <w:t xml:space="preserve">services </w:t>
      </w:r>
      <w:r w:rsidR="003B1402">
        <w:rPr>
          <w:iCs/>
          <w:color w:val="000000"/>
          <w:lang w:val="en-GB"/>
        </w:rPr>
        <w:t>for</w:t>
      </w:r>
      <w:r w:rsidR="003B1402" w:rsidRPr="00334549">
        <w:rPr>
          <w:iCs/>
          <w:color w:val="000000"/>
          <w:lang w:val="en-GB"/>
        </w:rPr>
        <w:t xml:space="preserve"> </w:t>
      </w:r>
      <w:r w:rsidR="002922F9" w:rsidRPr="00334549">
        <w:rPr>
          <w:iCs/>
          <w:color w:val="000000"/>
          <w:lang w:val="en-GB"/>
        </w:rPr>
        <w:t>vulnerable groups</w:t>
      </w:r>
      <w:r w:rsidR="00E87FAA" w:rsidRPr="00334549">
        <w:rPr>
          <w:iCs/>
          <w:color w:val="000000"/>
          <w:lang w:val="en-GB"/>
        </w:rPr>
        <w:t>.</w:t>
      </w:r>
    </w:p>
    <w:p w14:paraId="7AABD45E" w14:textId="3B721FE1" w:rsidR="0024500F" w:rsidRDefault="007B2ADE" w:rsidP="007868EE">
      <w:pPr>
        <w:pStyle w:val="ListParagraph"/>
        <w:numPr>
          <w:ilvl w:val="0"/>
          <w:numId w:val="2"/>
        </w:numPr>
        <w:autoSpaceDE w:val="0"/>
        <w:autoSpaceDN w:val="0"/>
        <w:adjustRightInd w:val="0"/>
        <w:spacing w:before="120" w:after="120"/>
        <w:ind w:left="360" w:right="90" w:firstLine="0"/>
        <w:jc w:val="both"/>
        <w:rPr>
          <w:lang w:val="en-GB"/>
        </w:rPr>
      </w:pPr>
      <w:r>
        <w:rPr>
          <w:iCs/>
          <w:color w:val="000000"/>
          <w:lang w:val="en-GB"/>
        </w:rPr>
        <w:t>The j</w:t>
      </w:r>
      <w:r w:rsidR="00630516" w:rsidRPr="0024500F">
        <w:rPr>
          <w:iCs/>
          <w:color w:val="000000"/>
          <w:lang w:val="en-GB"/>
        </w:rPr>
        <w:t xml:space="preserve">ustice system and institutions </w:t>
      </w:r>
      <w:r w:rsidR="002922F9" w:rsidRPr="0024500F">
        <w:rPr>
          <w:iCs/>
          <w:color w:val="000000"/>
          <w:lang w:val="en-GB"/>
        </w:rPr>
        <w:t>will be capacitated to implement the legal framework</w:t>
      </w:r>
      <w:r w:rsidR="000171C8">
        <w:rPr>
          <w:iCs/>
          <w:color w:val="000000"/>
          <w:lang w:val="en-GB"/>
        </w:rPr>
        <w:t>;</w:t>
      </w:r>
      <w:r w:rsidR="002922F9" w:rsidRPr="0024500F">
        <w:rPr>
          <w:iCs/>
          <w:color w:val="000000"/>
          <w:lang w:val="en-GB"/>
        </w:rPr>
        <w:t xml:space="preserve"> </w:t>
      </w:r>
      <w:r w:rsidR="00630516" w:rsidRPr="0024500F">
        <w:rPr>
          <w:iCs/>
          <w:color w:val="000000"/>
          <w:lang w:val="en-GB"/>
        </w:rPr>
        <w:t xml:space="preserve">uphold </w:t>
      </w:r>
      <w:r>
        <w:rPr>
          <w:iCs/>
          <w:color w:val="000000"/>
          <w:lang w:val="en-GB"/>
        </w:rPr>
        <w:t xml:space="preserve">the </w:t>
      </w:r>
      <w:r w:rsidR="00630516" w:rsidRPr="0024500F">
        <w:rPr>
          <w:iCs/>
          <w:color w:val="000000"/>
          <w:lang w:val="en-GB"/>
        </w:rPr>
        <w:t>rule of law</w:t>
      </w:r>
      <w:r>
        <w:rPr>
          <w:iCs/>
          <w:color w:val="000000"/>
          <w:lang w:val="en-GB"/>
        </w:rPr>
        <w:t>;</w:t>
      </w:r>
      <w:r w:rsidR="00630516" w:rsidRPr="0024500F">
        <w:rPr>
          <w:iCs/>
          <w:color w:val="000000"/>
          <w:lang w:val="en-GB"/>
        </w:rPr>
        <w:t xml:space="preserve"> </w:t>
      </w:r>
      <w:r w:rsidR="000949D6">
        <w:rPr>
          <w:iCs/>
          <w:color w:val="000000"/>
          <w:lang w:val="en-GB"/>
        </w:rPr>
        <w:t>fight against corruption</w:t>
      </w:r>
      <w:r>
        <w:rPr>
          <w:iCs/>
          <w:color w:val="000000"/>
          <w:lang w:val="en-GB"/>
        </w:rPr>
        <w:t>;</w:t>
      </w:r>
      <w:r w:rsidR="000949D6">
        <w:rPr>
          <w:iCs/>
          <w:color w:val="000000"/>
          <w:lang w:val="en-GB"/>
        </w:rPr>
        <w:t xml:space="preserve"> </w:t>
      </w:r>
      <w:r w:rsidR="00630516" w:rsidRPr="0024500F">
        <w:rPr>
          <w:iCs/>
          <w:color w:val="000000"/>
          <w:lang w:val="en-GB"/>
        </w:rPr>
        <w:t xml:space="preserve">promote and protect </w:t>
      </w:r>
      <w:r w:rsidR="00D16FFB">
        <w:rPr>
          <w:iCs/>
          <w:color w:val="000000"/>
          <w:lang w:val="en-GB"/>
        </w:rPr>
        <w:t>h</w:t>
      </w:r>
      <w:r w:rsidR="00630516" w:rsidRPr="0024500F">
        <w:rPr>
          <w:iCs/>
          <w:color w:val="000000"/>
          <w:lang w:val="en-GB"/>
        </w:rPr>
        <w:t xml:space="preserve">uman </w:t>
      </w:r>
      <w:r w:rsidR="00D16FFB">
        <w:rPr>
          <w:iCs/>
          <w:color w:val="000000"/>
          <w:lang w:val="en-GB"/>
        </w:rPr>
        <w:t>r</w:t>
      </w:r>
      <w:r w:rsidR="00630516" w:rsidRPr="0024500F">
        <w:rPr>
          <w:iCs/>
          <w:color w:val="000000"/>
          <w:lang w:val="en-GB"/>
        </w:rPr>
        <w:t>ights</w:t>
      </w:r>
      <w:r>
        <w:rPr>
          <w:iCs/>
          <w:color w:val="000000"/>
          <w:lang w:val="en-GB"/>
        </w:rPr>
        <w:t>;</w:t>
      </w:r>
      <w:r w:rsidR="00630516" w:rsidRPr="0024500F">
        <w:rPr>
          <w:iCs/>
          <w:color w:val="000000"/>
          <w:lang w:val="en-GB"/>
        </w:rPr>
        <w:t xml:space="preserve"> and </w:t>
      </w:r>
      <w:r w:rsidR="002922F9" w:rsidRPr="0024500F">
        <w:rPr>
          <w:iCs/>
          <w:color w:val="000000"/>
          <w:lang w:val="en-GB"/>
        </w:rPr>
        <w:t xml:space="preserve">ensure </w:t>
      </w:r>
      <w:r w:rsidR="00630516" w:rsidRPr="0024500F">
        <w:rPr>
          <w:iCs/>
          <w:color w:val="000000"/>
          <w:lang w:val="en-GB"/>
        </w:rPr>
        <w:t xml:space="preserve">access to justice </w:t>
      </w:r>
      <w:r w:rsidR="00B6584F">
        <w:rPr>
          <w:iCs/>
          <w:color w:val="000000"/>
          <w:lang w:val="en-GB"/>
        </w:rPr>
        <w:t>by</w:t>
      </w:r>
      <w:r w:rsidR="00B6584F" w:rsidRPr="0024500F">
        <w:rPr>
          <w:iCs/>
          <w:color w:val="000000"/>
          <w:lang w:val="en-GB"/>
        </w:rPr>
        <w:t xml:space="preserve"> </w:t>
      </w:r>
      <w:r w:rsidR="00630516" w:rsidRPr="0024500F">
        <w:rPr>
          <w:iCs/>
          <w:color w:val="000000"/>
          <w:lang w:val="en-GB"/>
        </w:rPr>
        <w:t>vulnerable groups, especially women, youth, minorities and persons with disabilities</w:t>
      </w:r>
      <w:r w:rsidR="00630516" w:rsidRPr="00630516">
        <w:t xml:space="preserve">. </w:t>
      </w:r>
      <w:r w:rsidR="00E87FAA">
        <w:t>UNDP will partner with UN</w:t>
      </w:r>
      <w:r>
        <w:t>-</w:t>
      </w:r>
      <w:r w:rsidR="00E87FAA">
        <w:t xml:space="preserve">Women, UNFPA, </w:t>
      </w:r>
      <w:r>
        <w:t>the United Nations Children’s Fund (</w:t>
      </w:r>
      <w:r w:rsidR="00E87FAA">
        <w:t>UNICEF</w:t>
      </w:r>
      <w:r>
        <w:t>)</w:t>
      </w:r>
      <w:r w:rsidR="002B449C">
        <w:t xml:space="preserve">, </w:t>
      </w:r>
      <w:r w:rsidRPr="004C53C2">
        <w:t>the Office of the High Commissioner for Human Rights (</w:t>
      </w:r>
      <w:r w:rsidR="002B449C" w:rsidRPr="004C53C2">
        <w:t>OHCHR</w:t>
      </w:r>
      <w:r w:rsidRPr="004C53C2">
        <w:t>)</w:t>
      </w:r>
      <w:r w:rsidR="004C4C12" w:rsidRPr="004C53C2">
        <w:t xml:space="preserve">, </w:t>
      </w:r>
      <w:r w:rsidR="003737CD" w:rsidRPr="004C53C2">
        <w:t>the United</w:t>
      </w:r>
      <w:r w:rsidRPr="004C53C2">
        <w:t xml:space="preserve"> Nations P</w:t>
      </w:r>
      <w:r w:rsidR="000171C8" w:rsidRPr="00CA640D">
        <w:t>eacebuilding Fund</w:t>
      </w:r>
      <w:r w:rsidRPr="004C53C2">
        <w:t>,</w:t>
      </w:r>
      <w:r w:rsidR="00E87FAA">
        <w:t xml:space="preserve"> and </w:t>
      </w:r>
      <w:r>
        <w:t>civil society organizations,</w:t>
      </w:r>
      <w:r w:rsidR="00E87FAA">
        <w:t xml:space="preserve"> to empower women and youth for </w:t>
      </w:r>
      <w:r w:rsidR="004C53C2">
        <w:rPr>
          <w:lang w:val="en-GB"/>
        </w:rPr>
        <w:t>great</w:t>
      </w:r>
      <w:r w:rsidR="004C53C2" w:rsidRPr="0024500F">
        <w:rPr>
          <w:lang w:val="en-GB"/>
        </w:rPr>
        <w:t xml:space="preserve">er </w:t>
      </w:r>
      <w:r w:rsidR="00E87FAA" w:rsidRPr="0024500F">
        <w:rPr>
          <w:lang w:val="en-GB"/>
        </w:rPr>
        <w:t>gender equality and participation of women and youth in decision-making.</w:t>
      </w:r>
      <w:r w:rsidR="007F18C1" w:rsidRPr="0024500F">
        <w:rPr>
          <w:rFonts w:cs="Arial"/>
        </w:rPr>
        <w:t xml:space="preserve"> UNDP will support the Government </w:t>
      </w:r>
      <w:r w:rsidR="00B04947">
        <w:rPr>
          <w:rFonts w:cs="Arial"/>
        </w:rPr>
        <w:t>in</w:t>
      </w:r>
      <w:r w:rsidR="00B04947" w:rsidRPr="0024500F">
        <w:rPr>
          <w:rFonts w:cs="Arial"/>
        </w:rPr>
        <w:t xml:space="preserve"> </w:t>
      </w:r>
      <w:r w:rsidR="007F18C1" w:rsidRPr="0024500F">
        <w:rPr>
          <w:rFonts w:cs="Arial"/>
        </w:rPr>
        <w:t>implement</w:t>
      </w:r>
      <w:r w:rsidR="00B04947">
        <w:rPr>
          <w:rFonts w:cs="Arial"/>
        </w:rPr>
        <w:t>ing</w:t>
      </w:r>
      <w:r w:rsidR="007F18C1" w:rsidRPr="0024500F">
        <w:rPr>
          <w:rFonts w:cs="Arial"/>
        </w:rPr>
        <w:t xml:space="preserve"> sustainable solutions </w:t>
      </w:r>
      <w:r w:rsidR="004C53C2">
        <w:rPr>
          <w:rFonts w:cs="Arial"/>
        </w:rPr>
        <w:t>to</w:t>
      </w:r>
      <w:r w:rsidR="00B04947">
        <w:rPr>
          <w:rFonts w:cs="Arial"/>
        </w:rPr>
        <w:t xml:space="preserve"> </w:t>
      </w:r>
      <w:r w:rsidR="007F18C1" w:rsidRPr="0024500F">
        <w:rPr>
          <w:rFonts w:cs="Arial"/>
        </w:rPr>
        <w:t>prevent violent extremism</w:t>
      </w:r>
      <w:r w:rsidR="00B04947">
        <w:rPr>
          <w:rFonts w:cs="Arial"/>
        </w:rPr>
        <w:t>,</w:t>
      </w:r>
      <w:r w:rsidR="007F18C1" w:rsidRPr="0024500F">
        <w:rPr>
          <w:rFonts w:cs="Arial"/>
        </w:rPr>
        <w:t xml:space="preserve"> applying an inclusive approach anchored in tolerance, civic engagement, economic empowerment, and structured dialogues and networks to address exclusion and inequalit</w:t>
      </w:r>
      <w:r w:rsidR="00B04947">
        <w:rPr>
          <w:rFonts w:cs="Arial"/>
        </w:rPr>
        <w:t>y</w:t>
      </w:r>
      <w:r w:rsidR="007F18C1" w:rsidRPr="0024500F">
        <w:rPr>
          <w:rFonts w:cs="Arial"/>
        </w:rPr>
        <w:t xml:space="preserve">. </w:t>
      </w:r>
      <w:r w:rsidR="00630516" w:rsidRPr="00630516">
        <w:t xml:space="preserve">Institutions and communities </w:t>
      </w:r>
      <w:r w:rsidR="007F18C1">
        <w:t xml:space="preserve">will be supported </w:t>
      </w:r>
      <w:r w:rsidR="00B04947">
        <w:t>through</w:t>
      </w:r>
      <w:r w:rsidR="00B04947" w:rsidRPr="00630516">
        <w:t xml:space="preserve"> </w:t>
      </w:r>
      <w:r w:rsidR="00630516" w:rsidRPr="00630516">
        <w:t xml:space="preserve">inclusive policies, mechanisms and capacities to address the </w:t>
      </w:r>
      <w:r w:rsidR="007F18C1">
        <w:t xml:space="preserve">drivers </w:t>
      </w:r>
      <w:r w:rsidR="00630516" w:rsidRPr="00630516">
        <w:t>of violent extremism and</w:t>
      </w:r>
      <w:r w:rsidR="007F18C1">
        <w:t xml:space="preserve"> </w:t>
      </w:r>
      <w:r w:rsidR="007F18C1" w:rsidRPr="00630516">
        <w:t xml:space="preserve">risks </w:t>
      </w:r>
      <w:r w:rsidR="007D3355">
        <w:t xml:space="preserve">of </w:t>
      </w:r>
      <w:r w:rsidR="00630516" w:rsidRPr="00630516">
        <w:t>conflict.</w:t>
      </w:r>
      <w:r w:rsidR="00E6112D" w:rsidRPr="0024500F">
        <w:rPr>
          <w:lang w:val="en-GB"/>
        </w:rPr>
        <w:t xml:space="preserve"> </w:t>
      </w:r>
    </w:p>
    <w:p w14:paraId="2CFF0479" w14:textId="20A96D93" w:rsidR="0024500F" w:rsidRPr="0024500F" w:rsidRDefault="0060184A" w:rsidP="007868EE">
      <w:pPr>
        <w:pStyle w:val="ListParagraph"/>
        <w:numPr>
          <w:ilvl w:val="0"/>
          <w:numId w:val="2"/>
        </w:numPr>
        <w:autoSpaceDE w:val="0"/>
        <w:autoSpaceDN w:val="0"/>
        <w:adjustRightInd w:val="0"/>
        <w:spacing w:before="120" w:after="120"/>
        <w:ind w:left="360" w:right="90" w:firstLine="0"/>
        <w:jc w:val="both"/>
        <w:rPr>
          <w:lang w:val="en-GB"/>
        </w:rPr>
      </w:pPr>
      <w:r w:rsidRPr="0024500F">
        <w:rPr>
          <w:b/>
          <w:lang w:val="en-GB"/>
        </w:rPr>
        <w:t xml:space="preserve">Sustainable and </w:t>
      </w:r>
      <w:r w:rsidR="00B04947">
        <w:rPr>
          <w:b/>
          <w:lang w:val="en-GB"/>
        </w:rPr>
        <w:t>i</w:t>
      </w:r>
      <w:r w:rsidRPr="0024500F">
        <w:rPr>
          <w:b/>
          <w:lang w:val="en-GB"/>
        </w:rPr>
        <w:t xml:space="preserve">nclusive </w:t>
      </w:r>
      <w:r w:rsidR="00B04947">
        <w:rPr>
          <w:b/>
          <w:lang w:val="en-GB"/>
        </w:rPr>
        <w:t>e</w:t>
      </w:r>
      <w:r w:rsidRPr="0024500F">
        <w:rPr>
          <w:b/>
          <w:lang w:val="en-GB"/>
        </w:rPr>
        <w:t xml:space="preserve">conomic </w:t>
      </w:r>
      <w:r w:rsidR="00B04947">
        <w:rPr>
          <w:b/>
          <w:lang w:val="en-GB"/>
        </w:rPr>
        <w:t>g</w:t>
      </w:r>
      <w:r w:rsidRPr="0024500F">
        <w:rPr>
          <w:b/>
          <w:lang w:val="en-GB"/>
        </w:rPr>
        <w:t>rowth</w:t>
      </w:r>
      <w:r w:rsidR="00B04947">
        <w:rPr>
          <w:b/>
          <w:lang w:val="en-GB"/>
        </w:rPr>
        <w:t>.</w:t>
      </w:r>
      <w:r w:rsidR="00E6112D" w:rsidRPr="0024500F">
        <w:rPr>
          <w:lang w:val="en-GB"/>
        </w:rPr>
        <w:t xml:space="preserve"> </w:t>
      </w:r>
      <w:r w:rsidR="004C53C2">
        <w:rPr>
          <w:lang w:val="en-GB"/>
        </w:rPr>
        <w:t>C</w:t>
      </w:r>
      <w:r w:rsidR="001356BA">
        <w:rPr>
          <w:lang w:val="en-GB"/>
        </w:rPr>
        <w:t>ontributi</w:t>
      </w:r>
      <w:r w:rsidR="004C53C2">
        <w:rPr>
          <w:lang w:val="en-GB"/>
        </w:rPr>
        <w:t>ng directly</w:t>
      </w:r>
      <w:r w:rsidR="001356BA">
        <w:rPr>
          <w:lang w:val="en-GB"/>
        </w:rPr>
        <w:t xml:space="preserve"> to </w:t>
      </w:r>
      <w:r w:rsidR="00B04947">
        <w:rPr>
          <w:lang w:val="en-GB"/>
        </w:rPr>
        <w:t xml:space="preserve">sustainable development goals </w:t>
      </w:r>
      <w:r w:rsidR="001356BA">
        <w:rPr>
          <w:lang w:val="en-GB"/>
        </w:rPr>
        <w:t>1, 8 and 11</w:t>
      </w:r>
      <w:r w:rsidR="00B04947">
        <w:rPr>
          <w:lang w:val="en-GB"/>
        </w:rPr>
        <w:t>,</w:t>
      </w:r>
      <w:r w:rsidR="001356BA">
        <w:rPr>
          <w:lang w:val="en-GB"/>
        </w:rPr>
        <w:t xml:space="preserve"> and indirect</w:t>
      </w:r>
      <w:r w:rsidR="004C53C2">
        <w:rPr>
          <w:lang w:val="en-GB"/>
        </w:rPr>
        <w:t xml:space="preserve">ly to </w:t>
      </w:r>
      <w:r w:rsidR="00B04947">
        <w:rPr>
          <w:lang w:val="en-GB"/>
        </w:rPr>
        <w:t xml:space="preserve">goals </w:t>
      </w:r>
      <w:r w:rsidR="000C6863" w:rsidRPr="0024500F">
        <w:rPr>
          <w:lang w:val="en-GB"/>
        </w:rPr>
        <w:t>5, 9</w:t>
      </w:r>
      <w:r w:rsidR="001356BA">
        <w:rPr>
          <w:lang w:val="en-GB"/>
        </w:rPr>
        <w:t xml:space="preserve">, </w:t>
      </w:r>
      <w:r w:rsidR="000C6863" w:rsidRPr="0024500F">
        <w:rPr>
          <w:lang w:val="en-GB"/>
        </w:rPr>
        <w:t>10</w:t>
      </w:r>
      <w:r w:rsidR="00A211CE">
        <w:rPr>
          <w:lang w:val="en-GB"/>
        </w:rPr>
        <w:t xml:space="preserve">, </w:t>
      </w:r>
      <w:r w:rsidR="000C6863" w:rsidRPr="0024500F">
        <w:rPr>
          <w:lang w:val="en-GB"/>
        </w:rPr>
        <w:t>and 1</w:t>
      </w:r>
      <w:r w:rsidR="00A211CE">
        <w:rPr>
          <w:lang w:val="en-GB"/>
        </w:rPr>
        <w:t>2</w:t>
      </w:r>
      <w:r w:rsidR="000C6863" w:rsidRPr="0024500F">
        <w:rPr>
          <w:lang w:val="en-GB"/>
        </w:rPr>
        <w:t xml:space="preserve">, </w:t>
      </w:r>
      <w:r w:rsidR="00807DF7" w:rsidRPr="0024500F">
        <w:rPr>
          <w:lang w:val="en-GB"/>
        </w:rPr>
        <w:t xml:space="preserve">UNDP assistance will focus on </w:t>
      </w:r>
      <w:r w:rsidR="007A024B" w:rsidRPr="0024500F">
        <w:rPr>
          <w:bCs/>
        </w:rPr>
        <w:t>sustainable, resilient, inclusive and gender</w:t>
      </w:r>
      <w:r w:rsidR="00CD6C23">
        <w:rPr>
          <w:bCs/>
        </w:rPr>
        <w:t>-</w:t>
      </w:r>
      <w:r w:rsidR="007A024B" w:rsidRPr="0024500F">
        <w:rPr>
          <w:bCs/>
        </w:rPr>
        <w:t>responsive development-oriented</w:t>
      </w:r>
      <w:r w:rsidR="007A024B" w:rsidRPr="005B7C6C">
        <w:t xml:space="preserve"> </w:t>
      </w:r>
      <w:r w:rsidR="00807DF7" w:rsidRPr="0024500F">
        <w:rPr>
          <w:bCs/>
        </w:rPr>
        <w:t xml:space="preserve">policies </w:t>
      </w:r>
      <w:r w:rsidR="00776D06">
        <w:rPr>
          <w:bCs/>
        </w:rPr>
        <w:t xml:space="preserve">and accountable institutions </w:t>
      </w:r>
      <w:r w:rsidR="007A024B" w:rsidRPr="0024500F">
        <w:rPr>
          <w:bCs/>
        </w:rPr>
        <w:t xml:space="preserve">that support </w:t>
      </w:r>
      <w:r w:rsidR="005B7C6C" w:rsidRPr="00C50E70">
        <w:t xml:space="preserve">diversification, </w:t>
      </w:r>
      <w:r w:rsidR="007A024B" w:rsidRPr="00C50E70">
        <w:t xml:space="preserve">productive activities, decent job creation, </w:t>
      </w:r>
      <w:r w:rsidR="00B04947">
        <w:t xml:space="preserve">and </w:t>
      </w:r>
      <w:r w:rsidR="005B7C6C" w:rsidRPr="00C50E70">
        <w:t xml:space="preserve">technological upgrading and innovation, including through </w:t>
      </w:r>
      <w:r w:rsidR="007A024B" w:rsidRPr="00C50E70">
        <w:t>labo</w:t>
      </w:r>
      <w:r w:rsidR="00CD6C23">
        <w:t>u</w:t>
      </w:r>
      <w:r w:rsidR="007A024B" w:rsidRPr="00C50E70">
        <w:t>r-intensive</w:t>
      </w:r>
      <w:r w:rsidR="005B7C6C" w:rsidRPr="00C50E70">
        <w:t xml:space="preserve"> sectors</w:t>
      </w:r>
      <w:r w:rsidR="007A024B">
        <w:t xml:space="preserve">. </w:t>
      </w:r>
      <w:r w:rsidR="00630516" w:rsidRPr="0024500F">
        <w:rPr>
          <w:bCs/>
        </w:rPr>
        <w:t>G</w:t>
      </w:r>
      <w:r w:rsidR="009A391E">
        <w:t>reen</w:t>
      </w:r>
      <w:r w:rsidR="00630516" w:rsidRPr="00630516">
        <w:t xml:space="preserve"> entrepreneurship</w:t>
      </w:r>
      <w:r w:rsidR="00630516" w:rsidRPr="0024500F">
        <w:rPr>
          <w:rFonts w:cs="Calibri"/>
        </w:rPr>
        <w:t xml:space="preserve"> and investment environment </w:t>
      </w:r>
      <w:r w:rsidR="002D554F" w:rsidRPr="0024500F">
        <w:rPr>
          <w:rFonts w:cs="Calibri"/>
        </w:rPr>
        <w:t xml:space="preserve">will be supported </w:t>
      </w:r>
      <w:r w:rsidR="00C33A1F">
        <w:rPr>
          <w:rFonts w:cs="Calibri"/>
        </w:rPr>
        <w:t xml:space="preserve">in partnership with </w:t>
      </w:r>
      <w:r w:rsidR="00B04947">
        <w:rPr>
          <w:rFonts w:cs="Calibri"/>
        </w:rPr>
        <w:t xml:space="preserve">the </w:t>
      </w:r>
      <w:r w:rsidR="00C33A1F">
        <w:rPr>
          <w:rFonts w:cs="Calibri"/>
        </w:rPr>
        <w:t xml:space="preserve">private sector </w:t>
      </w:r>
      <w:r w:rsidR="00630516" w:rsidRPr="0024500F">
        <w:rPr>
          <w:rFonts w:cs="Calibri"/>
        </w:rPr>
        <w:t>to increase economic productivity</w:t>
      </w:r>
      <w:r w:rsidR="003E2B87">
        <w:rPr>
          <w:rFonts w:cs="Calibri"/>
        </w:rPr>
        <w:t xml:space="preserve">– </w:t>
      </w:r>
      <w:r w:rsidR="00630516" w:rsidRPr="0024500F">
        <w:rPr>
          <w:rFonts w:cs="Calibri"/>
        </w:rPr>
        <w:t>including labour productivity</w:t>
      </w:r>
      <w:r w:rsidR="003E2B87">
        <w:rPr>
          <w:rFonts w:cs="Calibri"/>
        </w:rPr>
        <w:t xml:space="preserve"> –</w:t>
      </w:r>
      <w:r w:rsidR="00630516" w:rsidRPr="0024500F">
        <w:rPr>
          <w:rFonts w:cs="Calibri"/>
        </w:rPr>
        <w:t xml:space="preserve"> </w:t>
      </w:r>
      <w:r w:rsidR="00B6584F" w:rsidRPr="0024500F">
        <w:rPr>
          <w:rFonts w:cs="Calibri"/>
        </w:rPr>
        <w:t>and trade</w:t>
      </w:r>
      <w:r w:rsidR="00B6584F">
        <w:rPr>
          <w:rFonts w:cs="Calibri"/>
        </w:rPr>
        <w:t xml:space="preserve">, </w:t>
      </w:r>
      <w:r w:rsidR="00630516" w:rsidRPr="0024500F">
        <w:rPr>
          <w:rFonts w:cs="Calibri"/>
        </w:rPr>
        <w:t>especially for women and youth</w:t>
      </w:r>
      <w:r w:rsidR="00807DF7" w:rsidRPr="0024500F">
        <w:rPr>
          <w:rFonts w:cs="Calibri"/>
        </w:rPr>
        <w:t>.</w:t>
      </w:r>
      <w:r w:rsidR="00630516" w:rsidRPr="0024500F">
        <w:rPr>
          <w:rFonts w:cs="Calibri"/>
        </w:rPr>
        <w:t xml:space="preserve"> </w:t>
      </w:r>
      <w:r w:rsidR="00E6112D" w:rsidRPr="0024500F">
        <w:rPr>
          <w:lang w:val="en-GB"/>
        </w:rPr>
        <w:t>UNDP</w:t>
      </w:r>
      <w:r w:rsidR="003511A7">
        <w:rPr>
          <w:lang w:val="en-GB"/>
        </w:rPr>
        <w:t xml:space="preserve">, jointly with other </w:t>
      </w:r>
      <w:r w:rsidR="00B04947">
        <w:rPr>
          <w:lang w:val="en-GB"/>
        </w:rPr>
        <w:t>United Nations organizations</w:t>
      </w:r>
      <w:r w:rsidR="003511A7">
        <w:rPr>
          <w:lang w:val="en-GB"/>
        </w:rPr>
        <w:t xml:space="preserve"> and </w:t>
      </w:r>
      <w:r w:rsidR="003B3295">
        <w:rPr>
          <w:lang w:val="en-GB"/>
        </w:rPr>
        <w:t xml:space="preserve">in </w:t>
      </w:r>
      <w:r w:rsidR="003511A7">
        <w:rPr>
          <w:lang w:val="en-GB"/>
        </w:rPr>
        <w:t>cooperation with development partners such as</w:t>
      </w:r>
      <w:r w:rsidR="00E6112D" w:rsidRPr="0024500F">
        <w:rPr>
          <w:lang w:val="en-GB"/>
        </w:rPr>
        <w:t xml:space="preserve"> </w:t>
      </w:r>
      <w:r w:rsidR="00B04947">
        <w:rPr>
          <w:lang w:val="en-GB"/>
        </w:rPr>
        <w:t xml:space="preserve">Finland, </w:t>
      </w:r>
      <w:r w:rsidR="00504E38">
        <w:rPr>
          <w:lang w:val="en-GB"/>
        </w:rPr>
        <w:t xml:space="preserve">the </w:t>
      </w:r>
      <w:r w:rsidR="003511A7">
        <w:rPr>
          <w:lang w:val="en-GB"/>
        </w:rPr>
        <w:t>Russia</w:t>
      </w:r>
      <w:r w:rsidR="00504E38">
        <w:rPr>
          <w:lang w:val="en-GB"/>
        </w:rPr>
        <w:t>n Federation</w:t>
      </w:r>
      <w:r w:rsidR="003511A7">
        <w:rPr>
          <w:lang w:val="en-GB"/>
        </w:rPr>
        <w:t xml:space="preserve">, </w:t>
      </w:r>
      <w:r w:rsidR="003B3295">
        <w:rPr>
          <w:lang w:val="en-GB"/>
        </w:rPr>
        <w:t xml:space="preserve">and </w:t>
      </w:r>
      <w:r w:rsidR="00B04947">
        <w:rPr>
          <w:lang w:val="en-GB"/>
        </w:rPr>
        <w:t xml:space="preserve">international financial institutions, </w:t>
      </w:r>
      <w:r w:rsidR="00E6112D" w:rsidRPr="0024500F">
        <w:rPr>
          <w:lang w:val="en-GB"/>
        </w:rPr>
        <w:t xml:space="preserve">will continue supporting </w:t>
      </w:r>
      <w:r w:rsidR="008874AA">
        <w:rPr>
          <w:lang w:val="en-GB"/>
        </w:rPr>
        <w:t xml:space="preserve">local governments and </w:t>
      </w:r>
      <w:r w:rsidR="00E6112D" w:rsidRPr="0024500F">
        <w:rPr>
          <w:lang w:val="en-GB"/>
        </w:rPr>
        <w:t xml:space="preserve">people from </w:t>
      </w:r>
      <w:r w:rsidR="00E6112D" w:rsidRPr="0024500F">
        <w:rPr>
          <w:shd w:val="clear" w:color="auto" w:fill="FFFFFF"/>
          <w:lang w:val="en-GB"/>
        </w:rPr>
        <w:t xml:space="preserve">urban and rural </w:t>
      </w:r>
      <w:r w:rsidR="00B04947" w:rsidRPr="0024500F">
        <w:rPr>
          <w:shd w:val="clear" w:color="auto" w:fill="FFFFFF"/>
          <w:lang w:val="en-GB"/>
        </w:rPr>
        <w:t>communities</w:t>
      </w:r>
      <w:r w:rsidR="007F05B6">
        <w:rPr>
          <w:shd w:val="clear" w:color="auto" w:fill="FFFFFF"/>
          <w:lang w:val="en-GB"/>
        </w:rPr>
        <w:t xml:space="preserve"> and </w:t>
      </w:r>
      <w:r w:rsidR="00B04947">
        <w:rPr>
          <w:shd w:val="clear" w:color="auto" w:fill="FFFFFF"/>
          <w:lang w:val="en-GB"/>
        </w:rPr>
        <w:t xml:space="preserve">regions </w:t>
      </w:r>
      <w:r w:rsidR="00E6112D" w:rsidRPr="0024500F">
        <w:rPr>
          <w:shd w:val="clear" w:color="auto" w:fill="FFFFFF"/>
          <w:lang w:val="en-GB"/>
        </w:rPr>
        <w:t>with high poverty rates</w:t>
      </w:r>
      <w:r w:rsidR="00B04947">
        <w:rPr>
          <w:shd w:val="clear" w:color="auto" w:fill="FFFFFF"/>
          <w:lang w:val="en-GB"/>
        </w:rPr>
        <w:t>,</w:t>
      </w:r>
      <w:r w:rsidR="00E6112D" w:rsidRPr="0024500F">
        <w:rPr>
          <w:shd w:val="clear" w:color="auto" w:fill="FFFFFF"/>
          <w:lang w:val="en-GB"/>
        </w:rPr>
        <w:t xml:space="preserve"> and conflict</w:t>
      </w:r>
      <w:r w:rsidR="0080720A">
        <w:rPr>
          <w:shd w:val="clear" w:color="auto" w:fill="FFFFFF"/>
          <w:lang w:val="en-GB"/>
        </w:rPr>
        <w:t>-</w:t>
      </w:r>
      <w:r w:rsidR="00E6112D" w:rsidRPr="0024500F">
        <w:rPr>
          <w:shd w:val="clear" w:color="auto" w:fill="FFFFFF"/>
          <w:lang w:val="en-GB"/>
        </w:rPr>
        <w:t>prone areas</w:t>
      </w:r>
      <w:r w:rsidR="00B04947">
        <w:rPr>
          <w:shd w:val="clear" w:color="auto" w:fill="FFFFFF"/>
          <w:lang w:val="en-GB"/>
        </w:rPr>
        <w:t>,</w:t>
      </w:r>
      <w:r w:rsidR="00E6112D" w:rsidRPr="0024500F">
        <w:rPr>
          <w:lang w:val="en-GB"/>
        </w:rPr>
        <w:t xml:space="preserve"> in implementing comprehensive, </w:t>
      </w:r>
      <w:r w:rsidR="008874AA">
        <w:rPr>
          <w:lang w:val="en-GB"/>
        </w:rPr>
        <w:t>risk</w:t>
      </w:r>
      <w:r w:rsidR="0080720A">
        <w:rPr>
          <w:lang w:val="en-GB"/>
        </w:rPr>
        <w:t>-</w:t>
      </w:r>
      <w:r w:rsidR="008874AA">
        <w:rPr>
          <w:lang w:val="en-GB"/>
        </w:rPr>
        <w:t xml:space="preserve">informed and </w:t>
      </w:r>
      <w:r w:rsidR="00E6112D" w:rsidRPr="0024500F">
        <w:rPr>
          <w:lang w:val="en-GB"/>
        </w:rPr>
        <w:t>conflict-sensitive area-based development interventions.</w:t>
      </w:r>
      <w:r w:rsidR="00911C16" w:rsidRPr="00911C16">
        <w:t xml:space="preserve"> </w:t>
      </w:r>
      <w:r w:rsidR="00911C16">
        <w:t xml:space="preserve">Support will be provided to </w:t>
      </w:r>
      <w:r w:rsidR="00030768">
        <w:t xml:space="preserve">local governments in </w:t>
      </w:r>
      <w:r w:rsidR="00911C16">
        <w:t>target</w:t>
      </w:r>
      <w:r w:rsidR="002B449C">
        <w:t>ed</w:t>
      </w:r>
      <w:r w:rsidR="00911C16" w:rsidRPr="00840A4E">
        <w:t xml:space="preserve"> </w:t>
      </w:r>
      <w:r w:rsidR="00AC4C95">
        <w:t xml:space="preserve">regions, </w:t>
      </w:r>
      <w:r w:rsidR="00911C16" w:rsidRPr="00840A4E">
        <w:t xml:space="preserve">cities and human settlements </w:t>
      </w:r>
      <w:r w:rsidR="00030768">
        <w:t xml:space="preserve">in </w:t>
      </w:r>
      <w:r w:rsidR="00911C16" w:rsidRPr="00840A4E">
        <w:t xml:space="preserve">adopting and implementing integrated </w:t>
      </w:r>
      <w:r w:rsidR="00AC4C95">
        <w:t xml:space="preserve">regional and local development </w:t>
      </w:r>
      <w:r w:rsidR="00911C16" w:rsidRPr="00840A4E">
        <w:t>policies and plans towards inclusi</w:t>
      </w:r>
      <w:r w:rsidR="005B7C6C">
        <w:t>ve economic development</w:t>
      </w:r>
      <w:r w:rsidR="00B04947">
        <w:t>;</w:t>
      </w:r>
      <w:r w:rsidR="00911C16" w:rsidRPr="00840A4E">
        <w:t xml:space="preserve"> resource efficiency, </w:t>
      </w:r>
      <w:r w:rsidR="00641435">
        <w:t>including energy efficiency</w:t>
      </w:r>
      <w:r w:rsidR="00B04947">
        <w:t>;</w:t>
      </w:r>
      <w:r w:rsidR="00641435">
        <w:t xml:space="preserve"> </w:t>
      </w:r>
      <w:r w:rsidR="003E2B87" w:rsidRPr="00840A4E">
        <w:t xml:space="preserve">climate change </w:t>
      </w:r>
      <w:r w:rsidR="00911C16" w:rsidRPr="00840A4E">
        <w:t>mitigation and adaptation</w:t>
      </w:r>
      <w:r w:rsidR="00B04947">
        <w:t>; and</w:t>
      </w:r>
      <w:r w:rsidR="00911C16" w:rsidRPr="00840A4E">
        <w:t xml:space="preserve"> resilience to disasters</w:t>
      </w:r>
      <w:r w:rsidR="00911C16">
        <w:t>.</w:t>
      </w:r>
      <w:r w:rsidR="00776D06" w:rsidRPr="00776D06">
        <w:t xml:space="preserve"> </w:t>
      </w:r>
      <w:r w:rsidR="00776D06">
        <w:t>Local government capacit</w:t>
      </w:r>
      <w:r w:rsidR="00B04947">
        <w:t>ies</w:t>
      </w:r>
      <w:r w:rsidR="00776D06">
        <w:t xml:space="preserve"> will be strengthened to engage more with citizens and provide better services including using</w:t>
      </w:r>
      <w:r w:rsidR="00776D06" w:rsidRPr="008665C5">
        <w:rPr>
          <w:iCs/>
          <w:lang w:val="en"/>
        </w:rPr>
        <w:t xml:space="preserve"> </w:t>
      </w:r>
      <w:r w:rsidR="00776D06" w:rsidRPr="008874AA">
        <w:rPr>
          <w:iCs/>
          <w:lang w:val="en"/>
        </w:rPr>
        <w:t>smart solutions</w:t>
      </w:r>
      <w:r w:rsidR="00776D06">
        <w:rPr>
          <w:iCs/>
          <w:lang w:val="en"/>
        </w:rPr>
        <w:t>.</w:t>
      </w:r>
      <w:r w:rsidR="00911C16">
        <w:t xml:space="preserve"> </w:t>
      </w:r>
      <w:r w:rsidR="000C6863">
        <w:t>Programme activities will prioritize w</w:t>
      </w:r>
      <w:r w:rsidR="000C6863" w:rsidRPr="00630516">
        <w:t>omen, youth</w:t>
      </w:r>
      <w:r w:rsidR="000C6863">
        <w:t>, ethnic minorities and people with disabilit</w:t>
      </w:r>
      <w:r w:rsidR="00B33DD8">
        <w:t>ies</w:t>
      </w:r>
      <w:r w:rsidR="003E2B87">
        <w:t xml:space="preserve"> to</w:t>
      </w:r>
      <w:r w:rsidR="000C6863" w:rsidRPr="00630516">
        <w:t xml:space="preserve"> benefit from improved services and infrastructure, </w:t>
      </w:r>
      <w:r w:rsidR="000C6863">
        <w:t>vocational education and training,</w:t>
      </w:r>
      <w:r w:rsidR="000C6863" w:rsidRPr="00630516">
        <w:t xml:space="preserve"> access to resources, </w:t>
      </w:r>
      <w:r w:rsidR="00B04947">
        <w:t xml:space="preserve">and </w:t>
      </w:r>
      <w:r w:rsidR="000C6863" w:rsidRPr="00630516">
        <w:t>sustainable jobs and livelihoods.</w:t>
      </w:r>
      <w:r w:rsidR="0088685F" w:rsidRPr="0088685F">
        <w:rPr>
          <w:rFonts w:cs="Calibri"/>
        </w:rPr>
        <w:t xml:space="preserve"> </w:t>
      </w:r>
      <w:r w:rsidR="0088685F">
        <w:rPr>
          <w:rFonts w:cs="Calibri"/>
        </w:rPr>
        <w:t xml:space="preserve">Cross-border cooperation will continue to be </w:t>
      </w:r>
      <w:r w:rsidR="00DC5DE8">
        <w:rPr>
          <w:rFonts w:cs="Calibri"/>
        </w:rPr>
        <w:t>supported</w:t>
      </w:r>
      <w:r w:rsidR="00B04947">
        <w:rPr>
          <w:rFonts w:cs="Calibri"/>
        </w:rPr>
        <w:t>,</w:t>
      </w:r>
      <w:r w:rsidR="00DC5DE8">
        <w:rPr>
          <w:rFonts w:cs="Calibri"/>
        </w:rPr>
        <w:t xml:space="preserve"> </w:t>
      </w:r>
      <w:r w:rsidR="0088685F">
        <w:rPr>
          <w:rFonts w:cs="Calibri"/>
        </w:rPr>
        <w:t xml:space="preserve">and </w:t>
      </w:r>
      <w:r w:rsidR="00B04947">
        <w:rPr>
          <w:rFonts w:cs="Calibri"/>
        </w:rPr>
        <w:t xml:space="preserve">the capacities of </w:t>
      </w:r>
      <w:r w:rsidR="0088685F">
        <w:rPr>
          <w:rFonts w:cs="Calibri"/>
        </w:rPr>
        <w:t xml:space="preserve">local authorities and communities </w:t>
      </w:r>
      <w:r w:rsidR="00DC5DE8">
        <w:rPr>
          <w:rFonts w:cs="Calibri"/>
        </w:rPr>
        <w:t>for dialogue, sustainable and risk</w:t>
      </w:r>
      <w:r w:rsidR="00D0475B">
        <w:rPr>
          <w:rFonts w:cs="Calibri"/>
        </w:rPr>
        <w:t>-</w:t>
      </w:r>
      <w:r w:rsidR="00DC5DE8">
        <w:rPr>
          <w:rFonts w:cs="Calibri"/>
        </w:rPr>
        <w:t>informed development</w:t>
      </w:r>
      <w:r w:rsidR="000F1BA0">
        <w:rPr>
          <w:rFonts w:cs="Calibri"/>
        </w:rPr>
        <w:t>,</w:t>
      </w:r>
      <w:r w:rsidR="00DC5DE8">
        <w:rPr>
          <w:rFonts w:cs="Calibri"/>
        </w:rPr>
        <w:t xml:space="preserve"> and sustainable natural resources management </w:t>
      </w:r>
      <w:r w:rsidR="0088685F">
        <w:rPr>
          <w:rFonts w:cs="Calibri"/>
        </w:rPr>
        <w:t xml:space="preserve">will be </w:t>
      </w:r>
      <w:r w:rsidR="00DC5DE8">
        <w:rPr>
          <w:rFonts w:cs="Calibri"/>
        </w:rPr>
        <w:t>strengthened</w:t>
      </w:r>
      <w:r w:rsidR="0088685F" w:rsidRPr="0048064F">
        <w:rPr>
          <w:rFonts w:cs="Calibri"/>
        </w:rPr>
        <w:t>.</w:t>
      </w:r>
    </w:p>
    <w:p w14:paraId="4E5B6634" w14:textId="5B512EB7" w:rsidR="0024500F" w:rsidRPr="0024500F" w:rsidRDefault="0060184A" w:rsidP="007868EE">
      <w:pPr>
        <w:pStyle w:val="ListParagraph"/>
        <w:numPr>
          <w:ilvl w:val="0"/>
          <w:numId w:val="2"/>
        </w:numPr>
        <w:autoSpaceDE w:val="0"/>
        <w:autoSpaceDN w:val="0"/>
        <w:adjustRightInd w:val="0"/>
        <w:spacing w:before="120" w:after="120"/>
        <w:ind w:left="360" w:right="90" w:firstLine="0"/>
        <w:jc w:val="both"/>
        <w:rPr>
          <w:lang w:val="en-GB"/>
        </w:rPr>
      </w:pPr>
      <w:r w:rsidRPr="0024500F">
        <w:rPr>
          <w:b/>
          <w:lang w:val="en-GB"/>
        </w:rPr>
        <w:t xml:space="preserve">Environment, </w:t>
      </w:r>
      <w:r w:rsidR="000F1BA0">
        <w:rPr>
          <w:b/>
          <w:lang w:val="en-GB"/>
        </w:rPr>
        <w:t>c</w:t>
      </w:r>
      <w:r w:rsidRPr="0024500F">
        <w:rPr>
          <w:b/>
          <w:lang w:val="en-GB"/>
        </w:rPr>
        <w:t xml:space="preserve">limate </w:t>
      </w:r>
      <w:r w:rsidR="000F1BA0">
        <w:rPr>
          <w:b/>
          <w:lang w:val="en-GB"/>
        </w:rPr>
        <w:t>c</w:t>
      </w:r>
      <w:r w:rsidRPr="0024500F">
        <w:rPr>
          <w:b/>
          <w:lang w:val="en-GB"/>
        </w:rPr>
        <w:t xml:space="preserve">hange and </w:t>
      </w:r>
      <w:r w:rsidR="000F1BA0">
        <w:rPr>
          <w:b/>
          <w:lang w:val="en-GB"/>
        </w:rPr>
        <w:t>d</w:t>
      </w:r>
      <w:r w:rsidRPr="0024500F">
        <w:rPr>
          <w:b/>
          <w:lang w:val="en-GB"/>
        </w:rPr>
        <w:t xml:space="preserve">isaster </w:t>
      </w:r>
      <w:r w:rsidR="000F1BA0">
        <w:rPr>
          <w:b/>
          <w:lang w:val="en-GB"/>
        </w:rPr>
        <w:t>r</w:t>
      </w:r>
      <w:r w:rsidRPr="0024500F">
        <w:rPr>
          <w:b/>
          <w:lang w:val="en-GB"/>
        </w:rPr>
        <w:t xml:space="preserve">isk </w:t>
      </w:r>
      <w:r w:rsidR="000F1BA0">
        <w:rPr>
          <w:b/>
          <w:lang w:val="en-GB"/>
        </w:rPr>
        <w:t>m</w:t>
      </w:r>
      <w:r w:rsidRPr="0024500F">
        <w:rPr>
          <w:b/>
          <w:lang w:val="en-GB"/>
        </w:rPr>
        <w:t>anagement</w:t>
      </w:r>
      <w:r w:rsidR="000F1BA0">
        <w:rPr>
          <w:b/>
          <w:lang w:val="en-GB"/>
        </w:rPr>
        <w:t>.</w:t>
      </w:r>
      <w:r w:rsidR="00E6112D" w:rsidRPr="0024500F">
        <w:rPr>
          <w:rFonts w:cs="Arial"/>
          <w:b/>
          <w:bCs/>
          <w:lang w:eastAsia="en-GB"/>
        </w:rPr>
        <w:t xml:space="preserve"> </w:t>
      </w:r>
      <w:r w:rsidR="00D17443" w:rsidRPr="0024500F">
        <w:rPr>
          <w:color w:val="000000"/>
        </w:rPr>
        <w:t xml:space="preserve">The programme will </w:t>
      </w:r>
      <w:r w:rsidR="00D17443" w:rsidRPr="0024500F">
        <w:rPr>
          <w:bCs/>
          <w:iCs/>
          <w:color w:val="000000"/>
        </w:rPr>
        <w:t>promote integrated approaches to development</w:t>
      </w:r>
      <w:r w:rsidR="00C33A1F">
        <w:rPr>
          <w:bCs/>
          <w:iCs/>
          <w:color w:val="000000"/>
        </w:rPr>
        <w:t>, applying social and environmental standards and</w:t>
      </w:r>
      <w:r w:rsidR="00D17443" w:rsidRPr="0024500F">
        <w:rPr>
          <w:bCs/>
          <w:iCs/>
          <w:color w:val="000000"/>
        </w:rPr>
        <w:t xml:space="preserve"> building the resilience of institutions and communities to climate and disaster risks </w:t>
      </w:r>
      <w:r w:rsidR="000F1BA0">
        <w:rPr>
          <w:bCs/>
          <w:iCs/>
          <w:color w:val="000000"/>
        </w:rPr>
        <w:t xml:space="preserve">and </w:t>
      </w:r>
      <w:r w:rsidR="00340625">
        <w:rPr>
          <w:bCs/>
          <w:iCs/>
          <w:color w:val="000000"/>
        </w:rPr>
        <w:t xml:space="preserve">contributing directly to </w:t>
      </w:r>
      <w:r w:rsidR="000F1BA0">
        <w:rPr>
          <w:bCs/>
          <w:iCs/>
          <w:color w:val="000000"/>
        </w:rPr>
        <w:t xml:space="preserve">sustainable development </w:t>
      </w:r>
      <w:r w:rsidR="00C76804">
        <w:rPr>
          <w:bCs/>
          <w:iCs/>
          <w:color w:val="000000"/>
        </w:rPr>
        <w:t>goal</w:t>
      </w:r>
      <w:r w:rsidR="00C76804" w:rsidRPr="0024500F">
        <w:rPr>
          <w:bCs/>
          <w:iCs/>
          <w:color w:val="000000"/>
        </w:rPr>
        <w:t>s 7</w:t>
      </w:r>
      <w:r w:rsidR="00A211CE">
        <w:rPr>
          <w:bCs/>
          <w:iCs/>
          <w:color w:val="000000"/>
        </w:rPr>
        <w:t>, 13</w:t>
      </w:r>
      <w:r w:rsidR="000C6863" w:rsidRPr="0024500F">
        <w:rPr>
          <w:bCs/>
          <w:iCs/>
          <w:color w:val="000000"/>
        </w:rPr>
        <w:t xml:space="preserve"> and 1</w:t>
      </w:r>
      <w:r w:rsidR="00A211CE">
        <w:rPr>
          <w:bCs/>
          <w:iCs/>
          <w:color w:val="000000"/>
        </w:rPr>
        <w:t>5</w:t>
      </w:r>
      <w:r w:rsidR="00D17443" w:rsidRPr="0024500F">
        <w:rPr>
          <w:bCs/>
          <w:iCs/>
          <w:color w:val="000000"/>
        </w:rPr>
        <w:t xml:space="preserve">, </w:t>
      </w:r>
      <w:r w:rsidR="00340625">
        <w:rPr>
          <w:bCs/>
          <w:iCs/>
          <w:color w:val="000000"/>
        </w:rPr>
        <w:t xml:space="preserve">with indirect impact on </w:t>
      </w:r>
      <w:r w:rsidR="009024D3">
        <w:rPr>
          <w:bCs/>
          <w:iCs/>
          <w:color w:val="000000"/>
        </w:rPr>
        <w:t xml:space="preserve">goals </w:t>
      </w:r>
      <w:r w:rsidR="00340625">
        <w:rPr>
          <w:bCs/>
          <w:iCs/>
          <w:color w:val="000000"/>
        </w:rPr>
        <w:t xml:space="preserve">1, 2, 8 and 12, and in line with </w:t>
      </w:r>
      <w:r w:rsidR="00214AAA">
        <w:rPr>
          <w:bCs/>
          <w:iCs/>
          <w:color w:val="000000"/>
        </w:rPr>
        <w:t xml:space="preserve">the </w:t>
      </w:r>
      <w:r w:rsidR="00D17443" w:rsidRPr="0024500F">
        <w:rPr>
          <w:lang w:val="en-GB"/>
        </w:rPr>
        <w:t xml:space="preserve">Paris Agreement and </w:t>
      </w:r>
      <w:r w:rsidR="009024D3">
        <w:rPr>
          <w:lang w:val="en-GB"/>
        </w:rPr>
        <w:t xml:space="preserve">the </w:t>
      </w:r>
      <w:r w:rsidR="00D17443" w:rsidRPr="00530564">
        <w:t>Sendai Framework for Disaster Risk Reduction</w:t>
      </w:r>
      <w:r w:rsidR="009024D3">
        <w:t>,</w:t>
      </w:r>
      <w:r w:rsidR="00D17443" w:rsidRPr="00D17443">
        <w:t xml:space="preserve"> 2015-2030</w:t>
      </w:r>
      <w:r w:rsidR="000130D2">
        <w:t>.</w:t>
      </w:r>
      <w:r w:rsidR="00D66E31">
        <w:t xml:space="preserve"> UNDP will help the country to </w:t>
      </w:r>
      <w:r w:rsidR="00530564">
        <w:t xml:space="preserve">elaborate </w:t>
      </w:r>
      <w:r w:rsidR="00BA3198">
        <w:t xml:space="preserve">a long-term </w:t>
      </w:r>
      <w:r w:rsidR="009024D3">
        <w:t>l</w:t>
      </w:r>
      <w:r w:rsidR="00BA3198">
        <w:t xml:space="preserve">ow-emission </w:t>
      </w:r>
      <w:r w:rsidR="009024D3">
        <w:t>d</w:t>
      </w:r>
      <w:r w:rsidR="00BA3198">
        <w:t xml:space="preserve">evelopment </w:t>
      </w:r>
      <w:r w:rsidR="009024D3">
        <w:t>s</w:t>
      </w:r>
      <w:r w:rsidR="00BA3198">
        <w:t>trategy</w:t>
      </w:r>
      <w:r w:rsidR="00776D06">
        <w:t>. P</w:t>
      </w:r>
      <w:r w:rsidR="00776D06" w:rsidRPr="00D17443">
        <w:t>oli</w:t>
      </w:r>
      <w:r w:rsidR="00776D06">
        <w:t>cies</w:t>
      </w:r>
      <w:r w:rsidR="000130D2">
        <w:t xml:space="preserve"> and</w:t>
      </w:r>
      <w:r w:rsidR="00D17443" w:rsidRPr="00D17443">
        <w:t xml:space="preserve"> legal </w:t>
      </w:r>
      <w:r w:rsidR="000130D2">
        <w:t>frameworks and</w:t>
      </w:r>
      <w:r w:rsidR="00D17443" w:rsidRPr="00D17443">
        <w:t xml:space="preserve"> institutio</w:t>
      </w:r>
      <w:r w:rsidR="000130D2">
        <w:t>ns</w:t>
      </w:r>
      <w:r w:rsidR="00D17443" w:rsidRPr="00D17443">
        <w:t xml:space="preserve"> </w:t>
      </w:r>
      <w:r w:rsidR="000130D2">
        <w:t xml:space="preserve">will be supported </w:t>
      </w:r>
      <w:r w:rsidR="00D17443" w:rsidRPr="00D17443">
        <w:t xml:space="preserve">to apply innovative climate change mitigation and adaptation </w:t>
      </w:r>
      <w:r w:rsidR="000130D2">
        <w:t>measures</w:t>
      </w:r>
      <w:r w:rsidR="007B7DB0">
        <w:t>.</w:t>
      </w:r>
      <w:r w:rsidR="009024D3">
        <w:t xml:space="preserve"> </w:t>
      </w:r>
      <w:r w:rsidR="000130D2" w:rsidRPr="0024500F">
        <w:rPr>
          <w:lang w:val="en-GB"/>
        </w:rPr>
        <w:t xml:space="preserve">UNDP will </w:t>
      </w:r>
      <w:r w:rsidR="00D9374A">
        <w:rPr>
          <w:lang w:val="en-GB"/>
        </w:rPr>
        <w:t>work</w:t>
      </w:r>
      <w:r w:rsidR="00D9374A" w:rsidRPr="0024500F">
        <w:rPr>
          <w:lang w:val="en-GB"/>
        </w:rPr>
        <w:t xml:space="preserve"> </w:t>
      </w:r>
      <w:r w:rsidR="000130D2" w:rsidRPr="0024500F">
        <w:rPr>
          <w:lang w:val="en-GB"/>
        </w:rPr>
        <w:t xml:space="preserve">with </w:t>
      </w:r>
      <w:r w:rsidR="009024D3">
        <w:rPr>
          <w:lang w:val="en-GB"/>
        </w:rPr>
        <w:t>United Nations organizations</w:t>
      </w:r>
      <w:r w:rsidR="002F60AC">
        <w:rPr>
          <w:lang w:val="en-GB"/>
        </w:rPr>
        <w:t xml:space="preserve">, </w:t>
      </w:r>
      <w:r w:rsidR="003B3295">
        <w:rPr>
          <w:lang w:val="en-GB"/>
        </w:rPr>
        <w:t>development partners</w:t>
      </w:r>
      <w:r w:rsidR="009024D3">
        <w:rPr>
          <w:lang w:val="en-GB"/>
        </w:rPr>
        <w:t xml:space="preserve"> –</w:t>
      </w:r>
      <w:r w:rsidR="003B3295">
        <w:rPr>
          <w:lang w:val="en-GB"/>
        </w:rPr>
        <w:t xml:space="preserve"> including Japan and </w:t>
      </w:r>
      <w:r w:rsidR="00A14CD8">
        <w:rPr>
          <w:lang w:val="en-GB"/>
        </w:rPr>
        <w:t xml:space="preserve">the </w:t>
      </w:r>
      <w:r w:rsidR="003B3295">
        <w:rPr>
          <w:lang w:val="en-GB"/>
        </w:rPr>
        <w:t>Russia</w:t>
      </w:r>
      <w:r w:rsidR="00A14CD8">
        <w:rPr>
          <w:lang w:val="en-GB"/>
        </w:rPr>
        <w:t>n Federation</w:t>
      </w:r>
      <w:r w:rsidR="003B3295">
        <w:rPr>
          <w:lang w:val="en-GB"/>
        </w:rPr>
        <w:t xml:space="preserve">, </w:t>
      </w:r>
      <w:r w:rsidR="009024D3">
        <w:rPr>
          <w:lang w:val="en-GB"/>
        </w:rPr>
        <w:t>international financial institution</w:t>
      </w:r>
      <w:r w:rsidR="002F60AC">
        <w:rPr>
          <w:lang w:val="en-GB"/>
        </w:rPr>
        <w:t xml:space="preserve">s and </w:t>
      </w:r>
      <w:r w:rsidR="009024D3">
        <w:rPr>
          <w:lang w:val="en-GB"/>
        </w:rPr>
        <w:t xml:space="preserve">the </w:t>
      </w:r>
      <w:r w:rsidR="002F60AC">
        <w:rPr>
          <w:lang w:val="en-GB"/>
        </w:rPr>
        <w:t>private sector</w:t>
      </w:r>
      <w:r w:rsidR="009024D3">
        <w:rPr>
          <w:lang w:val="en-GB"/>
        </w:rPr>
        <w:t xml:space="preserve"> – </w:t>
      </w:r>
      <w:r w:rsidR="000130D2" w:rsidRPr="0024500F">
        <w:rPr>
          <w:lang w:val="en-GB"/>
        </w:rPr>
        <w:t xml:space="preserve">to access climate financing mechanisms for mitigation and adaptation, focusing on </w:t>
      </w:r>
      <w:r w:rsidR="000130D2" w:rsidRPr="0024500F">
        <w:rPr>
          <w:rFonts w:cs="Arial"/>
          <w:bCs/>
          <w:lang w:eastAsia="en-GB"/>
        </w:rPr>
        <w:t xml:space="preserve">improved climate resilience of agricultural livelihoods through scaled-up on-farm water efficiency. </w:t>
      </w:r>
      <w:r w:rsidR="009024D3">
        <w:rPr>
          <w:iCs/>
          <w:color w:val="000000"/>
          <w:lang w:val="en-GB"/>
        </w:rPr>
        <w:t>‘S</w:t>
      </w:r>
      <w:r w:rsidR="00D17443" w:rsidRPr="0024500F">
        <w:rPr>
          <w:iCs/>
          <w:color w:val="000000"/>
          <w:lang w:val="en-GB"/>
        </w:rPr>
        <w:t>mart</w:t>
      </w:r>
      <w:r w:rsidR="009024D3">
        <w:rPr>
          <w:iCs/>
          <w:color w:val="000000"/>
          <w:lang w:val="en-GB"/>
        </w:rPr>
        <w:t>’</w:t>
      </w:r>
      <w:r w:rsidR="00D17443" w:rsidRPr="0024500F">
        <w:rPr>
          <w:iCs/>
          <w:color w:val="000000"/>
          <w:lang w:val="en-GB"/>
        </w:rPr>
        <w:t xml:space="preserve"> </w:t>
      </w:r>
      <w:r w:rsidR="00D17443" w:rsidRPr="0024500F">
        <w:rPr>
          <w:iCs/>
          <w:color w:val="000000"/>
        </w:rPr>
        <w:t xml:space="preserve">solutions </w:t>
      </w:r>
      <w:r w:rsidR="002D469F" w:rsidRPr="0024500F">
        <w:rPr>
          <w:iCs/>
          <w:color w:val="000000"/>
        </w:rPr>
        <w:t>will be developed and supported</w:t>
      </w:r>
      <w:r w:rsidR="00D17443" w:rsidRPr="0024500F">
        <w:rPr>
          <w:iCs/>
          <w:color w:val="000000"/>
        </w:rPr>
        <w:t xml:space="preserve"> at national and subnational levels for </w:t>
      </w:r>
      <w:r w:rsidR="009024D3">
        <w:rPr>
          <w:iCs/>
          <w:color w:val="000000"/>
        </w:rPr>
        <w:t xml:space="preserve">the </w:t>
      </w:r>
      <w:r w:rsidR="00776D06">
        <w:rPr>
          <w:iCs/>
          <w:color w:val="000000"/>
        </w:rPr>
        <w:t xml:space="preserve">transparent, accountable and </w:t>
      </w:r>
      <w:r w:rsidR="00D17443" w:rsidRPr="0024500F">
        <w:rPr>
          <w:iCs/>
          <w:color w:val="000000"/>
        </w:rPr>
        <w:t xml:space="preserve">sustainable management of natural resources, </w:t>
      </w:r>
      <w:r w:rsidR="002D469F" w:rsidRPr="0024500F">
        <w:rPr>
          <w:iCs/>
          <w:color w:val="000000"/>
        </w:rPr>
        <w:t xml:space="preserve">renewable energy, </w:t>
      </w:r>
      <w:r w:rsidR="00D17443" w:rsidRPr="0024500F">
        <w:rPr>
          <w:iCs/>
          <w:color w:val="000000"/>
        </w:rPr>
        <w:t>ecosystem services, chemicals</w:t>
      </w:r>
      <w:r w:rsidR="009024D3">
        <w:rPr>
          <w:iCs/>
          <w:color w:val="000000"/>
        </w:rPr>
        <w:t>,</w:t>
      </w:r>
      <w:r w:rsidR="00D17443" w:rsidRPr="0024500F">
        <w:rPr>
          <w:iCs/>
          <w:color w:val="000000"/>
        </w:rPr>
        <w:t xml:space="preserve"> and waste</w:t>
      </w:r>
      <w:r w:rsidR="009024D3">
        <w:rPr>
          <w:iCs/>
          <w:color w:val="000000"/>
        </w:rPr>
        <w:t>,</w:t>
      </w:r>
      <w:r w:rsidR="00D17443" w:rsidRPr="00D17443">
        <w:t xml:space="preserve"> for better livelihoods and employment</w:t>
      </w:r>
      <w:r w:rsidR="009024D3">
        <w:t>,</w:t>
      </w:r>
      <w:r w:rsidR="00D17443" w:rsidRPr="00D17443">
        <w:t xml:space="preserve"> focus</w:t>
      </w:r>
      <w:r w:rsidR="009024D3">
        <w:t>ing</w:t>
      </w:r>
      <w:r w:rsidR="00D17443" w:rsidRPr="00D17443">
        <w:t xml:space="preserve"> on women and yout</w:t>
      </w:r>
      <w:r w:rsidR="00D17443">
        <w:t xml:space="preserve">h. </w:t>
      </w:r>
      <w:r w:rsidR="00F45C59">
        <w:t>W</w:t>
      </w:r>
      <w:r w:rsidR="00F45C59" w:rsidRPr="0024500F">
        <w:rPr>
          <w:szCs w:val="21"/>
        </w:rPr>
        <w:t>omen will be empowered to participate in natural resource management</w:t>
      </w:r>
      <w:r w:rsidR="009024D3">
        <w:rPr>
          <w:szCs w:val="21"/>
        </w:rPr>
        <w:t>,</w:t>
      </w:r>
      <w:r w:rsidR="00F45C59" w:rsidRPr="0024500F">
        <w:rPr>
          <w:szCs w:val="21"/>
        </w:rPr>
        <w:t xml:space="preserve"> </w:t>
      </w:r>
      <w:r w:rsidR="00F45C59" w:rsidRPr="0024500F">
        <w:rPr>
          <w:szCs w:val="21"/>
        </w:rPr>
        <w:lastRenderedPageBreak/>
        <w:t xml:space="preserve">and </w:t>
      </w:r>
      <w:r w:rsidR="0070759F">
        <w:rPr>
          <w:szCs w:val="21"/>
        </w:rPr>
        <w:t>the</w:t>
      </w:r>
      <w:r w:rsidR="00F45C59" w:rsidRPr="0024500F">
        <w:rPr>
          <w:szCs w:val="21"/>
        </w:rPr>
        <w:t xml:space="preserve"> </w:t>
      </w:r>
      <w:r w:rsidR="009024D3">
        <w:rPr>
          <w:szCs w:val="21"/>
        </w:rPr>
        <w:t>G</w:t>
      </w:r>
      <w:r w:rsidR="00F45C59" w:rsidRPr="0024500F">
        <w:rPr>
          <w:szCs w:val="21"/>
        </w:rPr>
        <w:t xml:space="preserve">overnment will be supported </w:t>
      </w:r>
      <w:r w:rsidR="009024D3">
        <w:rPr>
          <w:szCs w:val="21"/>
        </w:rPr>
        <w:t>in</w:t>
      </w:r>
      <w:r w:rsidR="00F45C59" w:rsidRPr="0024500F">
        <w:rPr>
          <w:szCs w:val="21"/>
        </w:rPr>
        <w:t xml:space="preserve"> ensur</w:t>
      </w:r>
      <w:r w:rsidR="009024D3">
        <w:rPr>
          <w:szCs w:val="21"/>
        </w:rPr>
        <w:t>ing</w:t>
      </w:r>
      <w:r w:rsidR="00F45C59" w:rsidRPr="008F4FD2">
        <w:t xml:space="preserve"> gender-responsive policymaking, monitoring and evaluation </w:t>
      </w:r>
      <w:r w:rsidR="00F45C59">
        <w:t xml:space="preserve">related to </w:t>
      </w:r>
      <w:r w:rsidR="00F45C59" w:rsidRPr="00B34499">
        <w:t>environmental management</w:t>
      </w:r>
      <w:r w:rsidR="005B7C6C">
        <w:t>, including</w:t>
      </w:r>
      <w:r w:rsidR="005B7C6C" w:rsidRPr="005B7C6C">
        <w:t xml:space="preserve"> </w:t>
      </w:r>
      <w:r w:rsidR="009024D3">
        <w:t>the</w:t>
      </w:r>
      <w:r w:rsidR="005B7C6C" w:rsidRPr="00B34499">
        <w:t xml:space="preserve"> collect</w:t>
      </w:r>
      <w:r w:rsidR="009024D3">
        <w:t>ion</w:t>
      </w:r>
      <w:r w:rsidR="005B7C6C" w:rsidRPr="00B34499">
        <w:t xml:space="preserve"> and use </w:t>
      </w:r>
      <w:r w:rsidR="009024D3">
        <w:t xml:space="preserve">of </w:t>
      </w:r>
      <w:r w:rsidR="005B7C6C" w:rsidRPr="0024500F">
        <w:rPr>
          <w:rFonts w:eastAsia="Calibri"/>
        </w:rPr>
        <w:t>sex- and age-disaggregated data for evidence-based</w:t>
      </w:r>
      <w:r w:rsidR="009024D3">
        <w:rPr>
          <w:rFonts w:eastAsia="Calibri"/>
        </w:rPr>
        <w:t>,</w:t>
      </w:r>
      <w:r w:rsidR="005B7C6C" w:rsidRPr="0024500F">
        <w:rPr>
          <w:rFonts w:eastAsia="Calibri"/>
        </w:rPr>
        <w:t xml:space="preserve"> inclu</w:t>
      </w:r>
      <w:r w:rsidR="005B7C6C" w:rsidRPr="00B34499">
        <w:t>sive decision-making</w:t>
      </w:r>
      <w:r w:rsidR="00F45C59">
        <w:t xml:space="preserve">. </w:t>
      </w:r>
      <w:r w:rsidR="000130D2" w:rsidRPr="00D17443">
        <w:t xml:space="preserve">National and subnational government capacities </w:t>
      </w:r>
      <w:r w:rsidR="009024D3">
        <w:t>will be strengthened</w:t>
      </w:r>
      <w:r w:rsidR="009024D3" w:rsidRPr="00D17443">
        <w:t xml:space="preserve"> </w:t>
      </w:r>
      <w:r w:rsidR="000130D2" w:rsidRPr="00D17443">
        <w:t xml:space="preserve">to implement gender-responsive disaster risk reduction strategies, risk management capacities, </w:t>
      </w:r>
      <w:r w:rsidR="009024D3">
        <w:t xml:space="preserve">and </w:t>
      </w:r>
      <w:r w:rsidR="000130D2" w:rsidRPr="00D17443">
        <w:t>livelihood and recovery choices</w:t>
      </w:r>
      <w:r w:rsidR="000130D2">
        <w:t>.</w:t>
      </w:r>
    </w:p>
    <w:p w14:paraId="236CC756" w14:textId="478E9FC1" w:rsidR="0024500F" w:rsidRDefault="0060184A" w:rsidP="007868EE">
      <w:pPr>
        <w:pStyle w:val="ListParagraph"/>
        <w:numPr>
          <w:ilvl w:val="0"/>
          <w:numId w:val="2"/>
        </w:numPr>
        <w:autoSpaceDE w:val="0"/>
        <w:autoSpaceDN w:val="0"/>
        <w:adjustRightInd w:val="0"/>
        <w:spacing w:before="120" w:after="200"/>
        <w:ind w:left="360" w:right="90" w:firstLine="0"/>
        <w:jc w:val="both"/>
        <w:rPr>
          <w:lang w:val="en-GB"/>
        </w:rPr>
      </w:pPr>
      <w:r w:rsidRPr="0024500F">
        <w:rPr>
          <w:shd w:val="clear" w:color="auto" w:fill="FFFFFF"/>
        </w:rPr>
        <w:t xml:space="preserve">The proposed </w:t>
      </w:r>
      <w:r w:rsidR="007F05B6">
        <w:rPr>
          <w:shd w:val="clear" w:color="auto" w:fill="FFFFFF"/>
        </w:rPr>
        <w:t>country programme</w:t>
      </w:r>
      <w:r w:rsidR="007F05B6" w:rsidRPr="0024500F">
        <w:rPr>
          <w:shd w:val="clear" w:color="auto" w:fill="FFFFFF"/>
        </w:rPr>
        <w:t xml:space="preserve"> </w:t>
      </w:r>
      <w:r w:rsidRPr="0024500F">
        <w:rPr>
          <w:shd w:val="clear" w:color="auto" w:fill="FFFFFF"/>
        </w:rPr>
        <w:t>focus</w:t>
      </w:r>
      <w:r w:rsidR="007E36C1">
        <w:rPr>
          <w:shd w:val="clear" w:color="auto" w:fill="FFFFFF"/>
        </w:rPr>
        <w:t>es</w:t>
      </w:r>
      <w:r w:rsidRPr="0024500F">
        <w:rPr>
          <w:shd w:val="clear" w:color="auto" w:fill="FFFFFF"/>
        </w:rPr>
        <w:t xml:space="preserve"> on </w:t>
      </w:r>
      <w:r w:rsidR="00B92ADD">
        <w:rPr>
          <w:shd w:val="clear" w:color="auto" w:fill="FFFFFF"/>
        </w:rPr>
        <w:t xml:space="preserve">the </w:t>
      </w:r>
      <w:r w:rsidRPr="0024500F">
        <w:rPr>
          <w:shd w:val="clear" w:color="auto" w:fill="FFFFFF"/>
        </w:rPr>
        <w:t>above priori</w:t>
      </w:r>
      <w:r w:rsidRPr="00E62132">
        <w:t xml:space="preserve">ties using </w:t>
      </w:r>
      <w:r>
        <w:t xml:space="preserve">an </w:t>
      </w:r>
      <w:r w:rsidR="000047E2" w:rsidRPr="00E62132">
        <w:t>issue</w:t>
      </w:r>
      <w:r w:rsidR="007F05B6">
        <w:t>s</w:t>
      </w:r>
      <w:r w:rsidRPr="00E62132">
        <w:t xml:space="preserve">-based approach </w:t>
      </w:r>
      <w:r>
        <w:t>to empower woman, youth and those facing exclusion and discrimination</w:t>
      </w:r>
      <w:r w:rsidR="00EE3796">
        <w:t>.</w:t>
      </w:r>
      <w:r w:rsidR="00340625">
        <w:t xml:space="preserve"> UNDP will continue to support nationalization </w:t>
      </w:r>
      <w:r w:rsidR="007F05B6">
        <w:t xml:space="preserve">of the sustainable development goals </w:t>
      </w:r>
      <w:r w:rsidR="00340625">
        <w:t xml:space="preserve">and </w:t>
      </w:r>
      <w:r w:rsidR="007F05B6">
        <w:t xml:space="preserve">their </w:t>
      </w:r>
      <w:r w:rsidR="00340625">
        <w:t>integrati</w:t>
      </w:r>
      <w:r w:rsidR="007F05B6">
        <w:t>on</w:t>
      </w:r>
      <w:r w:rsidR="00340625">
        <w:t xml:space="preserve"> into the national policies</w:t>
      </w:r>
      <w:r w:rsidR="00EE3796">
        <w:t>, including support for evidence-based polic</w:t>
      </w:r>
      <w:r w:rsidR="00D9374A">
        <w:t>ies</w:t>
      </w:r>
      <w:r w:rsidR="0098493D">
        <w:t>. B</w:t>
      </w:r>
      <w:r w:rsidRPr="00E62132">
        <w:t>etter target</w:t>
      </w:r>
      <w:r w:rsidRPr="0024500F">
        <w:rPr>
          <w:shd w:val="clear" w:color="auto" w:fill="FFFFFF"/>
        </w:rPr>
        <w:t xml:space="preserve">ing </w:t>
      </w:r>
      <w:r w:rsidR="0098493D" w:rsidRPr="0024500F">
        <w:rPr>
          <w:shd w:val="clear" w:color="auto" w:fill="FFFFFF"/>
        </w:rPr>
        <w:t xml:space="preserve">will </w:t>
      </w:r>
      <w:r w:rsidRPr="0024500F">
        <w:rPr>
          <w:shd w:val="clear" w:color="auto" w:fill="FFFFFF"/>
        </w:rPr>
        <w:t>reach the most vulnerable groups</w:t>
      </w:r>
      <w:r w:rsidR="007F05B6">
        <w:rPr>
          <w:shd w:val="clear" w:color="auto" w:fill="FFFFFF"/>
        </w:rPr>
        <w:t>,</w:t>
      </w:r>
      <w:r w:rsidRPr="0024500F">
        <w:rPr>
          <w:shd w:val="clear" w:color="auto" w:fill="FFFFFF"/>
        </w:rPr>
        <w:t xml:space="preserve"> such as women in rural areas (including women-headed households), persons with disabilities, people living with HIV</w:t>
      </w:r>
      <w:r w:rsidR="00AC4C95">
        <w:rPr>
          <w:shd w:val="clear" w:color="auto" w:fill="FFFFFF"/>
        </w:rPr>
        <w:t xml:space="preserve">, </w:t>
      </w:r>
      <w:r w:rsidRPr="0024500F">
        <w:rPr>
          <w:shd w:val="clear" w:color="auto" w:fill="FFFFFF"/>
        </w:rPr>
        <w:t>unemployed youth</w:t>
      </w:r>
      <w:r w:rsidR="00AC4C95">
        <w:rPr>
          <w:shd w:val="clear" w:color="auto" w:fill="FFFFFF"/>
        </w:rPr>
        <w:t>, and those at risk of radicalization</w:t>
      </w:r>
      <w:r w:rsidRPr="0024500F">
        <w:rPr>
          <w:shd w:val="clear" w:color="auto" w:fill="FFFFFF"/>
        </w:rPr>
        <w:t>.</w:t>
      </w:r>
      <w:r w:rsidRPr="0024500F">
        <w:rPr>
          <w:shd w:val="clear" w:color="auto" w:fill="FFFFFF"/>
          <w:lang w:val="en-GB"/>
        </w:rPr>
        <w:t xml:space="preserve"> </w:t>
      </w:r>
      <w:r w:rsidR="0098493D" w:rsidRPr="0024500F">
        <w:rPr>
          <w:shd w:val="clear" w:color="auto" w:fill="FFFFFF"/>
          <w:lang w:val="en-GB"/>
        </w:rPr>
        <w:t xml:space="preserve">Particular attention will be paid </w:t>
      </w:r>
      <w:r w:rsidR="00B6584F">
        <w:rPr>
          <w:shd w:val="clear" w:color="auto" w:fill="FFFFFF"/>
          <w:lang w:val="en-GB"/>
        </w:rPr>
        <w:t xml:space="preserve">to </w:t>
      </w:r>
      <w:r w:rsidR="0098493D" w:rsidRPr="0024500F">
        <w:rPr>
          <w:shd w:val="clear" w:color="auto" w:fill="FFFFFF"/>
          <w:lang w:val="en-GB"/>
        </w:rPr>
        <w:t xml:space="preserve">urban and rural communities </w:t>
      </w:r>
      <w:r w:rsidR="007F05B6">
        <w:rPr>
          <w:shd w:val="clear" w:color="auto" w:fill="FFFFFF"/>
          <w:lang w:val="en-GB"/>
        </w:rPr>
        <w:t xml:space="preserve">and </w:t>
      </w:r>
      <w:r w:rsidR="007F05B6" w:rsidRPr="0024500F">
        <w:rPr>
          <w:shd w:val="clear" w:color="auto" w:fill="FFFFFF"/>
          <w:lang w:val="en-GB"/>
        </w:rPr>
        <w:t>regions</w:t>
      </w:r>
      <w:r w:rsidR="007F05B6">
        <w:rPr>
          <w:shd w:val="clear" w:color="auto" w:fill="FFFFFF"/>
          <w:lang w:val="en-GB"/>
        </w:rPr>
        <w:t xml:space="preserve"> </w:t>
      </w:r>
      <w:r w:rsidR="0098493D" w:rsidRPr="0024500F">
        <w:rPr>
          <w:shd w:val="clear" w:color="auto" w:fill="FFFFFF"/>
          <w:lang w:val="en-GB"/>
        </w:rPr>
        <w:t xml:space="preserve">with </w:t>
      </w:r>
      <w:r w:rsidR="005B40D2">
        <w:rPr>
          <w:shd w:val="clear" w:color="auto" w:fill="FFFFFF"/>
          <w:lang w:val="en-GB"/>
        </w:rPr>
        <w:t>high poverty rates</w:t>
      </w:r>
      <w:r w:rsidR="007F05B6">
        <w:rPr>
          <w:shd w:val="clear" w:color="auto" w:fill="FFFFFF"/>
          <w:lang w:val="en-GB"/>
        </w:rPr>
        <w:t>,</w:t>
      </w:r>
      <w:r w:rsidR="005B40D2">
        <w:rPr>
          <w:shd w:val="clear" w:color="auto" w:fill="FFFFFF"/>
          <w:lang w:val="en-GB"/>
        </w:rPr>
        <w:t xml:space="preserve"> and </w:t>
      </w:r>
      <w:r w:rsidR="007F05B6">
        <w:rPr>
          <w:shd w:val="clear" w:color="auto" w:fill="FFFFFF"/>
          <w:lang w:val="en-GB"/>
        </w:rPr>
        <w:t xml:space="preserve">to </w:t>
      </w:r>
      <w:r w:rsidR="005B40D2">
        <w:rPr>
          <w:shd w:val="clear" w:color="auto" w:fill="FFFFFF"/>
          <w:lang w:val="en-GB"/>
        </w:rPr>
        <w:t>conflict-</w:t>
      </w:r>
      <w:r w:rsidR="0098493D" w:rsidRPr="0024500F">
        <w:rPr>
          <w:shd w:val="clear" w:color="auto" w:fill="FFFFFF"/>
          <w:lang w:val="en-GB"/>
        </w:rPr>
        <w:t xml:space="preserve">prone areas. </w:t>
      </w:r>
      <w:r w:rsidR="007F05B6">
        <w:rPr>
          <w:shd w:val="clear" w:color="auto" w:fill="FFFFFF"/>
          <w:lang w:val="en-GB"/>
        </w:rPr>
        <w:t>Partnering</w:t>
      </w:r>
      <w:r w:rsidRPr="0024500F">
        <w:rPr>
          <w:rFonts w:eastAsia="Calibri"/>
          <w:shd w:val="clear" w:color="auto" w:fill="FFFFFF"/>
          <w:lang w:val="en-GB"/>
        </w:rPr>
        <w:t xml:space="preserve"> with </w:t>
      </w:r>
      <w:r w:rsidR="007F05B6">
        <w:rPr>
          <w:rFonts w:eastAsia="Calibri"/>
          <w:shd w:val="clear" w:color="auto" w:fill="FFFFFF"/>
          <w:lang w:val="en-GB"/>
        </w:rPr>
        <w:t>g</w:t>
      </w:r>
      <w:r w:rsidRPr="0024500F">
        <w:rPr>
          <w:rFonts w:eastAsia="Calibri"/>
          <w:shd w:val="clear" w:color="auto" w:fill="FFFFFF"/>
          <w:lang w:val="en-GB"/>
        </w:rPr>
        <w:t>overnment in</w:t>
      </w:r>
      <w:r w:rsidRPr="0024500F">
        <w:rPr>
          <w:rFonts w:eastAsia="Calibri"/>
          <w:lang w:val="en-GB"/>
        </w:rPr>
        <w:t>stitutions at all levels, U</w:t>
      </w:r>
      <w:r w:rsidR="007F05B6">
        <w:rPr>
          <w:rFonts w:eastAsia="Calibri"/>
          <w:lang w:val="en-GB"/>
        </w:rPr>
        <w:t>nited Nations</w:t>
      </w:r>
      <w:r w:rsidRPr="0024500F">
        <w:rPr>
          <w:rFonts w:eastAsia="Calibri"/>
          <w:lang w:val="en-GB"/>
        </w:rPr>
        <w:t xml:space="preserve"> organizations, development partners, </w:t>
      </w:r>
      <w:r w:rsidR="007F05B6">
        <w:rPr>
          <w:rFonts w:eastAsia="Calibri"/>
          <w:lang w:val="en-GB"/>
        </w:rPr>
        <w:t xml:space="preserve">the </w:t>
      </w:r>
      <w:r w:rsidRPr="0024500F">
        <w:rPr>
          <w:rFonts w:eastAsia="Calibri"/>
          <w:lang w:val="en-GB"/>
        </w:rPr>
        <w:t>private sector and civil society, UNDP will</w:t>
      </w:r>
      <w:r w:rsidRPr="0024500F">
        <w:rPr>
          <w:rFonts w:eastAsia="Calibri"/>
        </w:rPr>
        <w:t xml:space="preserve"> </w:t>
      </w:r>
      <w:r w:rsidRPr="0024500F">
        <w:rPr>
          <w:lang w:val="en-GB"/>
        </w:rPr>
        <w:t>scal</w:t>
      </w:r>
      <w:r w:rsidR="007F05B6">
        <w:rPr>
          <w:lang w:val="en-GB"/>
        </w:rPr>
        <w:t xml:space="preserve">e </w:t>
      </w:r>
      <w:r w:rsidRPr="0024500F">
        <w:rPr>
          <w:lang w:val="en-GB"/>
        </w:rPr>
        <w:t xml:space="preserve">up actions to address programme priorities in a coherent and sustainable manner. UNDP will make </w:t>
      </w:r>
      <w:r w:rsidR="007F05B6">
        <w:rPr>
          <w:lang w:val="en-GB"/>
        </w:rPr>
        <w:t xml:space="preserve">wider and </w:t>
      </w:r>
      <w:r w:rsidRPr="0024500F">
        <w:rPr>
          <w:lang w:val="en-GB"/>
        </w:rPr>
        <w:t xml:space="preserve">better use of South-South </w:t>
      </w:r>
      <w:r w:rsidR="005865E4">
        <w:rPr>
          <w:lang w:val="en-GB"/>
        </w:rPr>
        <w:t>(</w:t>
      </w:r>
      <w:r w:rsidR="007F05B6">
        <w:rPr>
          <w:lang w:val="en-GB"/>
        </w:rPr>
        <w:t xml:space="preserve">Armenia, </w:t>
      </w:r>
      <w:r w:rsidR="005865E4">
        <w:rPr>
          <w:lang w:val="en-GB"/>
        </w:rPr>
        <w:t xml:space="preserve">Kazakhstan, Tajikistan, and other countries) </w:t>
      </w:r>
      <w:r w:rsidRPr="0024500F">
        <w:rPr>
          <w:lang w:val="en-GB"/>
        </w:rPr>
        <w:t xml:space="preserve">and </w:t>
      </w:r>
      <w:r w:rsidR="007F05B6">
        <w:rPr>
          <w:lang w:val="en-GB"/>
        </w:rPr>
        <w:t>t</w:t>
      </w:r>
      <w:r w:rsidRPr="0024500F">
        <w:rPr>
          <w:lang w:val="en-GB"/>
        </w:rPr>
        <w:t xml:space="preserve">riangular cooperation </w:t>
      </w:r>
      <w:r w:rsidR="005865E4">
        <w:rPr>
          <w:lang w:val="en-GB"/>
        </w:rPr>
        <w:t xml:space="preserve">(Japan, </w:t>
      </w:r>
      <w:r w:rsidR="007F05B6">
        <w:rPr>
          <w:lang w:val="en-GB"/>
        </w:rPr>
        <w:t xml:space="preserve">Kazakhstan, </w:t>
      </w:r>
      <w:r w:rsidR="00F214AC">
        <w:rPr>
          <w:lang w:val="en-GB"/>
        </w:rPr>
        <w:t xml:space="preserve">the </w:t>
      </w:r>
      <w:r w:rsidR="005865E4">
        <w:rPr>
          <w:lang w:val="en-GB"/>
        </w:rPr>
        <w:t>Russia</w:t>
      </w:r>
      <w:r w:rsidR="00F214AC">
        <w:rPr>
          <w:lang w:val="en-GB"/>
        </w:rPr>
        <w:t>n Federation</w:t>
      </w:r>
      <w:r w:rsidR="005865E4">
        <w:rPr>
          <w:lang w:val="en-GB"/>
        </w:rPr>
        <w:t xml:space="preserve">, </w:t>
      </w:r>
      <w:r w:rsidR="007F05B6">
        <w:rPr>
          <w:lang w:val="en-GB"/>
        </w:rPr>
        <w:t>a</w:t>
      </w:r>
      <w:r w:rsidR="005865E4">
        <w:rPr>
          <w:lang w:val="en-GB"/>
        </w:rPr>
        <w:t xml:space="preserve">nd others) </w:t>
      </w:r>
      <w:r w:rsidRPr="0024500F">
        <w:rPr>
          <w:lang w:val="en-GB"/>
        </w:rPr>
        <w:t xml:space="preserve">to foster development prospects, particularly in the areas of </w:t>
      </w:r>
      <w:r w:rsidR="0098493D" w:rsidRPr="0024500F">
        <w:rPr>
          <w:lang w:val="en-GB"/>
        </w:rPr>
        <w:t>good</w:t>
      </w:r>
      <w:r w:rsidRPr="0024500F">
        <w:rPr>
          <w:lang w:val="en-GB"/>
        </w:rPr>
        <w:t xml:space="preserve"> governance, </w:t>
      </w:r>
      <w:r w:rsidR="005865E4">
        <w:rPr>
          <w:lang w:val="en-GB"/>
        </w:rPr>
        <w:t xml:space="preserve">energy efficiency, </w:t>
      </w:r>
      <w:r w:rsidR="00E6112D" w:rsidRPr="0024500F">
        <w:rPr>
          <w:lang w:val="en-GB"/>
        </w:rPr>
        <w:t>green jobs and resilience to climate and disaster risks.</w:t>
      </w:r>
    </w:p>
    <w:p w14:paraId="1F27FE0B" w14:textId="32FBA746" w:rsidR="0024500F" w:rsidRPr="00CA640D" w:rsidRDefault="0024500F" w:rsidP="00E112CD">
      <w:pPr>
        <w:pStyle w:val="ListParagraph"/>
        <w:autoSpaceDE w:val="0"/>
        <w:autoSpaceDN w:val="0"/>
        <w:adjustRightInd w:val="0"/>
        <w:spacing w:before="120" w:after="200"/>
        <w:ind w:left="360" w:right="90" w:hanging="540"/>
        <w:jc w:val="both"/>
        <w:rPr>
          <w:b/>
          <w:sz w:val="28"/>
          <w:szCs w:val="28"/>
          <w:lang w:val="en-GB"/>
        </w:rPr>
      </w:pPr>
      <w:r w:rsidRPr="00CA640D">
        <w:rPr>
          <w:b/>
          <w:sz w:val="28"/>
          <w:szCs w:val="28"/>
          <w:lang w:val="en-GB"/>
        </w:rPr>
        <w:t xml:space="preserve">III. </w:t>
      </w:r>
      <w:r w:rsidR="007868EE" w:rsidRPr="00CA640D">
        <w:rPr>
          <w:b/>
          <w:sz w:val="28"/>
          <w:szCs w:val="28"/>
          <w:lang w:val="en-GB"/>
        </w:rPr>
        <w:tab/>
      </w:r>
      <w:r w:rsidRPr="00CA640D">
        <w:rPr>
          <w:b/>
          <w:sz w:val="28"/>
          <w:szCs w:val="28"/>
          <w:lang w:val="en-GB"/>
        </w:rPr>
        <w:t xml:space="preserve">Programme and </w:t>
      </w:r>
      <w:r w:rsidR="007868EE" w:rsidRPr="00CA640D">
        <w:rPr>
          <w:b/>
          <w:sz w:val="28"/>
          <w:szCs w:val="28"/>
          <w:lang w:val="en-GB"/>
        </w:rPr>
        <w:t>risk m</w:t>
      </w:r>
      <w:r w:rsidRPr="00CA640D">
        <w:rPr>
          <w:b/>
          <w:sz w:val="28"/>
          <w:szCs w:val="28"/>
          <w:lang w:val="en-GB"/>
        </w:rPr>
        <w:t>anagement</w:t>
      </w:r>
    </w:p>
    <w:p w14:paraId="5C49B0A1" w14:textId="45029228" w:rsidR="0024500F" w:rsidRPr="0024500F" w:rsidRDefault="006D0B17" w:rsidP="007868EE">
      <w:pPr>
        <w:pStyle w:val="ListParagraph"/>
        <w:numPr>
          <w:ilvl w:val="0"/>
          <w:numId w:val="2"/>
        </w:numPr>
        <w:autoSpaceDE w:val="0"/>
        <w:autoSpaceDN w:val="0"/>
        <w:adjustRightInd w:val="0"/>
        <w:spacing w:before="120" w:after="120"/>
        <w:ind w:left="360" w:right="90" w:firstLine="0"/>
        <w:jc w:val="both"/>
        <w:rPr>
          <w:lang w:val="en-GB"/>
        </w:rPr>
      </w:pPr>
      <w:r w:rsidRPr="006D0B17">
        <w:t xml:space="preserve">The programme will be nationally </w:t>
      </w:r>
      <w:r w:rsidR="00E71774">
        <w:t>implemented</w:t>
      </w:r>
      <w:r w:rsidRPr="006D0B17">
        <w:t xml:space="preserve">. A harmonized approach to cash transfers will </w:t>
      </w:r>
      <w:r w:rsidR="00D9374A">
        <w:t xml:space="preserve">be </w:t>
      </w:r>
      <w:r w:rsidRPr="006D0B17">
        <w:t xml:space="preserve">coordinated with </w:t>
      </w:r>
      <w:r w:rsidR="007F05B6" w:rsidRPr="0024500F">
        <w:rPr>
          <w:rFonts w:eastAsia="Calibri"/>
          <w:lang w:val="en-GB"/>
        </w:rPr>
        <w:t>U</w:t>
      </w:r>
      <w:r w:rsidR="007F05B6">
        <w:rPr>
          <w:rFonts w:eastAsia="Calibri"/>
          <w:lang w:val="en-GB"/>
        </w:rPr>
        <w:t>nited Nations</w:t>
      </w:r>
      <w:r w:rsidR="007F05B6" w:rsidRPr="0024500F">
        <w:rPr>
          <w:rFonts w:eastAsia="Calibri"/>
          <w:lang w:val="en-GB"/>
        </w:rPr>
        <w:t xml:space="preserve"> </w:t>
      </w:r>
      <w:r w:rsidR="00BB2BC2">
        <w:rPr>
          <w:rFonts w:eastAsia="Calibri"/>
          <w:lang w:val="en-GB"/>
        </w:rPr>
        <w:t>partner</w:t>
      </w:r>
      <w:r w:rsidR="007F05B6" w:rsidRPr="0024500F">
        <w:rPr>
          <w:rFonts w:eastAsia="Calibri"/>
          <w:lang w:val="en-GB"/>
        </w:rPr>
        <w:t>s</w:t>
      </w:r>
      <w:r w:rsidR="007F05B6">
        <w:t xml:space="preserve"> </w:t>
      </w:r>
      <w:r w:rsidRPr="006D0B17">
        <w:t xml:space="preserve">to manage financial risks. </w:t>
      </w:r>
      <w:r w:rsidR="002B5B31" w:rsidRPr="00E34593">
        <w:rPr>
          <w:lang w:val="en-GB"/>
        </w:rPr>
        <w:t xml:space="preserve">In accordance with Executive Board decision </w:t>
      </w:r>
      <w:r w:rsidR="00D73C6E">
        <w:t>2013/9</w:t>
      </w:r>
      <w:r w:rsidR="002B5B31" w:rsidRPr="00E34593">
        <w:t xml:space="preserve">, all direct costs associated with project implementation </w:t>
      </w:r>
      <w:r w:rsidR="004F28E8">
        <w:t xml:space="preserve">will </w:t>
      </w:r>
      <w:r w:rsidR="002B5B31" w:rsidRPr="00E34593">
        <w:t>be charged to the concerned projects.</w:t>
      </w:r>
    </w:p>
    <w:p w14:paraId="1209F904" w14:textId="179D32BF" w:rsidR="0024500F" w:rsidRPr="0024500F" w:rsidRDefault="004B3068" w:rsidP="007868EE">
      <w:pPr>
        <w:pStyle w:val="ListParagraph"/>
        <w:numPr>
          <w:ilvl w:val="0"/>
          <w:numId w:val="2"/>
        </w:numPr>
        <w:autoSpaceDE w:val="0"/>
        <w:autoSpaceDN w:val="0"/>
        <w:adjustRightInd w:val="0"/>
        <w:spacing w:before="120" w:after="120"/>
        <w:ind w:left="360" w:right="90" w:firstLine="0"/>
        <w:jc w:val="both"/>
        <w:rPr>
          <w:lang w:val="en-GB"/>
        </w:rPr>
      </w:pPr>
      <w:r w:rsidRPr="004B3068">
        <w:t xml:space="preserve">This </w:t>
      </w:r>
      <w:r w:rsidR="00BB2BC2">
        <w:t>country programme document</w:t>
      </w:r>
      <w:r w:rsidR="00BB2BC2" w:rsidRPr="004B3068">
        <w:t xml:space="preserve"> </w:t>
      </w:r>
      <w:r w:rsidR="00493806">
        <w:t>outlines UNDP</w:t>
      </w:r>
      <w:r w:rsidRPr="004B3068">
        <w:t xml:space="preserve"> contributions to national results and serves as the primary unit of accountability to the Executive Board for results alignment and resources assigned to the programme at </w:t>
      </w:r>
      <w:r w:rsidR="00493806">
        <w:t xml:space="preserve">the </w:t>
      </w:r>
      <w:r w:rsidRPr="004B3068">
        <w:t>country level. Accountabilities of managers at the country, regional and headquarter</w:t>
      </w:r>
      <w:r w:rsidR="00493806">
        <w:t>s</w:t>
      </w:r>
      <w:r w:rsidRPr="004B3068">
        <w:t xml:space="preserve"> levels with respect to country programmes is prescribed in the </w:t>
      </w:r>
      <w:r w:rsidR="00493806">
        <w:t xml:space="preserve">UNDP </w:t>
      </w:r>
      <w:r w:rsidR="00BB2BC2" w:rsidRPr="004B3068">
        <w:t>programme and operations policies and procedures and the internal control f</w:t>
      </w:r>
      <w:r w:rsidRPr="004B3068">
        <w:t>ramework.</w:t>
      </w:r>
      <w:r w:rsidR="00EE3796">
        <w:t xml:space="preserve"> </w:t>
      </w:r>
      <w:r w:rsidR="00F44140">
        <w:t>Export</w:t>
      </w:r>
      <w:r w:rsidR="00EE3796">
        <w:t xml:space="preserve"> development and operational services will be provided both in country and from global service platforms.</w:t>
      </w:r>
    </w:p>
    <w:p w14:paraId="23A2D0D7" w14:textId="157844C6" w:rsidR="0024500F" w:rsidRDefault="00F44A79" w:rsidP="007868EE">
      <w:pPr>
        <w:pStyle w:val="ListParagraph"/>
        <w:numPr>
          <w:ilvl w:val="0"/>
          <w:numId w:val="2"/>
        </w:numPr>
        <w:autoSpaceDE w:val="0"/>
        <w:autoSpaceDN w:val="0"/>
        <w:adjustRightInd w:val="0"/>
        <w:spacing w:before="120" w:after="120"/>
        <w:ind w:left="360" w:right="90" w:firstLine="0"/>
        <w:jc w:val="both"/>
        <w:rPr>
          <w:lang w:val="en-GB"/>
        </w:rPr>
      </w:pPr>
      <w:r>
        <w:rPr>
          <w:lang w:val="en-GB"/>
        </w:rPr>
        <w:t>T</w:t>
      </w:r>
      <w:r w:rsidR="005A1FDC" w:rsidRPr="0024500F">
        <w:rPr>
          <w:lang w:val="en-GB"/>
        </w:rPr>
        <w:t>he Office of the Prime Minister</w:t>
      </w:r>
      <w:r>
        <w:rPr>
          <w:lang w:val="en-GB"/>
        </w:rPr>
        <w:t xml:space="preserve"> is</w:t>
      </w:r>
      <w:r w:rsidR="005A1FDC" w:rsidRPr="0024500F">
        <w:rPr>
          <w:lang w:val="en-GB"/>
        </w:rPr>
        <w:t xml:space="preserve"> the </w:t>
      </w:r>
      <w:r w:rsidR="00BB2BC2">
        <w:rPr>
          <w:lang w:val="en-GB"/>
        </w:rPr>
        <w:t>n</w:t>
      </w:r>
      <w:r w:rsidR="005A1FDC" w:rsidRPr="0024500F">
        <w:rPr>
          <w:lang w:val="en-GB"/>
        </w:rPr>
        <w:t xml:space="preserve">ational </w:t>
      </w:r>
      <w:r w:rsidR="00BB2BC2">
        <w:rPr>
          <w:lang w:val="en-GB"/>
        </w:rPr>
        <w:t>c</w:t>
      </w:r>
      <w:r w:rsidR="005A1FDC" w:rsidRPr="0024500F">
        <w:rPr>
          <w:lang w:val="en-GB"/>
        </w:rPr>
        <w:t xml:space="preserve">oordinating </w:t>
      </w:r>
      <w:r w:rsidR="00BB2BC2">
        <w:rPr>
          <w:lang w:val="en-GB"/>
        </w:rPr>
        <w:t>a</w:t>
      </w:r>
      <w:r w:rsidR="005A1FDC" w:rsidRPr="0024500F">
        <w:rPr>
          <w:lang w:val="en-GB"/>
        </w:rPr>
        <w:t>uthority</w:t>
      </w:r>
      <w:r>
        <w:rPr>
          <w:lang w:val="en-GB"/>
        </w:rPr>
        <w:t xml:space="preserve"> for this </w:t>
      </w:r>
      <w:r w:rsidR="00BB2BC2">
        <w:t>country programme</w:t>
      </w:r>
      <w:r>
        <w:rPr>
          <w:lang w:val="en-GB"/>
        </w:rPr>
        <w:t>.</w:t>
      </w:r>
      <w:r w:rsidR="005A1FDC" w:rsidRPr="0024500F">
        <w:rPr>
          <w:lang w:val="en-GB"/>
        </w:rPr>
        <w:t xml:space="preserve"> Joint resource mobilization efforts targeting traditional and emerging development partners</w:t>
      </w:r>
      <w:r w:rsidR="00D9374A">
        <w:rPr>
          <w:lang w:val="en-GB"/>
        </w:rPr>
        <w:t xml:space="preserve">, </w:t>
      </w:r>
      <w:r w:rsidR="005A1FDC" w:rsidRPr="0024500F">
        <w:rPr>
          <w:lang w:val="en-GB"/>
        </w:rPr>
        <w:t xml:space="preserve">engaging with </w:t>
      </w:r>
      <w:r w:rsidR="00BB2BC2">
        <w:rPr>
          <w:lang w:val="en-GB"/>
        </w:rPr>
        <w:t>international financial institution</w:t>
      </w:r>
      <w:r w:rsidR="005A1FDC" w:rsidRPr="0024500F">
        <w:rPr>
          <w:lang w:val="en-GB"/>
        </w:rPr>
        <w:t>s</w:t>
      </w:r>
      <w:r w:rsidR="003E4E08">
        <w:rPr>
          <w:rStyle w:val="FootnoteReference"/>
          <w:lang w:val="en-GB"/>
        </w:rPr>
        <w:footnoteReference w:id="45"/>
      </w:r>
      <w:r w:rsidR="005A1FDC" w:rsidRPr="0024500F">
        <w:rPr>
          <w:lang w:val="en-GB"/>
        </w:rPr>
        <w:t xml:space="preserve"> and the private sector, and </w:t>
      </w:r>
      <w:r w:rsidR="00D9374A">
        <w:rPr>
          <w:lang w:val="en-GB"/>
        </w:rPr>
        <w:t>making</w:t>
      </w:r>
      <w:r w:rsidR="00D9374A" w:rsidRPr="0024500F">
        <w:rPr>
          <w:lang w:val="en-GB"/>
        </w:rPr>
        <w:t xml:space="preserve"> </w:t>
      </w:r>
      <w:r w:rsidR="005A1FDC" w:rsidRPr="0024500F">
        <w:rPr>
          <w:lang w:val="en-GB"/>
        </w:rPr>
        <w:t xml:space="preserve">use of South-South and </w:t>
      </w:r>
      <w:r w:rsidR="00BB2BC2">
        <w:rPr>
          <w:lang w:val="en-GB"/>
        </w:rPr>
        <w:t>t</w:t>
      </w:r>
      <w:r w:rsidR="005A1FDC" w:rsidRPr="0024500F">
        <w:rPr>
          <w:lang w:val="en-GB"/>
        </w:rPr>
        <w:t xml:space="preserve">riangular cooperation will ensure support for the programme budget, estimated at </w:t>
      </w:r>
      <w:r w:rsidR="00DE0CD6">
        <w:rPr>
          <w:lang w:val="en-GB"/>
        </w:rPr>
        <w:t>$</w:t>
      </w:r>
      <w:r w:rsidR="00410A93">
        <w:rPr>
          <w:lang w:val="en-GB"/>
        </w:rPr>
        <w:t>1</w:t>
      </w:r>
      <w:r w:rsidR="00EE3796">
        <w:rPr>
          <w:lang w:val="en-GB"/>
        </w:rPr>
        <w:t>2</w:t>
      </w:r>
      <w:r w:rsidR="0008097E">
        <w:rPr>
          <w:lang w:val="en-GB"/>
        </w:rPr>
        <w:t>0</w:t>
      </w:r>
      <w:r w:rsidR="005A1FDC" w:rsidRPr="0024500F">
        <w:rPr>
          <w:lang w:val="en-GB"/>
        </w:rPr>
        <w:t xml:space="preserve"> million. </w:t>
      </w:r>
      <w:r w:rsidR="00D9374A">
        <w:rPr>
          <w:lang w:val="en-GB"/>
        </w:rPr>
        <w:t>P</w:t>
      </w:r>
      <w:r w:rsidR="005A1FDC" w:rsidRPr="0024500F">
        <w:rPr>
          <w:lang w:val="en-GB"/>
        </w:rPr>
        <w:t xml:space="preserve">artnerships with the </w:t>
      </w:r>
      <w:r w:rsidR="00BB2BC2">
        <w:rPr>
          <w:lang w:val="en-GB"/>
        </w:rPr>
        <w:t>G</w:t>
      </w:r>
      <w:r w:rsidR="005A1FDC" w:rsidRPr="0024500F">
        <w:rPr>
          <w:lang w:val="en-GB"/>
        </w:rPr>
        <w:t xml:space="preserve">overnment will be strengthened in </w:t>
      </w:r>
      <w:r w:rsidR="00BB2BC2">
        <w:rPr>
          <w:lang w:val="en-GB"/>
        </w:rPr>
        <w:t>light</w:t>
      </w:r>
      <w:r w:rsidR="00BB2BC2" w:rsidRPr="0024500F">
        <w:rPr>
          <w:lang w:val="en-GB"/>
        </w:rPr>
        <w:t xml:space="preserve"> </w:t>
      </w:r>
      <w:r w:rsidR="005A1FDC" w:rsidRPr="0024500F">
        <w:rPr>
          <w:lang w:val="en-GB"/>
        </w:rPr>
        <w:t xml:space="preserve">of increasing government cost-sharing. </w:t>
      </w:r>
    </w:p>
    <w:p w14:paraId="38329F66" w14:textId="3B82B657" w:rsidR="0024500F" w:rsidRDefault="00BB2BC2" w:rsidP="007868EE">
      <w:pPr>
        <w:pStyle w:val="ListParagraph"/>
        <w:numPr>
          <w:ilvl w:val="0"/>
          <w:numId w:val="2"/>
        </w:numPr>
        <w:autoSpaceDE w:val="0"/>
        <w:autoSpaceDN w:val="0"/>
        <w:adjustRightInd w:val="0"/>
        <w:spacing w:before="120" w:after="120"/>
        <w:ind w:left="360" w:right="90" w:firstLine="0"/>
        <w:jc w:val="both"/>
        <w:rPr>
          <w:lang w:val="en-GB"/>
        </w:rPr>
      </w:pPr>
      <w:r>
        <w:rPr>
          <w:lang w:val="en-GB"/>
        </w:rPr>
        <w:t>J</w:t>
      </w:r>
      <w:r w:rsidR="005A1FDC" w:rsidRPr="0024500F">
        <w:rPr>
          <w:lang w:val="en-GB"/>
        </w:rPr>
        <w:t xml:space="preserve">oint </w:t>
      </w:r>
      <w:r>
        <w:rPr>
          <w:lang w:val="en-GB"/>
        </w:rPr>
        <w:t>w</w:t>
      </w:r>
      <w:r w:rsidR="00AE155B">
        <w:rPr>
          <w:lang w:val="en-GB"/>
        </w:rPr>
        <w:t>ork</w:t>
      </w:r>
      <w:r w:rsidR="005A1FDC" w:rsidRPr="0024500F">
        <w:rPr>
          <w:lang w:val="en-GB"/>
        </w:rPr>
        <w:t xml:space="preserve"> </w:t>
      </w:r>
      <w:r>
        <w:rPr>
          <w:lang w:val="en-GB"/>
        </w:rPr>
        <w:t>p</w:t>
      </w:r>
      <w:r w:rsidR="005A1FDC" w:rsidRPr="0024500F">
        <w:rPr>
          <w:lang w:val="en-GB"/>
        </w:rPr>
        <w:t xml:space="preserve">lans designed in cooperation with national partners and </w:t>
      </w:r>
      <w:r w:rsidRPr="0024500F">
        <w:rPr>
          <w:rFonts w:eastAsia="Calibri"/>
          <w:lang w:val="en-GB"/>
        </w:rPr>
        <w:t>U</w:t>
      </w:r>
      <w:r>
        <w:rPr>
          <w:rFonts w:eastAsia="Calibri"/>
          <w:lang w:val="en-GB"/>
        </w:rPr>
        <w:t>nited Nations</w:t>
      </w:r>
      <w:r w:rsidRPr="0024500F">
        <w:rPr>
          <w:rFonts w:eastAsia="Calibri"/>
          <w:lang w:val="en-GB"/>
        </w:rPr>
        <w:t xml:space="preserve"> organizations</w:t>
      </w:r>
      <w:r>
        <w:rPr>
          <w:rFonts w:eastAsia="Calibri"/>
          <w:lang w:val="en-GB"/>
        </w:rPr>
        <w:t xml:space="preserve"> </w:t>
      </w:r>
      <w:r>
        <w:rPr>
          <w:lang w:val="en-GB"/>
        </w:rPr>
        <w:t>as part of ‘delivering as one’</w:t>
      </w:r>
      <w:r w:rsidR="00D9374A" w:rsidRPr="00D9374A">
        <w:rPr>
          <w:lang w:val="en-GB"/>
        </w:rPr>
        <w:t xml:space="preserve"> </w:t>
      </w:r>
      <w:r w:rsidR="00D9374A" w:rsidRPr="0024500F">
        <w:rPr>
          <w:lang w:val="en-GB"/>
        </w:rPr>
        <w:t>will be the main pl</w:t>
      </w:r>
      <w:r w:rsidR="00D9374A">
        <w:rPr>
          <w:lang w:val="en-GB"/>
        </w:rPr>
        <w:t>anning and reporting instrument</w:t>
      </w:r>
      <w:r w:rsidR="005A1FDC" w:rsidRPr="0024500F">
        <w:rPr>
          <w:lang w:val="en-GB"/>
        </w:rPr>
        <w:t xml:space="preserve">. </w:t>
      </w:r>
      <w:r w:rsidR="008E34D2">
        <w:rPr>
          <w:lang w:val="en-GB"/>
        </w:rPr>
        <w:t>UNDP</w:t>
      </w:r>
      <w:r w:rsidR="005A1FDC" w:rsidRPr="0024500F">
        <w:rPr>
          <w:lang w:val="en-GB"/>
        </w:rPr>
        <w:t xml:space="preserve"> will increas</w:t>
      </w:r>
      <w:r w:rsidR="00D9374A">
        <w:rPr>
          <w:lang w:val="en-GB"/>
        </w:rPr>
        <w:t>e</w:t>
      </w:r>
      <w:r w:rsidR="005A1FDC" w:rsidRPr="0024500F">
        <w:rPr>
          <w:lang w:val="en-GB"/>
        </w:rPr>
        <w:t xml:space="preserve"> the efficiency of procurement processes, including through </w:t>
      </w:r>
      <w:r w:rsidRPr="0024500F">
        <w:rPr>
          <w:rFonts w:eastAsia="Calibri"/>
          <w:lang w:val="en-GB"/>
        </w:rPr>
        <w:t>U</w:t>
      </w:r>
      <w:r>
        <w:rPr>
          <w:rFonts w:eastAsia="Calibri"/>
          <w:lang w:val="en-GB"/>
        </w:rPr>
        <w:t>nited Nations</w:t>
      </w:r>
      <w:r w:rsidR="005A1FDC" w:rsidRPr="0024500F">
        <w:rPr>
          <w:lang w:val="en-GB"/>
        </w:rPr>
        <w:t xml:space="preserve"> system-wide procurement</w:t>
      </w:r>
      <w:r w:rsidR="00D46B6F">
        <w:rPr>
          <w:lang w:val="en-GB"/>
        </w:rPr>
        <w:t>, and will m</w:t>
      </w:r>
      <w:r w:rsidR="005A1FDC" w:rsidRPr="0024500F">
        <w:rPr>
          <w:lang w:val="en-GB"/>
        </w:rPr>
        <w:t>ainstream</w:t>
      </w:r>
      <w:r w:rsidR="00D46B6F">
        <w:rPr>
          <w:lang w:val="en-GB"/>
        </w:rPr>
        <w:t xml:space="preserve"> </w:t>
      </w:r>
      <w:r w:rsidR="005A1FDC" w:rsidRPr="0024500F">
        <w:rPr>
          <w:lang w:val="en-GB"/>
        </w:rPr>
        <w:t>gender, diversity,</w:t>
      </w:r>
      <w:r>
        <w:rPr>
          <w:lang w:val="en-GB"/>
        </w:rPr>
        <w:t xml:space="preserve"> and</w:t>
      </w:r>
      <w:r w:rsidR="005A1FDC" w:rsidRPr="0024500F">
        <w:rPr>
          <w:lang w:val="en-GB"/>
        </w:rPr>
        <w:t xml:space="preserve"> </w:t>
      </w:r>
      <w:r w:rsidR="00D46B6F">
        <w:rPr>
          <w:lang w:val="en-GB"/>
        </w:rPr>
        <w:t>‘</w:t>
      </w:r>
      <w:r w:rsidR="005A1FDC" w:rsidRPr="00D46B6F">
        <w:rPr>
          <w:lang w:val="en-GB"/>
        </w:rPr>
        <w:t>greening</w:t>
      </w:r>
      <w:r w:rsidR="00D46B6F">
        <w:rPr>
          <w:lang w:val="en-GB"/>
        </w:rPr>
        <w:t>’</w:t>
      </w:r>
      <w:r w:rsidR="00D46B6F" w:rsidRPr="00334FF0">
        <w:rPr>
          <w:lang w:val="en-GB"/>
        </w:rPr>
        <w:t xml:space="preserve"> </w:t>
      </w:r>
      <w:r w:rsidR="005A1FDC" w:rsidRPr="00D46B6F">
        <w:rPr>
          <w:lang w:val="en-GB"/>
        </w:rPr>
        <w:t>in programmes</w:t>
      </w:r>
      <w:r w:rsidR="005A1FDC" w:rsidRPr="0024500F">
        <w:rPr>
          <w:lang w:val="en-GB"/>
        </w:rPr>
        <w:t xml:space="preserve"> and operations.</w:t>
      </w:r>
    </w:p>
    <w:p w14:paraId="0919D6FD" w14:textId="1ED08BE4" w:rsidR="0024500F" w:rsidRDefault="008B2647" w:rsidP="007868EE">
      <w:pPr>
        <w:pStyle w:val="ListParagraph"/>
        <w:numPr>
          <w:ilvl w:val="0"/>
          <w:numId w:val="2"/>
        </w:numPr>
        <w:autoSpaceDE w:val="0"/>
        <w:autoSpaceDN w:val="0"/>
        <w:adjustRightInd w:val="0"/>
        <w:spacing w:before="120" w:after="120"/>
        <w:ind w:left="360" w:right="90" w:firstLine="0"/>
        <w:jc w:val="both"/>
        <w:rPr>
          <w:lang w:val="en-GB"/>
        </w:rPr>
      </w:pPr>
      <w:r w:rsidRPr="0024500F">
        <w:rPr>
          <w:lang w:val="en-GB"/>
        </w:rPr>
        <w:t>Project implementation modalities are agreed with the Government and include transitioning towards national implementation where capacities and circumstances permit</w:t>
      </w:r>
      <w:r w:rsidR="00BB2BC2">
        <w:rPr>
          <w:lang w:val="en-GB"/>
        </w:rPr>
        <w:t>,</w:t>
      </w:r>
      <w:r w:rsidR="003E4E08" w:rsidRPr="0024500F">
        <w:rPr>
          <w:lang w:val="en-GB"/>
        </w:rPr>
        <w:t xml:space="preserve"> and direct implementation for projects</w:t>
      </w:r>
      <w:r w:rsidR="00D46B6F">
        <w:rPr>
          <w:lang w:val="en-GB"/>
        </w:rPr>
        <w:t xml:space="preserve"> –</w:t>
      </w:r>
      <w:r w:rsidR="00D46B6F" w:rsidRPr="00D46B6F">
        <w:rPr>
          <w:lang w:val="en-GB"/>
        </w:rPr>
        <w:t xml:space="preserve"> </w:t>
      </w:r>
      <w:r w:rsidR="00D46B6F">
        <w:rPr>
          <w:lang w:val="en-GB"/>
        </w:rPr>
        <w:t>including</w:t>
      </w:r>
      <w:r w:rsidR="00D46B6F" w:rsidRPr="0024500F">
        <w:rPr>
          <w:lang w:val="en-GB"/>
        </w:rPr>
        <w:t xml:space="preserve"> those supported by vertical funds</w:t>
      </w:r>
      <w:r w:rsidR="00D46B6F">
        <w:rPr>
          <w:lang w:val="en-GB"/>
        </w:rPr>
        <w:t xml:space="preserve"> –</w:t>
      </w:r>
      <w:r w:rsidR="003E4E08" w:rsidRPr="0024500F">
        <w:rPr>
          <w:lang w:val="en-GB"/>
        </w:rPr>
        <w:t xml:space="preserve"> </w:t>
      </w:r>
      <w:r w:rsidR="00D46B6F">
        <w:rPr>
          <w:lang w:val="en-GB"/>
        </w:rPr>
        <w:t>under</w:t>
      </w:r>
      <w:r w:rsidR="00D46B6F" w:rsidRPr="0024500F">
        <w:rPr>
          <w:lang w:val="en-GB"/>
        </w:rPr>
        <w:t xml:space="preserve"> </w:t>
      </w:r>
      <w:r w:rsidR="00BB2BC2">
        <w:rPr>
          <w:lang w:val="en-GB"/>
        </w:rPr>
        <w:t>certain</w:t>
      </w:r>
      <w:r w:rsidR="00BB2BC2" w:rsidRPr="0024500F">
        <w:rPr>
          <w:lang w:val="en-GB"/>
        </w:rPr>
        <w:t xml:space="preserve"> </w:t>
      </w:r>
      <w:r w:rsidRPr="0024500F">
        <w:rPr>
          <w:lang w:val="en-GB"/>
        </w:rPr>
        <w:t xml:space="preserve">circumstances. The country office is experienced </w:t>
      </w:r>
      <w:r w:rsidR="00D46B6F">
        <w:rPr>
          <w:lang w:val="en-GB"/>
        </w:rPr>
        <w:t xml:space="preserve">in </w:t>
      </w:r>
      <w:r w:rsidRPr="0024500F">
        <w:rPr>
          <w:lang w:val="en-GB"/>
        </w:rPr>
        <w:t xml:space="preserve">and capacitated for direct </w:t>
      </w:r>
      <w:r w:rsidRPr="0024500F">
        <w:rPr>
          <w:lang w:val="en-GB"/>
        </w:rPr>
        <w:lastRenderedPageBreak/>
        <w:t xml:space="preserve">implementation. The Government </w:t>
      </w:r>
      <w:r w:rsidR="006B353A">
        <w:rPr>
          <w:lang w:val="en-GB"/>
        </w:rPr>
        <w:t xml:space="preserve">has </w:t>
      </w:r>
      <w:r w:rsidRPr="0024500F">
        <w:rPr>
          <w:lang w:val="en-GB"/>
        </w:rPr>
        <w:t>agreed that UNDP will provide support services for national implementation as required</w:t>
      </w:r>
      <w:r w:rsidR="00E50F59" w:rsidRPr="00E50F59">
        <w:rPr>
          <w:lang w:val="en-GB"/>
        </w:rPr>
        <w:t xml:space="preserve"> </w:t>
      </w:r>
      <w:r w:rsidR="00E50F59">
        <w:rPr>
          <w:lang w:val="en-GB"/>
        </w:rPr>
        <w:t xml:space="preserve">to </w:t>
      </w:r>
      <w:r w:rsidR="00E50F59" w:rsidRPr="0024500F">
        <w:rPr>
          <w:lang w:val="en-GB"/>
        </w:rPr>
        <w:t>reduce project management risks</w:t>
      </w:r>
      <w:r w:rsidR="00D46B6F">
        <w:rPr>
          <w:lang w:val="en-GB"/>
        </w:rPr>
        <w:t>,</w:t>
      </w:r>
      <w:r w:rsidRPr="0024500F">
        <w:rPr>
          <w:lang w:val="en-GB"/>
        </w:rPr>
        <w:t xml:space="preserve"> </w:t>
      </w:r>
      <w:r w:rsidR="00D46B6F">
        <w:rPr>
          <w:lang w:val="en-GB"/>
        </w:rPr>
        <w:t>without the need for</w:t>
      </w:r>
      <w:r w:rsidR="006B353A" w:rsidRPr="0024500F">
        <w:rPr>
          <w:lang w:val="en-GB"/>
        </w:rPr>
        <w:t xml:space="preserve"> </w:t>
      </w:r>
      <w:r w:rsidRPr="0024500F">
        <w:rPr>
          <w:lang w:val="en-GB"/>
        </w:rPr>
        <w:t xml:space="preserve">a separate letter of agreement. </w:t>
      </w:r>
    </w:p>
    <w:p w14:paraId="3F594D99" w14:textId="4BE6769A" w:rsidR="0024500F" w:rsidRPr="0024500F" w:rsidRDefault="00957FA8" w:rsidP="0051294D">
      <w:pPr>
        <w:pStyle w:val="ListParagraph"/>
        <w:numPr>
          <w:ilvl w:val="0"/>
          <w:numId w:val="2"/>
        </w:numPr>
        <w:autoSpaceDE w:val="0"/>
        <w:autoSpaceDN w:val="0"/>
        <w:adjustRightInd w:val="0"/>
        <w:spacing w:before="120" w:after="200"/>
        <w:ind w:left="360" w:right="90" w:firstLine="0"/>
        <w:jc w:val="both"/>
        <w:rPr>
          <w:lang w:val="en-GB"/>
        </w:rPr>
      </w:pPr>
      <w:r w:rsidRPr="0024500F">
        <w:rPr>
          <w:iCs/>
          <w:szCs w:val="24"/>
          <w:lang w:val="en-GB"/>
        </w:rPr>
        <w:t xml:space="preserve">The main external risks to programme implementation relate to </w:t>
      </w:r>
      <w:r w:rsidR="006B353A">
        <w:rPr>
          <w:iCs/>
          <w:szCs w:val="24"/>
          <w:lang w:val="en-GB"/>
        </w:rPr>
        <w:t xml:space="preserve">a </w:t>
      </w:r>
      <w:r w:rsidRPr="0024500F">
        <w:rPr>
          <w:iCs/>
          <w:szCs w:val="24"/>
          <w:lang w:val="en-GB"/>
        </w:rPr>
        <w:t xml:space="preserve">potential decline </w:t>
      </w:r>
      <w:r w:rsidR="00D46B6F">
        <w:rPr>
          <w:iCs/>
          <w:szCs w:val="24"/>
          <w:lang w:val="en-GB"/>
        </w:rPr>
        <w:t>in</w:t>
      </w:r>
      <w:r w:rsidRPr="0024500F">
        <w:rPr>
          <w:iCs/>
          <w:szCs w:val="24"/>
          <w:lang w:val="en-GB"/>
        </w:rPr>
        <w:t xml:space="preserve"> stability and security triggered by continued regional economic crises and raising trends of violent extremism. Risks linked to natural disasters, community-level disputes over access</w:t>
      </w:r>
      <w:r w:rsidR="006B353A">
        <w:rPr>
          <w:iCs/>
          <w:szCs w:val="24"/>
          <w:lang w:val="en-GB"/>
        </w:rPr>
        <w:t xml:space="preserve"> to</w:t>
      </w:r>
      <w:r w:rsidRPr="0024500F">
        <w:rPr>
          <w:iCs/>
          <w:szCs w:val="24"/>
          <w:lang w:val="en-GB"/>
        </w:rPr>
        <w:t xml:space="preserve"> and management of natural resources, and social instability over the potential deterioration of the socio-economic situation</w:t>
      </w:r>
      <w:r w:rsidR="0070084A">
        <w:rPr>
          <w:iCs/>
          <w:szCs w:val="24"/>
          <w:lang w:val="en-GB"/>
        </w:rPr>
        <w:t>, shrinking fiscal space</w:t>
      </w:r>
      <w:r w:rsidRPr="0024500F">
        <w:rPr>
          <w:iCs/>
          <w:szCs w:val="24"/>
          <w:lang w:val="en-GB"/>
        </w:rPr>
        <w:t xml:space="preserve"> and unemployment may create additional obstacles to the implementation of the programme. UNDP will monitor the situation,</w:t>
      </w:r>
      <w:r w:rsidR="00337FD3">
        <w:rPr>
          <w:iCs/>
          <w:szCs w:val="24"/>
          <w:lang w:val="en-GB"/>
        </w:rPr>
        <w:t xml:space="preserve"> undertake conflict analysis, </w:t>
      </w:r>
      <w:r w:rsidRPr="0024500F">
        <w:rPr>
          <w:iCs/>
          <w:szCs w:val="24"/>
          <w:lang w:val="en-GB"/>
        </w:rPr>
        <w:t>introduce risk mitigation measures</w:t>
      </w:r>
      <w:r w:rsidR="006B353A">
        <w:rPr>
          <w:iCs/>
          <w:szCs w:val="24"/>
          <w:lang w:val="en-GB"/>
        </w:rPr>
        <w:t>,</w:t>
      </w:r>
      <w:r w:rsidRPr="0024500F">
        <w:rPr>
          <w:iCs/>
          <w:szCs w:val="24"/>
          <w:lang w:val="en-GB"/>
        </w:rPr>
        <w:t xml:space="preserve"> and </w:t>
      </w:r>
      <w:r w:rsidR="00DE0318" w:rsidRPr="0024500F">
        <w:rPr>
          <w:iCs/>
          <w:szCs w:val="24"/>
          <w:lang w:val="en-GB"/>
        </w:rPr>
        <w:t>apply early</w:t>
      </w:r>
      <w:r w:rsidR="006B353A">
        <w:rPr>
          <w:iCs/>
          <w:szCs w:val="24"/>
          <w:lang w:val="en-GB"/>
        </w:rPr>
        <w:t>-</w:t>
      </w:r>
      <w:r w:rsidR="00DE0318" w:rsidRPr="0024500F">
        <w:rPr>
          <w:iCs/>
          <w:szCs w:val="24"/>
          <w:lang w:val="en-GB"/>
        </w:rPr>
        <w:t>warning</w:t>
      </w:r>
      <w:r w:rsidR="006B353A">
        <w:rPr>
          <w:iCs/>
          <w:szCs w:val="24"/>
          <w:lang w:val="en-GB"/>
        </w:rPr>
        <w:t>,</w:t>
      </w:r>
      <w:r w:rsidR="00A02534" w:rsidDel="00A02534">
        <w:rPr>
          <w:rStyle w:val="FootnoteReference"/>
          <w:iCs/>
          <w:szCs w:val="24"/>
          <w:lang w:val="en-GB"/>
        </w:rPr>
        <w:t xml:space="preserve"> </w:t>
      </w:r>
      <w:r w:rsidR="00DE0318" w:rsidRPr="0024500F">
        <w:rPr>
          <w:iCs/>
          <w:szCs w:val="24"/>
          <w:lang w:val="en-GB"/>
        </w:rPr>
        <w:t xml:space="preserve"> </w:t>
      </w:r>
      <w:r w:rsidR="00632AAE">
        <w:rPr>
          <w:iCs/>
          <w:szCs w:val="24"/>
          <w:lang w:val="en-GB"/>
        </w:rPr>
        <w:t>conflict</w:t>
      </w:r>
      <w:r w:rsidR="006B353A">
        <w:rPr>
          <w:iCs/>
          <w:szCs w:val="24"/>
          <w:lang w:val="en-GB"/>
        </w:rPr>
        <w:t>-</w:t>
      </w:r>
      <w:r w:rsidR="00632AAE">
        <w:rPr>
          <w:iCs/>
          <w:szCs w:val="24"/>
          <w:lang w:val="en-GB"/>
        </w:rPr>
        <w:t xml:space="preserve">sensitive </w:t>
      </w:r>
      <w:r w:rsidR="00DE0318" w:rsidRPr="0024500F">
        <w:rPr>
          <w:iCs/>
          <w:szCs w:val="24"/>
          <w:lang w:val="en-GB"/>
        </w:rPr>
        <w:t>approach</w:t>
      </w:r>
      <w:r w:rsidR="00632AAE">
        <w:rPr>
          <w:iCs/>
          <w:szCs w:val="24"/>
          <w:lang w:val="en-GB"/>
        </w:rPr>
        <w:t>es to programming</w:t>
      </w:r>
      <w:r w:rsidR="00DE0318" w:rsidRPr="0024500F">
        <w:rPr>
          <w:iCs/>
          <w:szCs w:val="24"/>
          <w:lang w:val="en-GB"/>
        </w:rPr>
        <w:t xml:space="preserve">. </w:t>
      </w:r>
      <w:r w:rsidR="001D2F73">
        <w:rPr>
          <w:iCs/>
          <w:szCs w:val="24"/>
          <w:lang w:val="en-GB"/>
        </w:rPr>
        <w:t>UNDP</w:t>
      </w:r>
      <w:r w:rsidR="003F5673">
        <w:rPr>
          <w:iCs/>
          <w:szCs w:val="24"/>
          <w:lang w:val="en-GB"/>
        </w:rPr>
        <w:t xml:space="preserve"> will</w:t>
      </w:r>
      <w:r w:rsidR="001D2F73">
        <w:rPr>
          <w:iCs/>
          <w:szCs w:val="24"/>
          <w:lang w:val="en-GB"/>
        </w:rPr>
        <w:t xml:space="preserve"> </w:t>
      </w:r>
      <w:r w:rsidR="006B353A">
        <w:rPr>
          <w:iCs/>
          <w:szCs w:val="24"/>
          <w:lang w:val="en-GB"/>
        </w:rPr>
        <w:t xml:space="preserve">strengthen country office </w:t>
      </w:r>
      <w:r w:rsidR="006B353A" w:rsidRPr="00735076">
        <w:rPr>
          <w:iCs/>
          <w:szCs w:val="24"/>
          <w:lang w:val="en-GB"/>
        </w:rPr>
        <w:t xml:space="preserve">crisis preparedness </w:t>
      </w:r>
      <w:r w:rsidR="006B353A">
        <w:rPr>
          <w:iCs/>
          <w:szCs w:val="24"/>
          <w:lang w:val="en-GB"/>
        </w:rPr>
        <w:t xml:space="preserve">and </w:t>
      </w:r>
      <w:r w:rsidR="001D2F73">
        <w:rPr>
          <w:iCs/>
          <w:szCs w:val="24"/>
          <w:lang w:val="en-GB"/>
        </w:rPr>
        <w:t xml:space="preserve">ensure that </w:t>
      </w:r>
      <w:r w:rsidR="00735076" w:rsidRPr="00735076">
        <w:rPr>
          <w:iCs/>
          <w:szCs w:val="24"/>
          <w:lang w:val="en-GB"/>
        </w:rPr>
        <w:t>programming is adaptable to changes</w:t>
      </w:r>
      <w:r w:rsidR="001D2F73">
        <w:rPr>
          <w:iCs/>
          <w:szCs w:val="24"/>
          <w:lang w:val="en-GB"/>
        </w:rPr>
        <w:t>.</w:t>
      </w:r>
    </w:p>
    <w:p w14:paraId="6002CE6E" w14:textId="49BAA7E9" w:rsidR="0024500F" w:rsidRPr="00E62132" w:rsidRDefault="0024500F" w:rsidP="003737CD">
      <w:pPr>
        <w:spacing w:after="200"/>
        <w:ind w:left="360" w:right="90" w:hanging="450"/>
        <w:jc w:val="both"/>
        <w:rPr>
          <w:b/>
          <w:sz w:val="24"/>
          <w:szCs w:val="24"/>
        </w:rPr>
      </w:pPr>
      <w:r w:rsidRPr="00334FF0">
        <w:rPr>
          <w:b/>
          <w:sz w:val="28"/>
          <w:szCs w:val="28"/>
        </w:rPr>
        <w:t>IV.</w:t>
      </w:r>
      <w:r w:rsidR="0051294D" w:rsidRPr="00334FF0">
        <w:rPr>
          <w:b/>
          <w:sz w:val="28"/>
          <w:szCs w:val="28"/>
        </w:rPr>
        <w:tab/>
      </w:r>
      <w:r w:rsidRPr="00334FF0">
        <w:rPr>
          <w:b/>
          <w:sz w:val="28"/>
          <w:szCs w:val="28"/>
        </w:rPr>
        <w:t xml:space="preserve">Monitoring and </w:t>
      </w:r>
      <w:r w:rsidR="0051294D" w:rsidRPr="00334FF0">
        <w:rPr>
          <w:b/>
          <w:sz w:val="28"/>
          <w:szCs w:val="28"/>
        </w:rPr>
        <w:t>e</w:t>
      </w:r>
      <w:r w:rsidRPr="00334FF0">
        <w:rPr>
          <w:b/>
          <w:sz w:val="28"/>
          <w:szCs w:val="28"/>
        </w:rPr>
        <w:t>valuation</w:t>
      </w:r>
    </w:p>
    <w:p w14:paraId="66B648B8" w14:textId="2DAF5254" w:rsidR="0024500F" w:rsidRPr="0024500F" w:rsidRDefault="001152A5" w:rsidP="007868EE">
      <w:pPr>
        <w:pStyle w:val="ListParagraph"/>
        <w:numPr>
          <w:ilvl w:val="0"/>
          <w:numId w:val="2"/>
        </w:numPr>
        <w:autoSpaceDE w:val="0"/>
        <w:autoSpaceDN w:val="0"/>
        <w:adjustRightInd w:val="0"/>
        <w:spacing w:before="120" w:after="120"/>
        <w:ind w:left="360" w:right="90" w:firstLine="0"/>
        <w:jc w:val="both"/>
        <w:rPr>
          <w:lang w:val="en-GB"/>
        </w:rPr>
      </w:pPr>
      <w:r>
        <w:t>O</w:t>
      </w:r>
      <w:r w:rsidR="00402879">
        <w:t xml:space="preserve">utcome and output indicators have been discussed with national partners and </w:t>
      </w:r>
      <w:r w:rsidR="006B353A">
        <w:t xml:space="preserve">selected </w:t>
      </w:r>
      <w:r w:rsidR="006E6E27">
        <w:t xml:space="preserve">jointly to </w:t>
      </w:r>
      <w:r>
        <w:t xml:space="preserve">ensure better measurement and assessment of </w:t>
      </w:r>
      <w:r w:rsidR="006B353A">
        <w:t xml:space="preserve">country programme </w:t>
      </w:r>
      <w:r>
        <w:t xml:space="preserve">results. </w:t>
      </w:r>
      <w:r w:rsidR="006B353A">
        <w:rPr>
          <w:rFonts w:cs="Arial Unicode MS"/>
          <w:color w:val="000000"/>
          <w:u w:color="000000"/>
          <w:lang w:eastAsia="ko-KR"/>
        </w:rPr>
        <w:t>Programme i</w:t>
      </w:r>
      <w:r w:rsidRPr="0024500F">
        <w:rPr>
          <w:rFonts w:cs="Arial Unicode MS"/>
          <w:color w:val="000000"/>
          <w:u w:color="000000"/>
          <w:lang w:eastAsia="ko-KR"/>
        </w:rPr>
        <w:t xml:space="preserve">ndicators are aligned with national indicators </w:t>
      </w:r>
      <w:r w:rsidRPr="00CF48BD">
        <w:rPr>
          <w:rFonts w:cs="Arial Unicode MS"/>
          <w:color w:val="000000"/>
          <w:u w:color="000000"/>
          <w:lang w:eastAsia="ko-KR"/>
        </w:rPr>
        <w:t>in sectoral strategies</w:t>
      </w:r>
      <w:r w:rsidR="00C76804">
        <w:rPr>
          <w:rFonts w:cs="Arial Unicode MS"/>
          <w:color w:val="000000"/>
          <w:u w:color="000000"/>
          <w:lang w:eastAsia="ko-KR"/>
        </w:rPr>
        <w:t>,</w:t>
      </w:r>
      <w:r w:rsidR="00C76804" w:rsidRPr="0024500F">
        <w:rPr>
          <w:rFonts w:cs="Arial Unicode MS"/>
          <w:color w:val="000000"/>
          <w:u w:color="000000"/>
          <w:lang w:eastAsia="ko-KR"/>
        </w:rPr>
        <w:t xml:space="preserve"> </w:t>
      </w:r>
      <w:r w:rsidR="00C76804">
        <w:rPr>
          <w:rFonts w:cs="Arial Unicode MS"/>
          <w:color w:val="000000"/>
          <w:u w:color="000000"/>
          <w:lang w:eastAsia="ko-KR"/>
        </w:rPr>
        <w:t>sustainable</w:t>
      </w:r>
      <w:r w:rsidR="006B353A">
        <w:rPr>
          <w:rFonts w:cs="Arial Unicode MS"/>
          <w:color w:val="000000"/>
          <w:u w:color="000000"/>
          <w:lang w:eastAsia="ko-KR"/>
        </w:rPr>
        <w:t xml:space="preserve"> development goal</w:t>
      </w:r>
      <w:r w:rsidR="00077020">
        <w:rPr>
          <w:rFonts w:cs="Arial Unicode MS"/>
          <w:color w:val="000000"/>
          <w:u w:color="000000"/>
          <w:lang w:eastAsia="ko-KR"/>
        </w:rPr>
        <w:t>s</w:t>
      </w:r>
      <w:r w:rsidR="000305FB">
        <w:rPr>
          <w:rFonts w:cs="Arial Unicode MS"/>
          <w:color w:val="000000"/>
          <w:u w:color="000000"/>
          <w:lang w:eastAsia="ko-KR"/>
        </w:rPr>
        <w:t xml:space="preserve"> </w:t>
      </w:r>
      <w:r w:rsidR="00CF48BD">
        <w:rPr>
          <w:rFonts w:cs="Arial Unicode MS"/>
          <w:color w:val="000000"/>
          <w:u w:color="000000"/>
          <w:lang w:eastAsia="ko-KR"/>
        </w:rPr>
        <w:t xml:space="preserve">and United Nations Development Assistance Framework </w:t>
      </w:r>
      <w:r w:rsidR="000305FB" w:rsidRPr="0024500F">
        <w:rPr>
          <w:rFonts w:cs="Arial Unicode MS"/>
          <w:color w:val="000000"/>
          <w:u w:color="000000"/>
          <w:lang w:eastAsia="ko-KR"/>
        </w:rPr>
        <w:t>indicators</w:t>
      </w:r>
      <w:r w:rsidR="00CF48BD">
        <w:rPr>
          <w:rFonts w:cs="Arial Unicode MS"/>
          <w:color w:val="000000"/>
          <w:u w:color="000000"/>
          <w:lang w:eastAsia="ko-KR"/>
        </w:rPr>
        <w:t>,</w:t>
      </w:r>
      <w:r w:rsidRPr="0024500F">
        <w:rPr>
          <w:rFonts w:cs="Arial Unicode MS"/>
          <w:color w:val="000000"/>
          <w:u w:color="000000"/>
          <w:lang w:eastAsia="ko-KR"/>
        </w:rPr>
        <w:t xml:space="preserve"> </w:t>
      </w:r>
      <w:r w:rsidR="001F0DE1">
        <w:rPr>
          <w:rFonts w:cs="Arial Unicode MS"/>
          <w:color w:val="000000"/>
          <w:u w:color="000000"/>
          <w:lang w:eastAsia="ko-KR"/>
        </w:rPr>
        <w:t xml:space="preserve">and </w:t>
      </w:r>
      <w:r w:rsidR="006B353A">
        <w:rPr>
          <w:rFonts w:cs="Arial Unicode MS"/>
          <w:color w:val="000000"/>
          <w:u w:color="000000"/>
          <w:lang w:eastAsia="ko-KR"/>
        </w:rPr>
        <w:t xml:space="preserve">the </w:t>
      </w:r>
      <w:r w:rsidRPr="0024500F">
        <w:rPr>
          <w:rFonts w:cs="Arial Unicode MS"/>
          <w:color w:val="000000"/>
          <w:u w:color="000000"/>
          <w:lang w:eastAsia="ko-KR"/>
        </w:rPr>
        <w:t xml:space="preserve">UNDP </w:t>
      </w:r>
      <w:r w:rsidR="006B353A">
        <w:rPr>
          <w:rFonts w:cs="Arial Unicode MS"/>
          <w:color w:val="000000"/>
          <w:u w:color="000000"/>
          <w:lang w:eastAsia="ko-KR"/>
        </w:rPr>
        <w:t>s</w:t>
      </w:r>
      <w:r w:rsidRPr="0024500F">
        <w:rPr>
          <w:rFonts w:cs="Arial Unicode MS"/>
          <w:color w:val="000000"/>
          <w:u w:color="000000"/>
          <w:lang w:eastAsia="ko-KR"/>
        </w:rPr>
        <w:t xml:space="preserve">trategic </w:t>
      </w:r>
      <w:r w:rsidR="006B353A">
        <w:rPr>
          <w:rFonts w:cs="Arial Unicode MS"/>
          <w:color w:val="000000"/>
          <w:u w:color="000000"/>
          <w:lang w:eastAsia="ko-KR"/>
        </w:rPr>
        <w:t>p</w:t>
      </w:r>
      <w:r w:rsidRPr="0024500F">
        <w:rPr>
          <w:rFonts w:cs="Arial Unicode MS"/>
          <w:color w:val="000000"/>
          <w:u w:color="000000"/>
          <w:lang w:eastAsia="ko-KR"/>
        </w:rPr>
        <w:t>lan</w:t>
      </w:r>
      <w:r w:rsidR="006B353A">
        <w:rPr>
          <w:rFonts w:cs="Arial Unicode MS"/>
          <w:color w:val="000000"/>
          <w:u w:color="000000"/>
          <w:lang w:eastAsia="ko-KR"/>
        </w:rPr>
        <w:t xml:space="preserve">, </w:t>
      </w:r>
      <w:r w:rsidR="006B353A" w:rsidRPr="0024500F">
        <w:rPr>
          <w:rFonts w:cs="Arial Unicode MS"/>
          <w:color w:val="000000"/>
          <w:u w:color="000000"/>
          <w:lang w:eastAsia="ko-KR"/>
        </w:rPr>
        <w:t>2014-2017</w:t>
      </w:r>
      <w:r w:rsidRPr="0024500F">
        <w:rPr>
          <w:rFonts w:cs="Arial Unicode MS"/>
          <w:color w:val="000000"/>
          <w:u w:color="000000"/>
          <w:lang w:eastAsia="ko-KR"/>
        </w:rPr>
        <w:t xml:space="preserve">.  </w:t>
      </w:r>
    </w:p>
    <w:p w14:paraId="7A10B739" w14:textId="463A8F20" w:rsidR="0024500F" w:rsidRPr="0024500F" w:rsidRDefault="001152A5" w:rsidP="007868EE">
      <w:pPr>
        <w:pStyle w:val="ListParagraph"/>
        <w:numPr>
          <w:ilvl w:val="0"/>
          <w:numId w:val="2"/>
        </w:numPr>
        <w:autoSpaceDE w:val="0"/>
        <w:autoSpaceDN w:val="0"/>
        <w:adjustRightInd w:val="0"/>
        <w:spacing w:before="120" w:after="120"/>
        <w:ind w:left="360" w:right="90" w:firstLine="0"/>
        <w:jc w:val="both"/>
        <w:rPr>
          <w:lang w:val="en-GB"/>
        </w:rPr>
      </w:pPr>
      <w:r>
        <w:t xml:space="preserve">The </w:t>
      </w:r>
      <w:r w:rsidR="006B353A">
        <w:t>m</w:t>
      </w:r>
      <w:r>
        <w:t xml:space="preserve">onitoring and </w:t>
      </w:r>
      <w:r w:rsidR="006B353A">
        <w:t>e</w:t>
      </w:r>
      <w:r>
        <w:t xml:space="preserve">valuation system will be </w:t>
      </w:r>
      <w:r w:rsidR="00D46B6F">
        <w:t xml:space="preserve">upgraded </w:t>
      </w:r>
      <w:r>
        <w:t xml:space="preserve">taking </w:t>
      </w:r>
      <w:r w:rsidRPr="0024500F">
        <w:rPr>
          <w:rFonts w:cs="Arial Unicode MS"/>
          <w:color w:val="000000"/>
          <w:u w:color="000000"/>
          <w:lang w:eastAsia="ko-KR"/>
        </w:rPr>
        <w:t xml:space="preserve">into account shortcomings identified </w:t>
      </w:r>
      <w:r w:rsidR="00410A93">
        <w:rPr>
          <w:rFonts w:cs="Arial Unicode MS"/>
          <w:color w:val="000000"/>
          <w:u w:color="000000"/>
          <w:lang w:eastAsia="ko-KR"/>
        </w:rPr>
        <w:t>during</w:t>
      </w:r>
      <w:r w:rsidRPr="0024500F">
        <w:rPr>
          <w:rFonts w:cs="Arial Unicode MS"/>
          <w:color w:val="000000"/>
          <w:u w:color="000000"/>
          <w:lang w:eastAsia="ko-KR"/>
        </w:rPr>
        <w:t xml:space="preserve"> </w:t>
      </w:r>
      <w:r w:rsidR="00D46B6F">
        <w:rPr>
          <w:rFonts w:cs="Arial Unicode MS"/>
          <w:color w:val="000000"/>
          <w:u w:color="000000"/>
          <w:lang w:eastAsia="ko-KR"/>
        </w:rPr>
        <w:t xml:space="preserve">the </w:t>
      </w:r>
      <w:r w:rsidR="006B353A">
        <w:rPr>
          <w:rFonts w:cs="Arial Unicode MS"/>
          <w:color w:val="000000"/>
          <w:u w:color="000000"/>
          <w:lang w:eastAsia="ko-KR"/>
        </w:rPr>
        <w:t>United Nations Development Assistance Framework,</w:t>
      </w:r>
      <w:r w:rsidRPr="0024500F">
        <w:rPr>
          <w:rFonts w:cs="Arial Unicode MS"/>
          <w:color w:val="000000"/>
          <w:u w:color="000000"/>
          <w:lang w:eastAsia="ko-KR"/>
        </w:rPr>
        <w:t xml:space="preserve"> 2012-2017</w:t>
      </w:r>
      <w:r w:rsidR="00D46B6F">
        <w:rPr>
          <w:rFonts w:cs="Arial Unicode MS"/>
          <w:color w:val="000000"/>
          <w:u w:color="000000"/>
          <w:lang w:eastAsia="ko-KR"/>
        </w:rPr>
        <w:t>,</w:t>
      </w:r>
      <w:r w:rsidRPr="0024500F">
        <w:rPr>
          <w:rFonts w:cs="Arial Unicode MS"/>
          <w:color w:val="000000"/>
          <w:u w:color="000000"/>
          <w:lang w:eastAsia="ko-KR"/>
        </w:rPr>
        <w:t xml:space="preserve"> and the </w:t>
      </w:r>
      <w:r w:rsidR="00077020">
        <w:rPr>
          <w:rFonts w:cs="Arial Unicode MS"/>
          <w:color w:val="000000"/>
          <w:u w:color="000000"/>
          <w:lang w:eastAsia="ko-KR"/>
        </w:rPr>
        <w:t>assessment of development results</w:t>
      </w:r>
      <w:r w:rsidRPr="0024500F">
        <w:rPr>
          <w:rFonts w:cs="Arial Unicode MS"/>
          <w:color w:val="000000"/>
          <w:u w:color="000000"/>
          <w:lang w:eastAsia="ko-KR"/>
        </w:rPr>
        <w:t>.</w:t>
      </w:r>
      <w:r w:rsidR="00E173D6" w:rsidRPr="0024500F">
        <w:rPr>
          <w:rFonts w:cs="Arial Unicode MS"/>
          <w:color w:val="000000"/>
          <w:u w:color="000000"/>
          <w:lang w:eastAsia="ko-KR"/>
        </w:rPr>
        <w:t xml:space="preserve"> </w:t>
      </w:r>
      <w:r w:rsidR="00B64698">
        <w:rPr>
          <w:rFonts w:cs="Arial Unicode MS"/>
          <w:color w:val="000000"/>
          <w:u w:color="000000"/>
          <w:lang w:eastAsia="ko-KR"/>
        </w:rPr>
        <w:t>It</w:t>
      </w:r>
      <w:r w:rsidR="00E173D6" w:rsidRPr="00E173D6">
        <w:t xml:space="preserve"> will ensure better quality and data disaggregation by sex, age, rural/urban</w:t>
      </w:r>
      <w:r w:rsidR="00D46B6F">
        <w:t>,</w:t>
      </w:r>
      <w:r w:rsidR="00E173D6" w:rsidRPr="00E173D6">
        <w:t xml:space="preserve"> and target </w:t>
      </w:r>
      <w:r w:rsidR="00E173D6">
        <w:t>population groups</w:t>
      </w:r>
      <w:r w:rsidR="00E173D6" w:rsidRPr="00E173D6">
        <w:t xml:space="preserve">. UNDP will </w:t>
      </w:r>
      <w:r w:rsidR="00E173D6">
        <w:t>undertake</w:t>
      </w:r>
      <w:r w:rsidR="00E173D6" w:rsidRPr="00E173D6">
        <w:t xml:space="preserve"> assessments, analys</w:t>
      </w:r>
      <w:r w:rsidR="00C44776">
        <w:t>e</w:t>
      </w:r>
      <w:r w:rsidR="00E173D6" w:rsidRPr="00E173D6">
        <w:t>s and surveys</w:t>
      </w:r>
      <w:r w:rsidR="00CF48BD">
        <w:t>,</w:t>
      </w:r>
      <w:r w:rsidR="00E173D6">
        <w:t xml:space="preserve"> as well as i</w:t>
      </w:r>
      <w:r w:rsidR="00E173D6" w:rsidRPr="00E173D6">
        <w:t xml:space="preserve">ndependent </w:t>
      </w:r>
      <w:r w:rsidR="00E173D6">
        <w:t xml:space="preserve">outcome and output </w:t>
      </w:r>
      <w:r w:rsidR="00E173D6" w:rsidRPr="00E173D6">
        <w:t>evaluations</w:t>
      </w:r>
      <w:r w:rsidR="00CF48BD">
        <w:t>,</w:t>
      </w:r>
      <w:r w:rsidR="00E173D6" w:rsidRPr="00E173D6">
        <w:t xml:space="preserve"> to </w:t>
      </w:r>
      <w:r w:rsidR="00CF48BD">
        <w:t>improve</w:t>
      </w:r>
      <w:r w:rsidR="00E173D6" w:rsidRPr="00E173D6">
        <w:t xml:space="preserve"> measurement and facilitate learning and evidence-based decision-making. M</w:t>
      </w:r>
      <w:r w:rsidR="006B353A">
        <w:t>onitoring and evaluation</w:t>
      </w:r>
      <w:r w:rsidR="00E173D6" w:rsidRPr="00E173D6">
        <w:t xml:space="preserve"> will be carried out through </w:t>
      </w:r>
      <w:r w:rsidR="00077020">
        <w:rPr>
          <w:rFonts w:cs="Arial Unicode MS"/>
          <w:color w:val="000000"/>
          <w:u w:color="000000"/>
          <w:lang w:eastAsia="ko-KR"/>
        </w:rPr>
        <w:t>United Nations Development Assistance Framework</w:t>
      </w:r>
      <w:r w:rsidR="001F0DE1">
        <w:t xml:space="preserve"> </w:t>
      </w:r>
      <w:r w:rsidR="00E173D6" w:rsidRPr="00E173D6">
        <w:t xml:space="preserve">mechanisms, engaging </w:t>
      </w:r>
      <w:r w:rsidR="00BB2BC2" w:rsidRPr="0024500F">
        <w:rPr>
          <w:rFonts w:eastAsia="Calibri"/>
          <w:lang w:val="en-GB"/>
        </w:rPr>
        <w:t>U</w:t>
      </w:r>
      <w:r w:rsidR="00DC6F48">
        <w:rPr>
          <w:rFonts w:eastAsia="Calibri"/>
          <w:lang w:val="en-GB"/>
        </w:rPr>
        <w:t>nited </w:t>
      </w:r>
      <w:r w:rsidR="00BB2BC2">
        <w:rPr>
          <w:rFonts w:eastAsia="Calibri"/>
          <w:lang w:val="en-GB"/>
        </w:rPr>
        <w:t>Nations</w:t>
      </w:r>
      <w:r w:rsidR="00BB2BC2" w:rsidRPr="0024500F">
        <w:rPr>
          <w:rFonts w:eastAsia="Calibri"/>
          <w:lang w:val="en-GB"/>
        </w:rPr>
        <w:t xml:space="preserve"> organizations</w:t>
      </w:r>
      <w:r w:rsidR="00E173D6" w:rsidRPr="00E173D6">
        <w:t>, government, civil society</w:t>
      </w:r>
      <w:r w:rsidR="00CF48BD">
        <w:t>,</w:t>
      </w:r>
      <w:r w:rsidR="00E173D6" w:rsidRPr="00E173D6">
        <w:t xml:space="preserve"> and development partners.</w:t>
      </w:r>
    </w:p>
    <w:p w14:paraId="6E51F3A0" w14:textId="2146FC46" w:rsidR="0024500F" w:rsidRPr="0024500F" w:rsidRDefault="004D0376" w:rsidP="007868EE">
      <w:pPr>
        <w:pStyle w:val="ListParagraph"/>
        <w:numPr>
          <w:ilvl w:val="0"/>
          <w:numId w:val="2"/>
        </w:numPr>
        <w:autoSpaceDE w:val="0"/>
        <w:autoSpaceDN w:val="0"/>
        <w:adjustRightInd w:val="0"/>
        <w:spacing w:before="120" w:after="120"/>
        <w:ind w:left="360" w:right="90" w:firstLine="0"/>
        <w:jc w:val="both"/>
        <w:rPr>
          <w:lang w:val="en-GB"/>
        </w:rPr>
      </w:pPr>
      <w:r w:rsidRPr="0024500F">
        <w:rPr>
          <w:rFonts w:cs="Arial Unicode MS"/>
          <w:color w:val="000000"/>
          <w:u w:color="000000"/>
          <w:lang w:eastAsia="ko-KR"/>
        </w:rPr>
        <w:t xml:space="preserve">UNDP will </w:t>
      </w:r>
      <w:r w:rsidR="00E173D6" w:rsidRPr="0024500F">
        <w:rPr>
          <w:rFonts w:cs="Arial Unicode MS"/>
          <w:color w:val="000000"/>
          <w:u w:color="000000"/>
          <w:lang w:eastAsia="ko-KR"/>
        </w:rPr>
        <w:t>promote</w:t>
      </w:r>
      <w:r w:rsidRPr="0024500F">
        <w:rPr>
          <w:rFonts w:cs="Arial Unicode MS"/>
          <w:color w:val="000000"/>
          <w:u w:color="000000"/>
          <w:lang w:eastAsia="ko-KR"/>
        </w:rPr>
        <w:t xml:space="preserve"> national</w:t>
      </w:r>
      <w:r w:rsidR="00E173D6" w:rsidRPr="0024500F">
        <w:rPr>
          <w:rFonts w:cs="Arial Unicode MS"/>
          <w:color w:val="000000"/>
          <w:u w:color="000000"/>
          <w:lang w:eastAsia="ko-KR"/>
        </w:rPr>
        <w:t xml:space="preserve"> ownership of indicators </w:t>
      </w:r>
      <w:r w:rsidR="00CF48BD" w:rsidRPr="0024500F">
        <w:rPr>
          <w:rFonts w:cs="Arial Unicode MS"/>
          <w:color w:val="000000"/>
          <w:u w:color="000000"/>
          <w:lang w:eastAsia="ko-KR"/>
        </w:rPr>
        <w:t xml:space="preserve">aligned with </w:t>
      </w:r>
      <w:r w:rsidR="00CF48BD">
        <w:rPr>
          <w:rFonts w:cs="Arial Unicode MS"/>
          <w:color w:val="000000"/>
          <w:u w:color="000000"/>
          <w:lang w:eastAsia="ko-KR"/>
        </w:rPr>
        <w:t>the sustainable development goals</w:t>
      </w:r>
      <w:r w:rsidR="00CF48BD" w:rsidRPr="0024500F">
        <w:rPr>
          <w:rFonts w:cs="Arial Unicode MS"/>
          <w:color w:val="000000"/>
          <w:u w:color="000000"/>
          <w:lang w:eastAsia="ko-KR"/>
        </w:rPr>
        <w:t xml:space="preserve"> </w:t>
      </w:r>
      <w:r w:rsidR="00713933">
        <w:rPr>
          <w:rFonts w:cs="Arial Unicode MS"/>
          <w:color w:val="000000"/>
          <w:u w:color="000000"/>
          <w:lang w:eastAsia="ko-KR"/>
        </w:rPr>
        <w:t>throughout</w:t>
      </w:r>
      <w:r w:rsidR="00E173D6" w:rsidRPr="0024500F">
        <w:rPr>
          <w:rFonts w:cs="Arial Unicode MS"/>
          <w:color w:val="000000"/>
          <w:u w:color="000000"/>
          <w:lang w:eastAsia="ko-KR"/>
        </w:rPr>
        <w:t xml:space="preserve"> </w:t>
      </w:r>
      <w:r w:rsidR="00713933">
        <w:rPr>
          <w:rFonts w:cs="Arial Unicode MS"/>
          <w:color w:val="000000"/>
          <w:u w:color="000000"/>
          <w:lang w:eastAsia="ko-KR"/>
        </w:rPr>
        <w:t xml:space="preserve">the </w:t>
      </w:r>
      <w:r w:rsidR="00E173D6" w:rsidRPr="0024500F">
        <w:rPr>
          <w:rFonts w:cs="Arial Unicode MS"/>
          <w:color w:val="000000"/>
          <w:u w:color="000000"/>
          <w:lang w:eastAsia="ko-KR"/>
        </w:rPr>
        <w:t xml:space="preserve">results chain </w:t>
      </w:r>
      <w:r w:rsidR="00CF48BD">
        <w:rPr>
          <w:rFonts w:cs="Arial Unicode MS"/>
          <w:color w:val="000000"/>
          <w:u w:color="000000"/>
          <w:lang w:eastAsia="ko-KR"/>
        </w:rPr>
        <w:t xml:space="preserve">and </w:t>
      </w:r>
      <w:r w:rsidR="00E173D6" w:rsidRPr="0024500F">
        <w:rPr>
          <w:rFonts w:cs="Arial Unicode MS"/>
          <w:color w:val="000000"/>
          <w:u w:color="000000"/>
          <w:lang w:eastAsia="ko-KR"/>
        </w:rPr>
        <w:t>linked to the national monitoring</w:t>
      </w:r>
      <w:r w:rsidR="00077020">
        <w:rPr>
          <w:rFonts w:cs="Arial Unicode MS"/>
          <w:color w:val="000000"/>
          <w:u w:color="000000"/>
          <w:lang w:eastAsia="ko-KR"/>
        </w:rPr>
        <w:t xml:space="preserve"> and </w:t>
      </w:r>
      <w:r w:rsidR="00E173D6" w:rsidRPr="0024500F">
        <w:rPr>
          <w:rFonts w:cs="Arial Unicode MS"/>
          <w:color w:val="000000"/>
          <w:u w:color="000000"/>
          <w:lang w:eastAsia="ko-KR"/>
        </w:rPr>
        <w:t>evaluation</w:t>
      </w:r>
      <w:r w:rsidR="00CF48BD" w:rsidRPr="00CF48BD">
        <w:rPr>
          <w:rFonts w:cs="Arial Unicode MS"/>
          <w:color w:val="000000"/>
          <w:u w:color="000000"/>
          <w:lang w:eastAsia="ko-KR"/>
        </w:rPr>
        <w:t xml:space="preserve"> </w:t>
      </w:r>
      <w:r w:rsidR="00CF48BD" w:rsidRPr="0024500F">
        <w:rPr>
          <w:rFonts w:cs="Arial Unicode MS"/>
          <w:color w:val="000000"/>
          <w:u w:color="000000"/>
          <w:lang w:eastAsia="ko-KR"/>
        </w:rPr>
        <w:t>system</w:t>
      </w:r>
      <w:r w:rsidR="00E173D6" w:rsidRPr="0024500F">
        <w:rPr>
          <w:rFonts w:cs="Arial Unicode MS"/>
          <w:color w:val="000000"/>
          <w:u w:color="000000"/>
          <w:lang w:eastAsia="ko-KR"/>
        </w:rPr>
        <w:t xml:space="preserve">. </w:t>
      </w:r>
      <w:r w:rsidR="00077020">
        <w:rPr>
          <w:rFonts w:cs="Arial Unicode MS"/>
          <w:color w:val="000000"/>
          <w:u w:color="000000"/>
          <w:lang w:eastAsia="ko-KR"/>
        </w:rPr>
        <w:t>W</w:t>
      </w:r>
      <w:r w:rsidR="00E173D6" w:rsidRPr="0024500F">
        <w:rPr>
          <w:rFonts w:cs="Arial Unicode MS"/>
          <w:color w:val="000000"/>
          <w:u w:color="000000"/>
          <w:lang w:eastAsia="ko-KR"/>
        </w:rPr>
        <w:t xml:space="preserve">ith </w:t>
      </w:r>
      <w:r w:rsidR="00BB2BC2" w:rsidRPr="0024500F">
        <w:rPr>
          <w:rFonts w:eastAsia="Calibri"/>
          <w:lang w:val="en-GB"/>
        </w:rPr>
        <w:t>U</w:t>
      </w:r>
      <w:r w:rsidR="00BB2BC2">
        <w:rPr>
          <w:rFonts w:eastAsia="Calibri"/>
          <w:lang w:val="en-GB"/>
        </w:rPr>
        <w:t>nited Nations</w:t>
      </w:r>
      <w:r w:rsidR="00BB2BC2" w:rsidRPr="0024500F">
        <w:rPr>
          <w:rFonts w:eastAsia="Calibri"/>
          <w:lang w:val="en-GB"/>
        </w:rPr>
        <w:t xml:space="preserve"> </w:t>
      </w:r>
      <w:r w:rsidR="00077020">
        <w:rPr>
          <w:rFonts w:eastAsia="Calibri"/>
          <w:lang w:val="en-GB"/>
        </w:rPr>
        <w:t>partner</w:t>
      </w:r>
      <w:r w:rsidR="00BB2BC2" w:rsidRPr="0024500F">
        <w:rPr>
          <w:rFonts w:eastAsia="Calibri"/>
          <w:lang w:val="en-GB"/>
        </w:rPr>
        <w:t>s</w:t>
      </w:r>
      <w:r w:rsidR="00E173D6" w:rsidRPr="0024500F">
        <w:rPr>
          <w:rFonts w:cs="Arial Unicode MS"/>
          <w:color w:val="000000"/>
          <w:u w:color="000000"/>
          <w:lang w:eastAsia="ko-KR"/>
        </w:rPr>
        <w:t>, UNDP will help the Government contextualize</w:t>
      </w:r>
      <w:r w:rsidRPr="0024500F">
        <w:rPr>
          <w:rFonts w:cs="Arial Unicode MS"/>
          <w:color w:val="000000"/>
          <w:u w:color="000000"/>
          <w:lang w:eastAsia="ko-KR"/>
        </w:rPr>
        <w:t xml:space="preserve"> and integrate</w:t>
      </w:r>
      <w:r w:rsidR="001F0DE1">
        <w:rPr>
          <w:rFonts w:cs="Arial Unicode MS"/>
          <w:color w:val="000000"/>
          <w:u w:color="000000"/>
          <w:lang w:eastAsia="ko-KR"/>
        </w:rPr>
        <w:t xml:space="preserve"> </w:t>
      </w:r>
      <w:r w:rsidR="00E173D6" w:rsidRPr="0024500F">
        <w:rPr>
          <w:rFonts w:cs="Arial Unicode MS"/>
          <w:color w:val="000000"/>
          <w:u w:color="000000"/>
          <w:lang w:eastAsia="ko-KR"/>
        </w:rPr>
        <w:t xml:space="preserve">the </w:t>
      </w:r>
      <w:r w:rsidR="00077020">
        <w:rPr>
          <w:rFonts w:cs="Arial Unicode MS"/>
          <w:color w:val="000000"/>
          <w:u w:color="000000"/>
          <w:lang w:eastAsia="ko-KR"/>
        </w:rPr>
        <w:t xml:space="preserve">sustainable development goals </w:t>
      </w:r>
      <w:r w:rsidRPr="0024500F">
        <w:rPr>
          <w:rFonts w:cs="Arial Unicode MS"/>
          <w:color w:val="000000"/>
          <w:u w:color="000000"/>
          <w:lang w:eastAsia="ko-KR"/>
        </w:rPr>
        <w:t xml:space="preserve">indicators and targets into the national system and </w:t>
      </w:r>
      <w:r w:rsidRPr="004D0376">
        <w:t xml:space="preserve">will continue </w:t>
      </w:r>
      <w:r>
        <w:t>strengthening</w:t>
      </w:r>
      <w:r w:rsidRPr="004D0376">
        <w:t xml:space="preserve"> the </w:t>
      </w:r>
      <w:r w:rsidR="00077020">
        <w:t>capacity</w:t>
      </w:r>
      <w:r w:rsidR="00077020" w:rsidRPr="004D0376">
        <w:t xml:space="preserve"> </w:t>
      </w:r>
      <w:r w:rsidR="00077020">
        <w:t xml:space="preserve">of the </w:t>
      </w:r>
      <w:r w:rsidRPr="00CF48BD">
        <w:t>National Statistic</w:t>
      </w:r>
      <w:r w:rsidR="00BF035C" w:rsidRPr="00B677ED">
        <w:t>al</w:t>
      </w:r>
      <w:r w:rsidRPr="00CF48BD">
        <w:t xml:space="preserve"> Committee</w:t>
      </w:r>
      <w:r w:rsidRPr="004D0376">
        <w:t xml:space="preserve"> to collect, produce, and disseminate data</w:t>
      </w:r>
      <w:r w:rsidR="00CF48BD">
        <w:t>,</w:t>
      </w:r>
      <w:r w:rsidRPr="004D0376">
        <w:t xml:space="preserve"> provid</w:t>
      </w:r>
      <w:r w:rsidR="00CF48BD">
        <w:t>ing</w:t>
      </w:r>
      <w:r w:rsidRPr="004D0376">
        <w:t xml:space="preserve"> a strong foundation for decision-makers</w:t>
      </w:r>
      <w:r w:rsidR="001F0DE1">
        <w:t xml:space="preserve">. </w:t>
      </w:r>
      <w:r w:rsidR="003B369A">
        <w:rPr>
          <w:lang w:val="en-GB"/>
        </w:rPr>
        <w:t>I</w:t>
      </w:r>
      <w:r w:rsidR="00A60E9B" w:rsidRPr="0024500F">
        <w:rPr>
          <w:lang w:val="en-GB"/>
        </w:rPr>
        <w:t>nnovative tools and solutions</w:t>
      </w:r>
      <w:r w:rsidR="003C2EAA">
        <w:rPr>
          <w:lang w:val="en-GB"/>
        </w:rPr>
        <w:t>, including mobile applications,</w:t>
      </w:r>
      <w:r w:rsidR="00A60E9B" w:rsidRPr="0024500F">
        <w:rPr>
          <w:lang w:val="en-GB"/>
        </w:rPr>
        <w:t xml:space="preserve"> will be used jointly with </w:t>
      </w:r>
      <w:r w:rsidR="00077020">
        <w:rPr>
          <w:lang w:val="en-GB"/>
        </w:rPr>
        <w:t xml:space="preserve">the </w:t>
      </w:r>
      <w:r w:rsidR="00A60E9B" w:rsidRPr="0024500F">
        <w:rPr>
          <w:lang w:val="en-GB"/>
        </w:rPr>
        <w:t>C</w:t>
      </w:r>
      <w:r w:rsidR="00077020">
        <w:rPr>
          <w:lang w:val="en-GB"/>
        </w:rPr>
        <w:t>ommittee</w:t>
      </w:r>
      <w:r w:rsidR="00A60E9B" w:rsidRPr="0024500F">
        <w:rPr>
          <w:lang w:val="en-GB"/>
        </w:rPr>
        <w:t xml:space="preserve"> </w:t>
      </w:r>
      <w:r w:rsidR="00A60E9B" w:rsidRPr="00A60E9B">
        <w:t xml:space="preserve">to create, use, and disseminate statistics </w:t>
      </w:r>
      <w:r w:rsidR="00077020">
        <w:t>among</w:t>
      </w:r>
      <w:r w:rsidR="00077020" w:rsidRPr="00A60E9B">
        <w:t xml:space="preserve"> </w:t>
      </w:r>
      <w:r w:rsidR="00A60E9B" w:rsidRPr="00A60E9B">
        <w:t>an increasingly</w:t>
      </w:r>
      <w:r w:rsidR="00A60E9B">
        <w:t xml:space="preserve"> </w:t>
      </w:r>
      <w:r w:rsidR="00A60E9B" w:rsidRPr="00A60E9B">
        <w:t>wide audience.</w:t>
      </w:r>
    </w:p>
    <w:p w14:paraId="58FC2CF2" w14:textId="02692ADE" w:rsidR="00032A0F" w:rsidRDefault="00680F2E" w:rsidP="007868EE">
      <w:pPr>
        <w:pStyle w:val="ListParagraph"/>
        <w:numPr>
          <w:ilvl w:val="0"/>
          <w:numId w:val="2"/>
        </w:numPr>
        <w:autoSpaceDE w:val="0"/>
        <w:autoSpaceDN w:val="0"/>
        <w:adjustRightInd w:val="0"/>
        <w:spacing w:before="120" w:after="120"/>
        <w:ind w:left="360" w:right="90" w:firstLine="0"/>
        <w:jc w:val="both"/>
        <w:rPr>
          <w:lang w:val="en-GB"/>
        </w:rPr>
      </w:pPr>
      <w:r w:rsidRPr="00A60E9B">
        <w:t>The gender dimension</w:t>
      </w:r>
      <w:r w:rsidRPr="0024500F">
        <w:rPr>
          <w:lang w:val="en-GB"/>
        </w:rPr>
        <w:t xml:space="preserve"> </w:t>
      </w:r>
      <w:r w:rsidR="00CF48BD">
        <w:rPr>
          <w:lang w:val="en-GB"/>
        </w:rPr>
        <w:t>of</w:t>
      </w:r>
      <w:r w:rsidR="00CF48BD" w:rsidRPr="0024500F">
        <w:rPr>
          <w:lang w:val="en-GB"/>
        </w:rPr>
        <w:t xml:space="preserve"> </w:t>
      </w:r>
      <w:r w:rsidRPr="0024500F">
        <w:rPr>
          <w:lang w:val="en-GB"/>
        </w:rPr>
        <w:t xml:space="preserve">the </w:t>
      </w:r>
      <w:r w:rsidR="00077020">
        <w:rPr>
          <w:lang w:val="en-GB"/>
        </w:rPr>
        <w:t xml:space="preserve">country programme </w:t>
      </w:r>
      <w:r w:rsidRPr="0024500F">
        <w:rPr>
          <w:lang w:val="en-GB"/>
        </w:rPr>
        <w:t>is explicit at the output level and includes gender equality and empowerment outputs, indicators and targets. Adequate human and financial resources will be allocated to effectively implement actions and achieve results related to gender equality and women’s empowerment</w:t>
      </w:r>
      <w:r w:rsidR="00077020">
        <w:rPr>
          <w:lang w:val="en-GB"/>
        </w:rPr>
        <w:t>,</w:t>
      </w:r>
      <w:r w:rsidRPr="0024500F">
        <w:rPr>
          <w:lang w:val="en-GB"/>
        </w:rPr>
        <w:t xml:space="preserve"> and to monitor and report on gender-related progress towards results. The UNDP </w:t>
      </w:r>
      <w:r w:rsidR="00077020">
        <w:rPr>
          <w:lang w:val="en-GB"/>
        </w:rPr>
        <w:t>g</w:t>
      </w:r>
      <w:r w:rsidRPr="0024500F">
        <w:rPr>
          <w:lang w:val="en-GB"/>
        </w:rPr>
        <w:t xml:space="preserve">ender </w:t>
      </w:r>
      <w:r w:rsidR="00077020">
        <w:rPr>
          <w:lang w:val="en-GB"/>
        </w:rPr>
        <w:t>m</w:t>
      </w:r>
      <w:r w:rsidRPr="0024500F">
        <w:rPr>
          <w:lang w:val="en-GB"/>
        </w:rPr>
        <w:t xml:space="preserve">arker will monitor </w:t>
      </w:r>
      <w:r w:rsidR="00B171BF" w:rsidRPr="0024500F">
        <w:rPr>
          <w:lang w:val="en-GB"/>
        </w:rPr>
        <w:t xml:space="preserve">budget and </w:t>
      </w:r>
      <w:r w:rsidRPr="0024500F">
        <w:rPr>
          <w:lang w:val="en-GB"/>
        </w:rPr>
        <w:t xml:space="preserve">expenditures </w:t>
      </w:r>
      <w:r w:rsidR="00B171BF" w:rsidRPr="0024500F">
        <w:rPr>
          <w:lang w:val="en-GB"/>
        </w:rPr>
        <w:t>for</w:t>
      </w:r>
      <w:r w:rsidRPr="0024500F">
        <w:rPr>
          <w:lang w:val="en-GB"/>
        </w:rPr>
        <w:t xml:space="preserve"> planning and decision-making, </w:t>
      </w:r>
      <w:r w:rsidR="00B171BF" w:rsidRPr="0024500F">
        <w:rPr>
          <w:lang w:val="en-GB"/>
        </w:rPr>
        <w:t>ensuring</w:t>
      </w:r>
      <w:r w:rsidRPr="0024500F">
        <w:rPr>
          <w:lang w:val="en-GB"/>
        </w:rPr>
        <w:t xml:space="preserve"> at least 15</w:t>
      </w:r>
      <w:r w:rsidR="00DC6F48">
        <w:rPr>
          <w:lang w:val="en-GB"/>
        </w:rPr>
        <w:t> </w:t>
      </w:r>
      <w:r w:rsidR="00A44AF5">
        <w:rPr>
          <w:lang w:val="en-GB"/>
        </w:rPr>
        <w:t>per cent</w:t>
      </w:r>
      <w:r w:rsidRPr="0024500F">
        <w:rPr>
          <w:lang w:val="en-GB"/>
        </w:rPr>
        <w:t xml:space="preserve"> </w:t>
      </w:r>
      <w:r w:rsidR="00077020">
        <w:rPr>
          <w:lang w:val="en-GB"/>
        </w:rPr>
        <w:t>for</w:t>
      </w:r>
      <w:r w:rsidRPr="0024500F">
        <w:rPr>
          <w:lang w:val="en-GB"/>
        </w:rPr>
        <w:t xml:space="preserve"> interventions to achieve results in gender equality</w:t>
      </w:r>
      <w:r w:rsidR="00B171BF" w:rsidRPr="0024500F">
        <w:rPr>
          <w:lang w:val="en-GB"/>
        </w:rPr>
        <w:t xml:space="preserve"> and women’s empowerment</w:t>
      </w:r>
      <w:r w:rsidRPr="0024500F">
        <w:rPr>
          <w:lang w:val="en-GB"/>
        </w:rPr>
        <w:t>.</w:t>
      </w:r>
    </w:p>
    <w:p w14:paraId="053FC549" w14:textId="3B25D18F" w:rsidR="00C658B7" w:rsidRPr="00C658B7" w:rsidRDefault="00C658B7" w:rsidP="00C658B7">
      <w:pPr>
        <w:spacing w:after="120"/>
        <w:jc w:val="both"/>
        <w:rPr>
          <w:lang w:val="en-GB"/>
        </w:rPr>
      </w:pPr>
    </w:p>
    <w:p w14:paraId="7A802A0D" w14:textId="77777777" w:rsidR="00C658B7" w:rsidRPr="00C658B7" w:rsidRDefault="00C658B7" w:rsidP="00C658B7">
      <w:pPr>
        <w:spacing w:after="120"/>
        <w:ind w:hanging="142"/>
        <w:outlineLvl w:val="3"/>
        <w:rPr>
          <w:b/>
          <w:color w:val="000000"/>
          <w:lang w:val="en-GB"/>
        </w:rPr>
        <w:sectPr w:rsidR="00C658B7" w:rsidRPr="00C658B7" w:rsidSect="0019665C">
          <w:headerReference w:type="even" r:id="rId17"/>
          <w:headerReference w:type="default" r:id="rId18"/>
          <w:footerReference w:type="even" r:id="rId19"/>
          <w:footerReference w:type="default" r:id="rId20"/>
          <w:headerReference w:type="first" r:id="rId21"/>
          <w:footerReference w:type="first" r:id="rId22"/>
          <w:footnotePr>
            <w:numRestart w:val="eachSect"/>
          </w:footnotePr>
          <w:endnotePr>
            <w:numFmt w:val="decimal"/>
            <w:numStart w:val="7"/>
          </w:endnotePr>
          <w:pgSz w:w="12240" w:h="15840" w:code="1"/>
          <w:pgMar w:top="1166" w:right="2186" w:bottom="1440" w:left="2160" w:header="576" w:footer="1037" w:gutter="0"/>
          <w:cols w:space="720"/>
          <w:noEndnote/>
          <w:titlePg/>
          <w:docGrid w:linePitch="272"/>
        </w:sectPr>
      </w:pPr>
      <w:bookmarkStart w:id="1" w:name="_y06wdeo3ybwt" w:colFirst="0" w:colLast="0"/>
      <w:bookmarkEnd w:id="1"/>
    </w:p>
    <w:p w14:paraId="101BBD76" w14:textId="6EE4A022" w:rsidR="0051294D" w:rsidRPr="00681513" w:rsidRDefault="0051294D" w:rsidP="00DD6017">
      <w:pPr>
        <w:spacing w:after="120"/>
        <w:ind w:right="-240"/>
        <w:outlineLvl w:val="3"/>
        <w:rPr>
          <w:i/>
          <w:color w:val="000000"/>
          <w:sz w:val="28"/>
          <w:szCs w:val="28"/>
          <w:lang w:val="en-GB"/>
        </w:rPr>
      </w:pPr>
      <w:r w:rsidRPr="00681513">
        <w:rPr>
          <w:b/>
          <w:bCs/>
          <w:color w:val="000000"/>
          <w:sz w:val="28"/>
          <w:szCs w:val="28"/>
          <w:lang w:val="en-GB" w:eastAsia="fr-FR"/>
        </w:rPr>
        <w:lastRenderedPageBreak/>
        <w:t xml:space="preserve">Annex. </w:t>
      </w:r>
      <w:r w:rsidRPr="00681513">
        <w:rPr>
          <w:b/>
          <w:bCs/>
          <w:color w:val="000000"/>
          <w:kern w:val="14"/>
          <w:sz w:val="28"/>
          <w:szCs w:val="28"/>
          <w:lang w:val="en-GB" w:eastAsia="fr-FR"/>
        </w:rPr>
        <w:t>Results and resources framework for Kyrgyzstan (2018-2022)</w:t>
      </w:r>
    </w:p>
    <w:tbl>
      <w:tblPr>
        <w:tblW w:w="525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0A0" w:firstRow="1" w:lastRow="0" w:firstColumn="1" w:lastColumn="0" w:noHBand="0" w:noVBand="0"/>
      </w:tblPr>
      <w:tblGrid>
        <w:gridCol w:w="2368"/>
        <w:gridCol w:w="475"/>
        <w:gridCol w:w="481"/>
        <w:gridCol w:w="2770"/>
        <w:gridCol w:w="114"/>
        <w:gridCol w:w="4170"/>
        <w:gridCol w:w="23"/>
        <w:gridCol w:w="2489"/>
        <w:gridCol w:w="1331"/>
      </w:tblGrid>
      <w:tr w:rsidR="002129B7" w:rsidRPr="0051294D" w14:paraId="7BFDABD1" w14:textId="77777777" w:rsidTr="00FA2849">
        <w:tc>
          <w:tcPr>
            <w:tcW w:w="5000" w:type="pct"/>
            <w:gridSpan w:val="9"/>
            <w:shd w:val="clear" w:color="auto" w:fill="auto"/>
            <w:tcMar>
              <w:top w:w="72" w:type="dxa"/>
              <w:left w:w="144" w:type="dxa"/>
              <w:bottom w:w="72" w:type="dxa"/>
              <w:right w:w="144" w:type="dxa"/>
            </w:tcMar>
          </w:tcPr>
          <w:p w14:paraId="4A2B58E2" w14:textId="60B4558F" w:rsidR="002129B7" w:rsidRPr="0051294D" w:rsidRDefault="00EC7399" w:rsidP="00C658B7">
            <w:pPr>
              <w:rPr>
                <w:b/>
                <w:bCs/>
                <w:color w:val="000000"/>
                <w:sz w:val="16"/>
                <w:szCs w:val="16"/>
                <w:lang w:val="en-GB"/>
              </w:rPr>
            </w:pPr>
            <w:r w:rsidRPr="0051294D">
              <w:rPr>
                <w:b/>
                <w:bCs/>
                <w:color w:val="000000"/>
                <w:sz w:val="16"/>
                <w:szCs w:val="16"/>
                <w:lang w:val="en-GB"/>
              </w:rPr>
              <w:t xml:space="preserve">National priority or goal: </w:t>
            </w:r>
            <w:r w:rsidR="002129B7" w:rsidRPr="0051294D">
              <w:rPr>
                <w:rFonts w:cstheme="minorHAnsi"/>
                <w:color w:val="0F243E" w:themeColor="text2" w:themeShade="80"/>
                <w:sz w:val="16"/>
                <w:szCs w:val="16"/>
              </w:rPr>
              <w:t xml:space="preserve">Good governance, rule of law, human rights, </w:t>
            </w:r>
            <w:r w:rsidR="002129B7" w:rsidRPr="00EC7399">
              <w:rPr>
                <w:rFonts w:cstheme="minorHAnsi"/>
                <w:color w:val="0F243E" w:themeColor="text2" w:themeShade="80"/>
                <w:sz w:val="16"/>
                <w:szCs w:val="16"/>
              </w:rPr>
              <w:t>gender equality</w:t>
            </w:r>
            <w:r w:rsidR="002129B7" w:rsidRPr="00681513">
              <w:rPr>
                <w:bCs/>
                <w:color w:val="000000"/>
                <w:sz w:val="16"/>
                <w:szCs w:val="16"/>
                <w:lang w:val="en-GB"/>
              </w:rPr>
              <w:t xml:space="preserve">; </w:t>
            </w:r>
            <w:r w:rsidRPr="00681513">
              <w:rPr>
                <w:bCs/>
                <w:color w:val="000000"/>
                <w:sz w:val="16"/>
                <w:szCs w:val="16"/>
                <w:lang w:val="en-GB"/>
              </w:rPr>
              <w:t>sustainable development goals (</w:t>
            </w:r>
            <w:r w:rsidR="002129B7" w:rsidRPr="0051294D">
              <w:rPr>
                <w:bCs/>
                <w:color w:val="000000"/>
                <w:sz w:val="16"/>
                <w:szCs w:val="16"/>
                <w:lang w:val="en-GB"/>
              </w:rPr>
              <w:t>SDGs</w:t>
            </w:r>
            <w:r>
              <w:rPr>
                <w:bCs/>
                <w:color w:val="000000"/>
                <w:sz w:val="16"/>
                <w:szCs w:val="16"/>
                <w:lang w:val="en-GB"/>
              </w:rPr>
              <w:t>)</w:t>
            </w:r>
            <w:r w:rsidR="002129B7" w:rsidRPr="0051294D">
              <w:rPr>
                <w:rFonts w:cstheme="minorHAnsi"/>
                <w:color w:val="0F243E" w:themeColor="text2" w:themeShade="80"/>
                <w:sz w:val="16"/>
                <w:szCs w:val="16"/>
              </w:rPr>
              <w:t xml:space="preserve">  5, 16</w:t>
            </w:r>
          </w:p>
        </w:tc>
      </w:tr>
      <w:tr w:rsidR="002129B7" w:rsidRPr="0051294D" w14:paraId="4396DE2F" w14:textId="77777777" w:rsidTr="00FA2849">
        <w:tc>
          <w:tcPr>
            <w:tcW w:w="5000" w:type="pct"/>
            <w:gridSpan w:val="9"/>
            <w:shd w:val="clear" w:color="auto" w:fill="auto"/>
            <w:tcMar>
              <w:top w:w="72" w:type="dxa"/>
              <w:left w:w="144" w:type="dxa"/>
              <w:bottom w:w="72" w:type="dxa"/>
              <w:right w:w="144" w:type="dxa"/>
            </w:tcMar>
          </w:tcPr>
          <w:p w14:paraId="4DB56956" w14:textId="40FDA6BA" w:rsidR="002129B7" w:rsidRPr="0051294D" w:rsidRDefault="002129B7" w:rsidP="00C658B7">
            <w:pPr>
              <w:jc w:val="both"/>
              <w:rPr>
                <w:b/>
                <w:bCs/>
                <w:color w:val="000000"/>
                <w:sz w:val="16"/>
                <w:szCs w:val="16"/>
                <w:lang w:val="en-GB"/>
              </w:rPr>
            </w:pPr>
            <w:r w:rsidRPr="0051294D">
              <w:rPr>
                <w:b/>
                <w:bCs/>
                <w:color w:val="000000"/>
                <w:sz w:val="16"/>
                <w:szCs w:val="16"/>
                <w:lang w:val="en-GB"/>
              </w:rPr>
              <w:t xml:space="preserve">UNDAF </w:t>
            </w:r>
            <w:r w:rsidR="00EC7399" w:rsidRPr="0051294D">
              <w:rPr>
                <w:b/>
                <w:bCs/>
                <w:color w:val="000000"/>
                <w:sz w:val="16"/>
                <w:szCs w:val="16"/>
                <w:lang w:val="en-GB"/>
              </w:rPr>
              <w:t>outcome</w:t>
            </w:r>
            <w:r w:rsidRPr="0051294D">
              <w:rPr>
                <w:b/>
                <w:bCs/>
                <w:color w:val="000000"/>
                <w:sz w:val="16"/>
                <w:szCs w:val="16"/>
                <w:lang w:val="en-GB"/>
              </w:rPr>
              <w:t xml:space="preserve"> 2</w:t>
            </w:r>
            <w:r w:rsidR="00CA2F30">
              <w:rPr>
                <w:b/>
                <w:bCs/>
                <w:color w:val="000000"/>
                <w:sz w:val="16"/>
                <w:szCs w:val="16"/>
                <w:lang w:val="en-GB"/>
              </w:rPr>
              <w:t>.</w:t>
            </w:r>
            <w:r w:rsidRPr="0051294D">
              <w:rPr>
                <w:color w:val="000000"/>
                <w:sz w:val="16"/>
                <w:szCs w:val="16"/>
                <w:lang w:val="en-GB"/>
              </w:rPr>
              <w:t xml:space="preserve"> </w:t>
            </w:r>
            <w:r w:rsidRPr="0051294D">
              <w:rPr>
                <w:color w:val="222A35"/>
                <w:sz w:val="16"/>
                <w:szCs w:val="16"/>
              </w:rPr>
              <w:t>By 2022, institutions at all levels are more accountable and inclusive</w:t>
            </w:r>
            <w:r w:rsidR="00EC7399">
              <w:rPr>
                <w:color w:val="222A35"/>
                <w:sz w:val="16"/>
                <w:szCs w:val="16"/>
              </w:rPr>
              <w:t>,</w:t>
            </w:r>
            <w:r w:rsidRPr="0051294D">
              <w:rPr>
                <w:color w:val="222A35"/>
                <w:sz w:val="16"/>
                <w:szCs w:val="16"/>
              </w:rPr>
              <w:t xml:space="preserve"> ensuring justice, human rights, gender equality and sustainable peace for all.</w:t>
            </w:r>
            <w:r w:rsidRPr="0051294D">
              <w:t xml:space="preserve"> </w:t>
            </w:r>
          </w:p>
        </w:tc>
      </w:tr>
      <w:tr w:rsidR="002129B7" w:rsidRPr="0051294D" w14:paraId="7C930E0B" w14:textId="77777777" w:rsidTr="00FA2849">
        <w:tc>
          <w:tcPr>
            <w:tcW w:w="5000" w:type="pct"/>
            <w:gridSpan w:val="9"/>
            <w:shd w:val="clear" w:color="auto" w:fill="auto"/>
            <w:tcMar>
              <w:top w:w="72" w:type="dxa"/>
              <w:left w:w="144" w:type="dxa"/>
              <w:bottom w:w="72" w:type="dxa"/>
              <w:right w:w="144" w:type="dxa"/>
            </w:tcMar>
          </w:tcPr>
          <w:p w14:paraId="0DD69807" w14:textId="78A67862" w:rsidR="002129B7" w:rsidRPr="0051294D" w:rsidRDefault="00CA2F30" w:rsidP="00C658B7">
            <w:pPr>
              <w:rPr>
                <w:b/>
                <w:bCs/>
                <w:color w:val="000000"/>
                <w:sz w:val="16"/>
                <w:szCs w:val="16"/>
              </w:rPr>
            </w:pPr>
            <w:r w:rsidRPr="0051294D">
              <w:rPr>
                <w:b/>
                <w:bCs/>
                <w:color w:val="000000"/>
                <w:sz w:val="16"/>
                <w:szCs w:val="16"/>
                <w:lang w:val="en-GB"/>
              </w:rPr>
              <w:t>Related strategic plan outcome</w:t>
            </w:r>
            <w:r w:rsidR="002129B7" w:rsidRPr="0051294D">
              <w:rPr>
                <w:b/>
                <w:bCs/>
                <w:color w:val="000000"/>
                <w:sz w:val="16"/>
                <w:szCs w:val="16"/>
                <w:lang w:val="en-GB"/>
              </w:rPr>
              <w:t>: 2</w:t>
            </w:r>
          </w:p>
        </w:tc>
      </w:tr>
      <w:tr w:rsidR="00FA6175" w:rsidRPr="006231E6" w14:paraId="178FA89E" w14:textId="77777777" w:rsidTr="00FA2849">
        <w:tblPrEx>
          <w:tblCellMar>
            <w:left w:w="108" w:type="dxa"/>
            <w:right w:w="108" w:type="dxa"/>
          </w:tblCellMar>
          <w:tblLook w:val="04A0" w:firstRow="1" w:lastRow="0" w:firstColumn="1" w:lastColumn="0" w:noHBand="0" w:noVBand="1"/>
        </w:tblPrEx>
        <w:tc>
          <w:tcPr>
            <w:tcW w:w="1000" w:type="pct"/>
            <w:gridSpan w:val="2"/>
            <w:shd w:val="clear" w:color="000000" w:fill="auto"/>
            <w:vAlign w:val="center"/>
            <w:hideMark/>
          </w:tcPr>
          <w:p w14:paraId="6D0FEE40" w14:textId="77777777" w:rsidR="000F22A6" w:rsidRPr="00DD6017" w:rsidRDefault="000F22A6" w:rsidP="00A44AF5">
            <w:pPr>
              <w:tabs>
                <w:tab w:val="left" w:pos="1620"/>
              </w:tabs>
              <w:contextualSpacing/>
              <w:jc w:val="center"/>
              <w:rPr>
                <w:b/>
                <w:bCs/>
                <w:color w:val="000000"/>
                <w:sz w:val="16"/>
                <w:szCs w:val="16"/>
                <w:lang w:val="en-GB" w:eastAsia="fr-FR"/>
              </w:rPr>
            </w:pPr>
            <w:r w:rsidRPr="00DD6017">
              <w:rPr>
                <w:b/>
                <w:bCs/>
                <w:color w:val="000000"/>
                <w:sz w:val="16"/>
                <w:szCs w:val="16"/>
                <w:lang w:val="en-GB" w:eastAsia="fr-FR"/>
              </w:rPr>
              <w:t>UNDAF outcome indicators,</w:t>
            </w:r>
          </w:p>
          <w:p w14:paraId="1733FE18" w14:textId="77777777" w:rsidR="000F22A6" w:rsidRPr="00DD6017" w:rsidRDefault="000F22A6" w:rsidP="00A44AF5">
            <w:pPr>
              <w:jc w:val="center"/>
              <w:rPr>
                <w:b/>
                <w:bCs/>
                <w:sz w:val="16"/>
                <w:szCs w:val="16"/>
              </w:rPr>
            </w:pPr>
            <w:r w:rsidRPr="00DD6017">
              <w:rPr>
                <w:b/>
                <w:bCs/>
                <w:color w:val="000000"/>
                <w:sz w:val="16"/>
                <w:szCs w:val="16"/>
                <w:lang w:val="en-GB" w:eastAsia="fr-FR"/>
              </w:rPr>
              <w:t>baselines and targets</w:t>
            </w:r>
          </w:p>
        </w:tc>
        <w:tc>
          <w:tcPr>
            <w:tcW w:w="1183" w:type="pct"/>
            <w:gridSpan w:val="3"/>
            <w:shd w:val="clear" w:color="000000" w:fill="auto"/>
            <w:vAlign w:val="center"/>
            <w:hideMark/>
          </w:tcPr>
          <w:p w14:paraId="40A7A779" w14:textId="77777777" w:rsidR="000F22A6" w:rsidRPr="00DD6017" w:rsidRDefault="000F22A6" w:rsidP="00A44AF5">
            <w:pPr>
              <w:jc w:val="center"/>
              <w:rPr>
                <w:b/>
                <w:bCs/>
                <w:sz w:val="16"/>
                <w:szCs w:val="16"/>
              </w:rPr>
            </w:pPr>
            <w:r w:rsidRPr="00DD6017">
              <w:rPr>
                <w:b/>
                <w:bCs/>
                <w:color w:val="000000"/>
                <w:sz w:val="16"/>
                <w:szCs w:val="16"/>
                <w:lang w:val="en-GB" w:eastAsia="fr-FR"/>
              </w:rPr>
              <w:t>Data source and frequency of data collection, and responsibilities</w:t>
            </w:r>
          </w:p>
        </w:tc>
        <w:tc>
          <w:tcPr>
            <w:tcW w:w="1466" w:type="pct"/>
            <w:shd w:val="clear" w:color="000000" w:fill="auto"/>
            <w:vAlign w:val="center"/>
            <w:hideMark/>
          </w:tcPr>
          <w:p w14:paraId="45C27429" w14:textId="77777777" w:rsidR="00CA2F30" w:rsidRDefault="000F22A6" w:rsidP="00A44AF5">
            <w:pPr>
              <w:jc w:val="center"/>
              <w:rPr>
                <w:b/>
                <w:bCs/>
                <w:i/>
                <w:iCs/>
                <w:sz w:val="16"/>
                <w:szCs w:val="16"/>
              </w:rPr>
            </w:pPr>
            <w:r w:rsidRPr="00DD6017">
              <w:rPr>
                <w:b/>
                <w:bCs/>
                <w:color w:val="000000"/>
                <w:sz w:val="16"/>
                <w:szCs w:val="16"/>
                <w:lang w:val="en-GB" w:eastAsia="fr-FR"/>
              </w:rPr>
              <w:t>Indicative country programme outputs</w:t>
            </w:r>
            <w:r w:rsidRPr="00DD6017">
              <w:rPr>
                <w:b/>
                <w:bCs/>
                <w:i/>
                <w:iCs/>
                <w:sz w:val="16"/>
                <w:szCs w:val="16"/>
              </w:rPr>
              <w:t xml:space="preserve"> </w:t>
            </w:r>
          </w:p>
          <w:p w14:paraId="7AD0B51B" w14:textId="0AED1EC7" w:rsidR="000F22A6" w:rsidRPr="00DD6017" w:rsidRDefault="000F22A6" w:rsidP="00A44AF5">
            <w:pPr>
              <w:jc w:val="center"/>
              <w:rPr>
                <w:b/>
                <w:bCs/>
                <w:sz w:val="16"/>
                <w:szCs w:val="16"/>
              </w:rPr>
            </w:pPr>
            <w:r w:rsidRPr="00DD6017">
              <w:rPr>
                <w:b/>
                <w:bCs/>
                <w:i/>
                <w:iCs/>
                <w:sz w:val="16"/>
                <w:szCs w:val="16"/>
              </w:rPr>
              <w:t>(including indicators, baselines targets)</w:t>
            </w:r>
          </w:p>
        </w:tc>
        <w:tc>
          <w:tcPr>
            <w:tcW w:w="883" w:type="pct"/>
            <w:gridSpan w:val="2"/>
            <w:shd w:val="clear" w:color="000000" w:fill="auto"/>
            <w:vAlign w:val="center"/>
            <w:hideMark/>
          </w:tcPr>
          <w:p w14:paraId="33C0B915" w14:textId="77777777" w:rsidR="000F22A6" w:rsidRPr="00DD6017" w:rsidRDefault="000F22A6" w:rsidP="00A44AF5">
            <w:pPr>
              <w:tabs>
                <w:tab w:val="left" w:pos="1620"/>
              </w:tabs>
              <w:contextualSpacing/>
              <w:jc w:val="center"/>
              <w:rPr>
                <w:b/>
                <w:bCs/>
                <w:color w:val="000000"/>
                <w:sz w:val="16"/>
                <w:szCs w:val="16"/>
                <w:lang w:val="en-GB" w:eastAsia="fr-FR"/>
              </w:rPr>
            </w:pPr>
            <w:r w:rsidRPr="00DD6017">
              <w:rPr>
                <w:b/>
                <w:bCs/>
                <w:color w:val="000000"/>
                <w:sz w:val="16"/>
                <w:szCs w:val="16"/>
                <w:lang w:val="en-GB" w:eastAsia="fr-FR"/>
              </w:rPr>
              <w:t>Major partners/</w:t>
            </w:r>
          </w:p>
          <w:p w14:paraId="0389203E" w14:textId="224C17C5" w:rsidR="000F22A6" w:rsidRPr="00DD6017" w:rsidRDefault="00CA2F30" w:rsidP="00A44AF5">
            <w:pPr>
              <w:keepNext/>
              <w:keepLines/>
              <w:spacing w:before="200"/>
              <w:jc w:val="center"/>
              <w:outlineLvl w:val="2"/>
              <w:rPr>
                <w:b/>
                <w:bCs/>
                <w:sz w:val="16"/>
                <w:szCs w:val="16"/>
              </w:rPr>
            </w:pPr>
            <w:r>
              <w:rPr>
                <w:b/>
                <w:bCs/>
                <w:color w:val="000000"/>
                <w:sz w:val="16"/>
                <w:szCs w:val="16"/>
                <w:lang w:val="en-GB" w:eastAsia="fr-FR"/>
              </w:rPr>
              <w:t>p</w:t>
            </w:r>
            <w:r w:rsidR="000F22A6" w:rsidRPr="00DD6017">
              <w:rPr>
                <w:b/>
                <w:bCs/>
                <w:color w:val="000000"/>
                <w:sz w:val="16"/>
                <w:szCs w:val="16"/>
                <w:lang w:val="en-GB" w:eastAsia="fr-FR"/>
              </w:rPr>
              <w:t>artnerships frameworks</w:t>
            </w:r>
          </w:p>
        </w:tc>
        <w:tc>
          <w:tcPr>
            <w:tcW w:w="469" w:type="pct"/>
            <w:shd w:val="clear" w:color="000000" w:fill="auto"/>
            <w:vAlign w:val="center"/>
            <w:hideMark/>
          </w:tcPr>
          <w:p w14:paraId="6E7538FD" w14:textId="77777777" w:rsidR="00281055" w:rsidRDefault="000F22A6" w:rsidP="00FA6175">
            <w:pPr>
              <w:jc w:val="center"/>
              <w:rPr>
                <w:b/>
                <w:bCs/>
                <w:color w:val="000000"/>
                <w:sz w:val="16"/>
                <w:szCs w:val="16"/>
                <w:lang w:val="en-GB" w:eastAsia="fr-FR"/>
              </w:rPr>
            </w:pPr>
            <w:r w:rsidRPr="00DD6017">
              <w:rPr>
                <w:b/>
                <w:bCs/>
                <w:color w:val="000000"/>
                <w:sz w:val="16"/>
                <w:szCs w:val="16"/>
                <w:lang w:val="en-GB" w:eastAsia="fr-FR"/>
              </w:rPr>
              <w:t>Indicative res</w:t>
            </w:r>
            <w:r w:rsidR="00FA6175" w:rsidRPr="00DD6017">
              <w:rPr>
                <w:b/>
                <w:bCs/>
                <w:color w:val="000000"/>
                <w:sz w:val="16"/>
                <w:szCs w:val="16"/>
                <w:lang w:val="en-GB" w:eastAsia="fr-FR"/>
              </w:rPr>
              <w:t xml:space="preserve">ources </w:t>
            </w:r>
          </w:p>
          <w:p w14:paraId="04FE44F1" w14:textId="224FE79D" w:rsidR="00CA2F30" w:rsidRDefault="00FA6175" w:rsidP="00FA6175">
            <w:pPr>
              <w:jc w:val="center"/>
              <w:rPr>
                <w:b/>
                <w:bCs/>
                <w:color w:val="000000"/>
                <w:sz w:val="16"/>
                <w:szCs w:val="16"/>
                <w:lang w:val="en-GB" w:eastAsia="fr-FR"/>
              </w:rPr>
            </w:pPr>
            <w:r w:rsidRPr="00DD6017">
              <w:rPr>
                <w:b/>
                <w:bCs/>
                <w:color w:val="000000"/>
                <w:sz w:val="16"/>
                <w:szCs w:val="16"/>
                <w:lang w:val="en-GB" w:eastAsia="fr-FR"/>
              </w:rPr>
              <w:t xml:space="preserve">by outcome </w:t>
            </w:r>
          </w:p>
          <w:p w14:paraId="3EA6942F" w14:textId="2E1F015B" w:rsidR="000F22A6" w:rsidRPr="00DD6017" w:rsidRDefault="00FA6175" w:rsidP="00FA6175">
            <w:pPr>
              <w:jc w:val="center"/>
              <w:rPr>
                <w:b/>
                <w:bCs/>
                <w:sz w:val="16"/>
                <w:szCs w:val="16"/>
                <w:lang w:val="en-GB"/>
              </w:rPr>
            </w:pPr>
            <w:r w:rsidRPr="00DD6017">
              <w:rPr>
                <w:b/>
                <w:bCs/>
                <w:color w:val="000000"/>
                <w:sz w:val="16"/>
                <w:szCs w:val="16"/>
                <w:lang w:val="en-GB" w:eastAsia="fr-FR"/>
              </w:rPr>
              <w:t xml:space="preserve">(in </w:t>
            </w:r>
            <w:r w:rsidR="00281055">
              <w:rPr>
                <w:b/>
                <w:bCs/>
                <w:color w:val="000000"/>
                <w:sz w:val="16"/>
                <w:szCs w:val="16"/>
                <w:lang w:val="en-GB" w:eastAsia="fr-FR"/>
              </w:rPr>
              <w:t>$ thousands</w:t>
            </w:r>
            <w:r w:rsidR="000F22A6" w:rsidRPr="00DD6017">
              <w:rPr>
                <w:b/>
                <w:bCs/>
                <w:color w:val="000000"/>
                <w:sz w:val="16"/>
                <w:szCs w:val="16"/>
                <w:lang w:val="en-GB" w:eastAsia="fr-FR"/>
              </w:rPr>
              <w:t>)</w:t>
            </w:r>
          </w:p>
        </w:tc>
      </w:tr>
      <w:tr w:rsidR="002129B7" w:rsidRPr="0051294D" w14:paraId="58ED69FD" w14:textId="77777777" w:rsidTr="00FA2849">
        <w:tc>
          <w:tcPr>
            <w:tcW w:w="1000" w:type="pct"/>
            <w:gridSpan w:val="2"/>
            <w:vMerge w:val="restart"/>
            <w:tcMar>
              <w:top w:w="72" w:type="dxa"/>
              <w:left w:w="144" w:type="dxa"/>
              <w:bottom w:w="72" w:type="dxa"/>
              <w:right w:w="144" w:type="dxa"/>
            </w:tcMar>
          </w:tcPr>
          <w:p w14:paraId="246B8EDF" w14:textId="3E7724FE" w:rsidR="002129B7" w:rsidRPr="0051294D" w:rsidRDefault="002129B7" w:rsidP="00C658B7">
            <w:pPr>
              <w:rPr>
                <w:b/>
                <w:color w:val="222A35"/>
                <w:sz w:val="16"/>
                <w:szCs w:val="16"/>
              </w:rPr>
            </w:pPr>
            <w:r w:rsidRPr="0051294D">
              <w:rPr>
                <w:b/>
                <w:color w:val="222A35"/>
                <w:sz w:val="16"/>
                <w:szCs w:val="16"/>
              </w:rPr>
              <w:t>2.1. Worldwide Governance Indicator</w:t>
            </w:r>
          </w:p>
          <w:p w14:paraId="4D54C0C6" w14:textId="59686B9B" w:rsidR="002129B7" w:rsidRPr="00CA2F30" w:rsidRDefault="002129B7" w:rsidP="00C658B7">
            <w:pPr>
              <w:rPr>
                <w:color w:val="222A35"/>
                <w:sz w:val="16"/>
                <w:szCs w:val="16"/>
              </w:rPr>
            </w:pPr>
            <w:r w:rsidRPr="00654C5B">
              <w:rPr>
                <w:color w:val="222A35"/>
                <w:sz w:val="16"/>
                <w:szCs w:val="16"/>
              </w:rPr>
              <w:t>Baseline (2015):</w:t>
            </w:r>
            <w:r w:rsidRPr="00CA2F30">
              <w:rPr>
                <w:color w:val="222A35"/>
                <w:sz w:val="16"/>
                <w:szCs w:val="16"/>
              </w:rPr>
              <w:tab/>
            </w:r>
            <w:r w:rsidRPr="00CA2F30">
              <w:rPr>
                <w:color w:val="222A35"/>
                <w:sz w:val="16"/>
                <w:szCs w:val="16"/>
              </w:rPr>
              <w:tab/>
              <w:t xml:space="preserve">                                       </w:t>
            </w:r>
          </w:p>
          <w:p w14:paraId="47745BDF" w14:textId="15F4FD44" w:rsidR="002129B7" w:rsidRPr="0051294D" w:rsidRDefault="002129B7" w:rsidP="00C658B7">
            <w:pPr>
              <w:rPr>
                <w:color w:val="222A35"/>
                <w:sz w:val="16"/>
                <w:szCs w:val="16"/>
              </w:rPr>
            </w:pPr>
            <w:r w:rsidRPr="0051294D">
              <w:rPr>
                <w:color w:val="222A35"/>
                <w:sz w:val="16"/>
                <w:szCs w:val="16"/>
              </w:rPr>
              <w:t xml:space="preserve">Voice and Accountability: -0.5                                             </w:t>
            </w:r>
          </w:p>
          <w:p w14:paraId="55F56216" w14:textId="72A4D904" w:rsidR="002129B7" w:rsidRPr="0051294D" w:rsidRDefault="002129B7" w:rsidP="00C658B7">
            <w:pPr>
              <w:rPr>
                <w:color w:val="222A35"/>
                <w:sz w:val="16"/>
                <w:szCs w:val="16"/>
              </w:rPr>
            </w:pPr>
            <w:r w:rsidRPr="0051294D">
              <w:rPr>
                <w:color w:val="222A35"/>
                <w:sz w:val="16"/>
                <w:szCs w:val="16"/>
              </w:rPr>
              <w:t xml:space="preserve">Government effectiveness: -0.9                                          </w:t>
            </w:r>
          </w:p>
          <w:p w14:paraId="41C0CB4C" w14:textId="0F7BF6B8" w:rsidR="002129B7" w:rsidRPr="0051294D" w:rsidRDefault="002129B7" w:rsidP="00C658B7">
            <w:pPr>
              <w:rPr>
                <w:color w:val="222A35"/>
                <w:sz w:val="16"/>
                <w:szCs w:val="16"/>
              </w:rPr>
            </w:pPr>
            <w:r w:rsidRPr="0051294D">
              <w:rPr>
                <w:color w:val="222A35"/>
                <w:sz w:val="16"/>
                <w:szCs w:val="16"/>
              </w:rPr>
              <w:t xml:space="preserve">Political stability and absence of violence: -0.9                 </w:t>
            </w:r>
          </w:p>
          <w:p w14:paraId="1C43EC44" w14:textId="21B4AD8A" w:rsidR="002129B7" w:rsidRPr="0051294D" w:rsidRDefault="002129B7" w:rsidP="00C658B7">
            <w:pPr>
              <w:rPr>
                <w:color w:val="222A35"/>
                <w:sz w:val="16"/>
                <w:szCs w:val="16"/>
              </w:rPr>
            </w:pPr>
            <w:r w:rsidRPr="0051294D">
              <w:rPr>
                <w:color w:val="222A35"/>
                <w:sz w:val="16"/>
                <w:szCs w:val="16"/>
              </w:rPr>
              <w:t xml:space="preserve">Control of Corruption: -1.1                                                   </w:t>
            </w:r>
          </w:p>
          <w:p w14:paraId="74CBB561" w14:textId="2B723F8E" w:rsidR="002129B7" w:rsidRPr="0051294D" w:rsidRDefault="002129B7" w:rsidP="00C658B7">
            <w:pPr>
              <w:rPr>
                <w:color w:val="222A35"/>
                <w:sz w:val="16"/>
                <w:szCs w:val="16"/>
                <w:u w:val="single"/>
              </w:rPr>
            </w:pPr>
            <w:r w:rsidRPr="0051294D">
              <w:rPr>
                <w:color w:val="222A35"/>
                <w:sz w:val="16"/>
                <w:szCs w:val="16"/>
                <w:u w:val="single"/>
              </w:rPr>
              <w:t xml:space="preserve">Target: </w:t>
            </w:r>
          </w:p>
          <w:p w14:paraId="45FA51C9" w14:textId="58FCFBCF" w:rsidR="002129B7" w:rsidRPr="0051294D" w:rsidRDefault="002129B7" w:rsidP="00C658B7">
            <w:pPr>
              <w:rPr>
                <w:color w:val="222A35"/>
                <w:sz w:val="16"/>
                <w:szCs w:val="16"/>
              </w:rPr>
            </w:pPr>
            <w:r w:rsidRPr="0051294D">
              <w:rPr>
                <w:color w:val="222A35"/>
                <w:sz w:val="16"/>
                <w:szCs w:val="16"/>
              </w:rPr>
              <w:t xml:space="preserve">Voice and Accountability: 0.15                                             </w:t>
            </w:r>
          </w:p>
          <w:p w14:paraId="2F205620" w14:textId="7C550A23" w:rsidR="002129B7" w:rsidRPr="0051294D" w:rsidRDefault="002129B7" w:rsidP="00C658B7">
            <w:pPr>
              <w:rPr>
                <w:color w:val="222A35"/>
                <w:sz w:val="16"/>
                <w:szCs w:val="16"/>
              </w:rPr>
            </w:pPr>
            <w:r w:rsidRPr="0051294D">
              <w:rPr>
                <w:color w:val="222A35"/>
                <w:sz w:val="16"/>
                <w:szCs w:val="16"/>
              </w:rPr>
              <w:t xml:space="preserve">Government effectiveness: 0.10                                         </w:t>
            </w:r>
          </w:p>
          <w:p w14:paraId="0694D5C2" w14:textId="05227291" w:rsidR="002129B7" w:rsidRPr="0051294D" w:rsidRDefault="002129B7" w:rsidP="00C658B7">
            <w:pPr>
              <w:rPr>
                <w:color w:val="222A35"/>
                <w:sz w:val="16"/>
                <w:szCs w:val="16"/>
              </w:rPr>
            </w:pPr>
            <w:r w:rsidRPr="0051294D">
              <w:rPr>
                <w:color w:val="222A35"/>
                <w:sz w:val="16"/>
                <w:szCs w:val="16"/>
              </w:rPr>
              <w:t xml:space="preserve">Political stability and absence of violence: 0.10                 </w:t>
            </w:r>
          </w:p>
          <w:p w14:paraId="16D91592" w14:textId="1591C6FF" w:rsidR="002129B7" w:rsidRPr="0051294D" w:rsidRDefault="002129B7" w:rsidP="00C658B7">
            <w:pPr>
              <w:rPr>
                <w:color w:val="222A35"/>
                <w:sz w:val="16"/>
                <w:szCs w:val="16"/>
              </w:rPr>
            </w:pPr>
            <w:r w:rsidRPr="0051294D">
              <w:rPr>
                <w:color w:val="222A35"/>
                <w:sz w:val="16"/>
                <w:szCs w:val="16"/>
              </w:rPr>
              <w:t>Control of Corruption: 0.1</w:t>
            </w:r>
          </w:p>
          <w:p w14:paraId="211D4E51" w14:textId="148BDF75" w:rsidR="002129B7" w:rsidRPr="0051294D" w:rsidRDefault="002129B7" w:rsidP="00C658B7">
            <w:pPr>
              <w:rPr>
                <w:color w:val="222A35"/>
                <w:sz w:val="16"/>
                <w:szCs w:val="16"/>
              </w:rPr>
            </w:pPr>
          </w:p>
          <w:p w14:paraId="7C524FD1" w14:textId="3BC62DEE" w:rsidR="002129B7" w:rsidRPr="0051294D" w:rsidRDefault="002129B7" w:rsidP="00C658B7">
            <w:pPr>
              <w:rPr>
                <w:b/>
                <w:color w:val="222A35"/>
                <w:sz w:val="16"/>
                <w:szCs w:val="16"/>
              </w:rPr>
            </w:pPr>
            <w:r w:rsidRPr="0051294D">
              <w:rPr>
                <w:color w:val="222A35"/>
                <w:sz w:val="16"/>
                <w:szCs w:val="16"/>
              </w:rPr>
              <w:t xml:space="preserve"> </w:t>
            </w:r>
            <w:r w:rsidRPr="0051294D">
              <w:rPr>
                <w:b/>
                <w:color w:val="222A35"/>
                <w:sz w:val="16"/>
                <w:szCs w:val="16"/>
              </w:rPr>
              <w:t xml:space="preserve">2.2 Rule of law score  </w:t>
            </w:r>
          </w:p>
          <w:p w14:paraId="7CCCEF52" w14:textId="7E25DB88" w:rsidR="002129B7" w:rsidRPr="0051294D" w:rsidRDefault="002129B7" w:rsidP="00C658B7">
            <w:pPr>
              <w:rPr>
                <w:color w:val="222A35"/>
                <w:sz w:val="16"/>
                <w:szCs w:val="16"/>
              </w:rPr>
            </w:pPr>
            <w:r w:rsidRPr="0051294D">
              <w:rPr>
                <w:color w:val="222A35"/>
                <w:sz w:val="16"/>
                <w:szCs w:val="16"/>
                <w:u w:val="single"/>
              </w:rPr>
              <w:t>Baseline</w:t>
            </w:r>
            <w:r w:rsidRPr="0051294D">
              <w:rPr>
                <w:color w:val="222A35"/>
                <w:sz w:val="16"/>
                <w:szCs w:val="16"/>
              </w:rPr>
              <w:t xml:space="preserve"> (2015): 0.47</w:t>
            </w:r>
            <w:r w:rsidRPr="0051294D">
              <w:rPr>
                <w:color w:val="222A35"/>
                <w:sz w:val="16"/>
                <w:szCs w:val="16"/>
              </w:rPr>
              <w:tab/>
            </w:r>
          </w:p>
          <w:p w14:paraId="5D061A4B" w14:textId="4D5070F5" w:rsidR="002129B7" w:rsidRPr="0051294D" w:rsidRDefault="002129B7" w:rsidP="00C658B7">
            <w:pPr>
              <w:rPr>
                <w:color w:val="222A35"/>
                <w:sz w:val="16"/>
                <w:szCs w:val="16"/>
              </w:rPr>
            </w:pPr>
            <w:r w:rsidRPr="0051294D">
              <w:rPr>
                <w:color w:val="222A35"/>
                <w:sz w:val="16"/>
                <w:szCs w:val="16"/>
                <w:u w:val="single"/>
              </w:rPr>
              <w:t xml:space="preserve">Target: </w:t>
            </w:r>
            <w:r w:rsidRPr="0051294D">
              <w:rPr>
                <w:color w:val="222A35"/>
                <w:sz w:val="16"/>
                <w:szCs w:val="16"/>
              </w:rPr>
              <w:t>0.55</w:t>
            </w:r>
          </w:p>
          <w:p w14:paraId="7B8FAF5D" w14:textId="5FE264F1" w:rsidR="002129B7" w:rsidRPr="0051294D" w:rsidRDefault="002129B7" w:rsidP="0051294D">
            <w:pPr>
              <w:rPr>
                <w:bCs/>
                <w:color w:val="000000"/>
                <w:sz w:val="16"/>
                <w:szCs w:val="16"/>
              </w:rPr>
            </w:pPr>
          </w:p>
        </w:tc>
        <w:tc>
          <w:tcPr>
            <w:tcW w:w="1183" w:type="pct"/>
            <w:gridSpan w:val="3"/>
            <w:vMerge w:val="restart"/>
          </w:tcPr>
          <w:p w14:paraId="66B67B5B" w14:textId="13112F80" w:rsidR="00226E3B" w:rsidRPr="009F4A94" w:rsidRDefault="002129B7" w:rsidP="00C658B7">
            <w:pPr>
              <w:rPr>
                <w:bCs/>
                <w:sz w:val="16"/>
                <w:szCs w:val="16"/>
              </w:rPr>
            </w:pPr>
            <w:r w:rsidRPr="0051294D">
              <w:rPr>
                <w:bCs/>
                <w:sz w:val="16"/>
                <w:szCs w:val="16"/>
              </w:rPr>
              <w:t>2.1</w:t>
            </w:r>
            <w:r w:rsidR="00CA2F30" w:rsidRPr="009F4A94">
              <w:rPr>
                <w:bCs/>
                <w:sz w:val="16"/>
                <w:szCs w:val="16"/>
              </w:rPr>
              <w:t xml:space="preserve">. </w:t>
            </w:r>
            <w:r w:rsidR="00C107A6" w:rsidRPr="009F4A94">
              <w:rPr>
                <w:bCs/>
                <w:sz w:val="16"/>
                <w:szCs w:val="16"/>
              </w:rPr>
              <w:t>Worldwide Governance Indicators</w:t>
            </w:r>
            <w:r w:rsidR="00CA2F30" w:rsidRPr="009F4A94">
              <w:rPr>
                <w:bCs/>
                <w:sz w:val="16"/>
                <w:szCs w:val="16"/>
              </w:rPr>
              <w:t xml:space="preserve">; </w:t>
            </w:r>
            <w:r w:rsidRPr="009F4A94">
              <w:rPr>
                <w:bCs/>
                <w:sz w:val="16"/>
                <w:szCs w:val="16"/>
              </w:rPr>
              <w:t>W</w:t>
            </w:r>
            <w:r w:rsidR="00CA2F30" w:rsidRPr="009F4A94">
              <w:rPr>
                <w:bCs/>
                <w:sz w:val="16"/>
                <w:szCs w:val="16"/>
              </w:rPr>
              <w:t xml:space="preserve">orld Bank </w:t>
            </w:r>
          </w:p>
          <w:p w14:paraId="524783BC" w14:textId="62E2B8E3" w:rsidR="002129B7" w:rsidRPr="009F4A94" w:rsidRDefault="002129B7" w:rsidP="00C658B7">
            <w:pPr>
              <w:rPr>
                <w:bCs/>
                <w:sz w:val="16"/>
                <w:szCs w:val="16"/>
              </w:rPr>
            </w:pPr>
            <w:r w:rsidRPr="009F4A94">
              <w:rPr>
                <w:bCs/>
                <w:sz w:val="16"/>
                <w:szCs w:val="16"/>
              </w:rPr>
              <w:t>Annually</w:t>
            </w:r>
          </w:p>
          <w:p w14:paraId="1C95B45E" w14:textId="77777777" w:rsidR="002129B7" w:rsidRPr="009F4A94" w:rsidRDefault="002129B7" w:rsidP="00C658B7">
            <w:pPr>
              <w:rPr>
                <w:bCs/>
                <w:sz w:val="16"/>
                <w:szCs w:val="16"/>
              </w:rPr>
            </w:pPr>
          </w:p>
          <w:p w14:paraId="098AFC8C" w14:textId="1557FD5F" w:rsidR="00CA2F30" w:rsidRPr="009F4A94" w:rsidRDefault="002129B7" w:rsidP="00C658B7">
            <w:pPr>
              <w:rPr>
                <w:rStyle w:val="Hyperlink"/>
                <w:color w:val="auto"/>
                <w:sz w:val="16"/>
                <w:szCs w:val="16"/>
              </w:rPr>
            </w:pPr>
            <w:r w:rsidRPr="009F4A94">
              <w:rPr>
                <w:bCs/>
                <w:sz w:val="16"/>
                <w:szCs w:val="16"/>
              </w:rPr>
              <w:t>2.2</w:t>
            </w:r>
            <w:r w:rsidR="00CA2F30" w:rsidRPr="009F4A94">
              <w:rPr>
                <w:bCs/>
                <w:sz w:val="16"/>
                <w:szCs w:val="16"/>
              </w:rPr>
              <w:t xml:space="preserve">. </w:t>
            </w:r>
            <w:hyperlink r:id="rId23" w:history="1">
              <w:r w:rsidRPr="009F4A94">
                <w:rPr>
                  <w:rStyle w:val="Hyperlink"/>
                  <w:color w:val="auto"/>
                  <w:sz w:val="16"/>
                  <w:szCs w:val="16"/>
                </w:rPr>
                <w:t xml:space="preserve">Rule of </w:t>
              </w:r>
              <w:r w:rsidR="00CA2F30" w:rsidRPr="009F4A94">
                <w:rPr>
                  <w:rStyle w:val="Hyperlink"/>
                  <w:color w:val="auto"/>
                  <w:sz w:val="16"/>
                  <w:szCs w:val="16"/>
                </w:rPr>
                <w:t>l</w:t>
              </w:r>
              <w:r w:rsidRPr="009F4A94">
                <w:rPr>
                  <w:rStyle w:val="Hyperlink"/>
                  <w:color w:val="auto"/>
                  <w:sz w:val="16"/>
                  <w:szCs w:val="16"/>
                </w:rPr>
                <w:t>aw Index</w:t>
              </w:r>
            </w:hyperlink>
            <w:r w:rsidR="00CA2F30" w:rsidRPr="009F4A94">
              <w:rPr>
                <w:rStyle w:val="Hyperlink"/>
                <w:color w:val="auto"/>
                <w:sz w:val="16"/>
                <w:szCs w:val="16"/>
              </w:rPr>
              <w:t xml:space="preserve">; </w:t>
            </w:r>
            <w:r w:rsidRPr="009F4A94">
              <w:rPr>
                <w:rStyle w:val="Hyperlink"/>
                <w:color w:val="auto"/>
                <w:sz w:val="16"/>
                <w:szCs w:val="16"/>
              </w:rPr>
              <w:t>W</w:t>
            </w:r>
            <w:r w:rsidR="00C107A6" w:rsidRPr="009F4A94">
              <w:rPr>
                <w:rStyle w:val="Hyperlink"/>
                <w:color w:val="auto"/>
                <w:sz w:val="16"/>
                <w:szCs w:val="16"/>
              </w:rPr>
              <w:t>orld Justice Project</w:t>
            </w:r>
          </w:p>
          <w:p w14:paraId="6E1EC424" w14:textId="6F14CAEA" w:rsidR="002129B7" w:rsidRPr="0051294D" w:rsidRDefault="002129B7" w:rsidP="00C658B7">
            <w:pPr>
              <w:rPr>
                <w:b/>
                <w:bCs/>
                <w:color w:val="000000"/>
                <w:sz w:val="16"/>
                <w:szCs w:val="16"/>
                <w:lang w:val="en-GB"/>
              </w:rPr>
            </w:pPr>
            <w:r w:rsidRPr="009F4A94">
              <w:rPr>
                <w:rStyle w:val="Hyperlink"/>
                <w:color w:val="auto"/>
                <w:sz w:val="16"/>
                <w:szCs w:val="16"/>
              </w:rPr>
              <w:t>Annually</w:t>
            </w:r>
          </w:p>
        </w:tc>
        <w:tc>
          <w:tcPr>
            <w:tcW w:w="1474" w:type="pct"/>
            <w:gridSpan w:val="2"/>
            <w:vMerge w:val="restart"/>
            <w:tcMar>
              <w:top w:w="72" w:type="dxa"/>
              <w:left w:w="144" w:type="dxa"/>
              <w:bottom w:w="72" w:type="dxa"/>
              <w:right w:w="144" w:type="dxa"/>
            </w:tcMar>
          </w:tcPr>
          <w:p w14:paraId="2D5779AA" w14:textId="2949ACC7" w:rsidR="002129B7" w:rsidRPr="0051294D" w:rsidRDefault="002129B7" w:rsidP="00C658B7">
            <w:pPr>
              <w:rPr>
                <w:b/>
                <w:sz w:val="16"/>
                <w:szCs w:val="16"/>
              </w:rPr>
            </w:pPr>
            <w:r w:rsidRPr="0051294D">
              <w:rPr>
                <w:b/>
                <w:sz w:val="16"/>
                <w:szCs w:val="16"/>
              </w:rPr>
              <w:t xml:space="preserve">Output 2.1. Core functions and capacity of </w:t>
            </w:r>
            <w:r w:rsidR="00C67817">
              <w:rPr>
                <w:b/>
                <w:sz w:val="16"/>
                <w:szCs w:val="16"/>
              </w:rPr>
              <w:t>p</w:t>
            </w:r>
            <w:r w:rsidRPr="0051294D">
              <w:rPr>
                <w:b/>
                <w:sz w:val="16"/>
                <w:szCs w:val="16"/>
              </w:rPr>
              <w:t xml:space="preserve">arliament, key government institutions and local authorities strengthened for accountable, transparent and inclusive policymaking and implementation, as well as </w:t>
            </w:r>
            <w:r w:rsidR="00CA2F30">
              <w:rPr>
                <w:b/>
                <w:sz w:val="16"/>
                <w:szCs w:val="16"/>
              </w:rPr>
              <w:t>high-</w:t>
            </w:r>
            <w:r w:rsidRPr="0051294D">
              <w:rPr>
                <w:b/>
                <w:sz w:val="16"/>
                <w:szCs w:val="16"/>
              </w:rPr>
              <w:t>quality public service delivery</w:t>
            </w:r>
            <w:r w:rsidR="005E264A">
              <w:rPr>
                <w:b/>
                <w:sz w:val="16"/>
                <w:szCs w:val="16"/>
              </w:rPr>
              <w:t>.</w:t>
            </w:r>
            <w:r w:rsidRPr="0051294D">
              <w:rPr>
                <w:b/>
                <w:sz w:val="16"/>
                <w:szCs w:val="16"/>
              </w:rPr>
              <w:t xml:space="preserve"> (</w:t>
            </w:r>
            <w:r w:rsidR="009E31F6">
              <w:rPr>
                <w:b/>
                <w:sz w:val="16"/>
                <w:szCs w:val="16"/>
              </w:rPr>
              <w:t xml:space="preserve">SDGs </w:t>
            </w:r>
            <w:r w:rsidRPr="0051294D">
              <w:rPr>
                <w:b/>
                <w:sz w:val="16"/>
                <w:szCs w:val="16"/>
              </w:rPr>
              <w:t>16, 5, 3)</w:t>
            </w:r>
          </w:p>
          <w:p w14:paraId="0FE3277B" w14:textId="24243BB8" w:rsidR="002129B7" w:rsidRPr="0051294D" w:rsidRDefault="002129B7" w:rsidP="00C658B7">
            <w:pPr>
              <w:pStyle w:val="ListParagraph"/>
              <w:ind w:left="0"/>
              <w:rPr>
                <w:sz w:val="16"/>
                <w:szCs w:val="16"/>
              </w:rPr>
            </w:pPr>
            <w:r w:rsidRPr="0051294D">
              <w:rPr>
                <w:b/>
                <w:sz w:val="16"/>
                <w:szCs w:val="16"/>
              </w:rPr>
              <w:t>Indicator 2.1.1</w:t>
            </w:r>
            <w:r w:rsidR="00CA2F30">
              <w:rPr>
                <w:b/>
                <w:sz w:val="16"/>
                <w:szCs w:val="16"/>
              </w:rPr>
              <w:t>.</w:t>
            </w:r>
            <w:r w:rsidRPr="0051294D">
              <w:rPr>
                <w:iCs/>
                <w:color w:val="000000"/>
                <w:sz w:val="16"/>
                <w:szCs w:val="16"/>
                <w:lang w:val="en-GB"/>
              </w:rPr>
              <w:t xml:space="preserve"> Extent to which </w:t>
            </w:r>
            <w:r w:rsidR="00C67817">
              <w:rPr>
                <w:iCs/>
                <w:color w:val="000000"/>
                <w:sz w:val="16"/>
                <w:szCs w:val="16"/>
                <w:lang w:val="en-GB"/>
              </w:rPr>
              <w:t>p</w:t>
            </w:r>
            <w:r w:rsidRPr="0051294D">
              <w:rPr>
                <w:iCs/>
                <w:color w:val="000000"/>
                <w:sz w:val="16"/>
                <w:szCs w:val="16"/>
                <w:lang w:val="en-GB"/>
              </w:rPr>
              <w:t>arliament has improved its administrative and human resources capacities to discharge its mandates in relation to law-making, oversight and representation</w:t>
            </w:r>
          </w:p>
          <w:p w14:paraId="186E606B" w14:textId="73F3D637" w:rsidR="002129B7" w:rsidRPr="0051294D" w:rsidRDefault="002129B7" w:rsidP="00C658B7">
            <w:pPr>
              <w:pStyle w:val="ListParagraph"/>
              <w:ind w:left="0"/>
              <w:rPr>
                <w:sz w:val="16"/>
                <w:szCs w:val="16"/>
              </w:rPr>
            </w:pPr>
            <w:r w:rsidRPr="0051294D">
              <w:rPr>
                <w:b/>
                <w:sz w:val="16"/>
                <w:szCs w:val="16"/>
              </w:rPr>
              <w:t>Baseline</w:t>
            </w:r>
            <w:r w:rsidRPr="0051294D">
              <w:rPr>
                <w:sz w:val="16"/>
                <w:szCs w:val="16"/>
              </w:rPr>
              <w:t>:3</w:t>
            </w:r>
          </w:p>
          <w:p w14:paraId="30F6F742" w14:textId="266AC24F" w:rsidR="00CA2F30" w:rsidRDefault="002129B7" w:rsidP="00C658B7">
            <w:pPr>
              <w:pStyle w:val="ListParagraph"/>
              <w:ind w:left="0"/>
              <w:rPr>
                <w:sz w:val="16"/>
                <w:szCs w:val="16"/>
              </w:rPr>
            </w:pPr>
            <w:r w:rsidRPr="0051294D">
              <w:rPr>
                <w:b/>
                <w:sz w:val="16"/>
                <w:szCs w:val="16"/>
              </w:rPr>
              <w:t>Target: 4</w:t>
            </w:r>
            <w:r w:rsidRPr="0051294D">
              <w:rPr>
                <w:sz w:val="16"/>
                <w:szCs w:val="16"/>
              </w:rPr>
              <w:t xml:space="preserve"> </w:t>
            </w:r>
          </w:p>
          <w:p w14:paraId="5D75AE54" w14:textId="2E98A4CC" w:rsidR="002129B7" w:rsidRPr="0051294D" w:rsidRDefault="002129B7" w:rsidP="00C658B7">
            <w:pPr>
              <w:pStyle w:val="ListParagraph"/>
              <w:ind w:left="0"/>
              <w:rPr>
                <w:sz w:val="16"/>
                <w:szCs w:val="16"/>
              </w:rPr>
            </w:pPr>
            <w:r w:rsidRPr="0051294D">
              <w:rPr>
                <w:b/>
                <w:iCs/>
                <w:color w:val="000000"/>
                <w:sz w:val="16"/>
                <w:szCs w:val="16"/>
                <w:lang w:val="en-GB"/>
              </w:rPr>
              <w:t xml:space="preserve">Data source: </w:t>
            </w:r>
            <w:r w:rsidRPr="0051294D">
              <w:rPr>
                <w:iCs/>
                <w:color w:val="000000"/>
                <w:sz w:val="16"/>
                <w:szCs w:val="16"/>
                <w:lang w:val="en-GB"/>
              </w:rPr>
              <w:t>Parliament report</w:t>
            </w:r>
            <w:r w:rsidRPr="0051294D">
              <w:rPr>
                <w:b/>
                <w:iCs/>
                <w:color w:val="000000"/>
                <w:sz w:val="16"/>
                <w:szCs w:val="16"/>
                <w:lang w:val="en-GB"/>
              </w:rPr>
              <w:t xml:space="preserve"> </w:t>
            </w:r>
          </w:p>
          <w:p w14:paraId="06ADB4F8" w14:textId="583A3B23" w:rsidR="002129B7" w:rsidRPr="0051294D" w:rsidRDefault="002129B7" w:rsidP="00C658B7">
            <w:pPr>
              <w:pStyle w:val="ListParagraph"/>
              <w:ind w:left="0"/>
              <w:rPr>
                <w:sz w:val="16"/>
                <w:szCs w:val="16"/>
              </w:rPr>
            </w:pPr>
            <w:r w:rsidRPr="0051294D">
              <w:rPr>
                <w:b/>
                <w:sz w:val="16"/>
                <w:szCs w:val="16"/>
              </w:rPr>
              <w:t>Indicator 2.1.1</w:t>
            </w:r>
            <w:r w:rsidR="00CA2F30">
              <w:rPr>
                <w:b/>
                <w:sz w:val="16"/>
                <w:szCs w:val="16"/>
              </w:rPr>
              <w:t>.</w:t>
            </w:r>
            <w:r w:rsidRPr="0051294D">
              <w:rPr>
                <w:sz w:val="16"/>
                <w:szCs w:val="16"/>
              </w:rPr>
              <w:t xml:space="preserve"> Number of policy initiatives addressing needs of </w:t>
            </w:r>
            <w:r w:rsidRPr="00C107A6">
              <w:rPr>
                <w:sz w:val="16"/>
                <w:szCs w:val="16"/>
              </w:rPr>
              <w:t>underrepresented</w:t>
            </w:r>
            <w:r w:rsidRPr="0051294D">
              <w:rPr>
                <w:sz w:val="16"/>
                <w:szCs w:val="16"/>
              </w:rPr>
              <w:t xml:space="preserve"> and marginalized groups, consulted by </w:t>
            </w:r>
            <w:r w:rsidR="00C67817">
              <w:rPr>
                <w:sz w:val="16"/>
                <w:szCs w:val="16"/>
              </w:rPr>
              <w:t>p</w:t>
            </w:r>
            <w:r w:rsidRPr="0051294D">
              <w:rPr>
                <w:sz w:val="16"/>
                <w:szCs w:val="16"/>
              </w:rPr>
              <w:t>arliament</w:t>
            </w:r>
            <w:r w:rsidR="00CA2F30">
              <w:rPr>
                <w:sz w:val="16"/>
                <w:szCs w:val="16"/>
              </w:rPr>
              <w:t xml:space="preserve"> and </w:t>
            </w:r>
            <w:r w:rsidRPr="0051294D">
              <w:rPr>
                <w:sz w:val="16"/>
                <w:szCs w:val="16"/>
              </w:rPr>
              <w:t xml:space="preserve">Government with </w:t>
            </w:r>
            <w:r w:rsidR="00CA2F30">
              <w:rPr>
                <w:sz w:val="16"/>
                <w:szCs w:val="16"/>
              </w:rPr>
              <w:t xml:space="preserve">civil society organizations and </w:t>
            </w:r>
            <w:r w:rsidRPr="0051294D">
              <w:rPr>
                <w:iCs/>
                <w:color w:val="000000"/>
                <w:sz w:val="16"/>
                <w:szCs w:val="16"/>
                <w:lang w:val="en-GB"/>
              </w:rPr>
              <w:t>vulnerable population groups, especially women, youth, minorities and persons with disabilities</w:t>
            </w:r>
          </w:p>
          <w:p w14:paraId="51044983" w14:textId="77777777" w:rsidR="002129B7" w:rsidRPr="0051294D" w:rsidRDefault="002129B7" w:rsidP="00C658B7">
            <w:pPr>
              <w:pStyle w:val="ListParagraph"/>
              <w:ind w:left="0"/>
              <w:rPr>
                <w:sz w:val="16"/>
                <w:szCs w:val="16"/>
              </w:rPr>
            </w:pPr>
            <w:r w:rsidRPr="0051294D">
              <w:rPr>
                <w:b/>
                <w:sz w:val="16"/>
                <w:szCs w:val="16"/>
              </w:rPr>
              <w:t>Baseline</w:t>
            </w:r>
            <w:r w:rsidRPr="0051294D">
              <w:rPr>
                <w:sz w:val="16"/>
                <w:szCs w:val="16"/>
              </w:rPr>
              <w:t>: 2</w:t>
            </w:r>
          </w:p>
          <w:p w14:paraId="7FCBC011" w14:textId="77777777" w:rsidR="00CA2F30" w:rsidRDefault="002129B7" w:rsidP="00C658B7">
            <w:pPr>
              <w:pStyle w:val="ListParagraph"/>
              <w:ind w:left="0"/>
              <w:rPr>
                <w:sz w:val="16"/>
                <w:szCs w:val="16"/>
              </w:rPr>
            </w:pPr>
            <w:r w:rsidRPr="0051294D">
              <w:rPr>
                <w:b/>
                <w:sz w:val="16"/>
                <w:szCs w:val="16"/>
              </w:rPr>
              <w:t>Target</w:t>
            </w:r>
            <w:r w:rsidRPr="0051294D">
              <w:rPr>
                <w:sz w:val="16"/>
                <w:szCs w:val="16"/>
              </w:rPr>
              <w:t xml:space="preserve">:10 </w:t>
            </w:r>
          </w:p>
          <w:p w14:paraId="2C850201" w14:textId="29A02582" w:rsidR="002129B7" w:rsidRPr="0051294D" w:rsidRDefault="002129B7" w:rsidP="00C658B7">
            <w:pPr>
              <w:pStyle w:val="ListParagraph"/>
              <w:ind w:left="0"/>
              <w:rPr>
                <w:b/>
                <w:color w:val="222A35"/>
                <w:sz w:val="16"/>
                <w:szCs w:val="16"/>
              </w:rPr>
            </w:pPr>
            <w:r w:rsidRPr="0051294D">
              <w:rPr>
                <w:b/>
                <w:iCs/>
                <w:color w:val="000000"/>
                <w:sz w:val="16"/>
                <w:szCs w:val="16"/>
                <w:lang w:val="en-GB"/>
              </w:rPr>
              <w:t xml:space="preserve">Data source: </w:t>
            </w:r>
            <w:r w:rsidRPr="0051294D">
              <w:rPr>
                <w:iCs/>
                <w:color w:val="000000"/>
                <w:sz w:val="16"/>
                <w:szCs w:val="16"/>
                <w:lang w:val="en-GB"/>
              </w:rPr>
              <w:t>Parliament/Government reports</w:t>
            </w:r>
          </w:p>
          <w:p w14:paraId="05AAAAEC" w14:textId="54E40A74" w:rsidR="002129B7" w:rsidRPr="0051294D" w:rsidRDefault="002129B7" w:rsidP="00C658B7">
            <w:pPr>
              <w:rPr>
                <w:b/>
                <w:color w:val="222A35"/>
                <w:sz w:val="16"/>
                <w:szCs w:val="16"/>
              </w:rPr>
            </w:pPr>
            <w:r w:rsidRPr="0051294D">
              <w:rPr>
                <w:b/>
                <w:color w:val="222A35"/>
                <w:sz w:val="16"/>
                <w:szCs w:val="16"/>
              </w:rPr>
              <w:t>Indicator 2.1.2</w:t>
            </w:r>
            <w:r w:rsidR="00CA2F30">
              <w:rPr>
                <w:b/>
                <w:color w:val="222A35"/>
                <w:sz w:val="16"/>
                <w:szCs w:val="16"/>
              </w:rPr>
              <w:t>.</w:t>
            </w:r>
            <w:r w:rsidRPr="0051294D">
              <w:rPr>
                <w:b/>
                <w:color w:val="222A35"/>
                <w:sz w:val="16"/>
                <w:szCs w:val="16"/>
              </w:rPr>
              <w:t xml:space="preserve"> </w:t>
            </w:r>
            <w:r w:rsidR="00CA2F30">
              <w:rPr>
                <w:color w:val="222A35"/>
                <w:sz w:val="16"/>
                <w:szCs w:val="16"/>
              </w:rPr>
              <w:t>Percentage of</w:t>
            </w:r>
            <w:r w:rsidR="00CA2F30" w:rsidRPr="0051294D">
              <w:rPr>
                <w:color w:val="222A35"/>
                <w:sz w:val="16"/>
                <w:szCs w:val="16"/>
              </w:rPr>
              <w:t xml:space="preserve"> </w:t>
            </w:r>
            <w:r w:rsidR="00CA2F30">
              <w:rPr>
                <w:color w:val="222A35"/>
                <w:sz w:val="16"/>
                <w:szCs w:val="16"/>
              </w:rPr>
              <w:t>p</w:t>
            </w:r>
            <w:r w:rsidRPr="0051294D">
              <w:rPr>
                <w:color w:val="222A35"/>
                <w:sz w:val="16"/>
                <w:szCs w:val="16"/>
              </w:rPr>
              <w:t>opulation in target areas satisfied with their last experience of public services</w:t>
            </w:r>
            <w:r w:rsidR="00CA2F30">
              <w:rPr>
                <w:color w:val="222A35"/>
                <w:sz w:val="16"/>
                <w:szCs w:val="16"/>
              </w:rPr>
              <w:t>,</w:t>
            </w:r>
            <w:r w:rsidRPr="0051294D">
              <w:rPr>
                <w:color w:val="222A35"/>
                <w:sz w:val="16"/>
                <w:szCs w:val="16"/>
              </w:rPr>
              <w:t xml:space="preserve"> </w:t>
            </w:r>
            <w:r w:rsidRPr="0051294D">
              <w:rPr>
                <w:sz w:val="16"/>
                <w:szCs w:val="16"/>
              </w:rPr>
              <w:t>by sex, urban/rural and income</w:t>
            </w:r>
          </w:p>
          <w:p w14:paraId="7F6BC8F1" w14:textId="77777777" w:rsidR="002129B7" w:rsidRPr="0051294D" w:rsidRDefault="002129B7" w:rsidP="00C658B7">
            <w:pPr>
              <w:rPr>
                <w:color w:val="222A35"/>
                <w:sz w:val="16"/>
                <w:szCs w:val="16"/>
              </w:rPr>
            </w:pPr>
            <w:r w:rsidRPr="0051294D">
              <w:rPr>
                <w:b/>
                <w:color w:val="222A35"/>
                <w:sz w:val="16"/>
                <w:szCs w:val="16"/>
              </w:rPr>
              <w:t>Baseline:</w:t>
            </w:r>
            <w:r w:rsidRPr="0051294D">
              <w:rPr>
                <w:color w:val="222A35"/>
                <w:sz w:val="16"/>
                <w:szCs w:val="16"/>
              </w:rPr>
              <w:t xml:space="preserve"> 70%; no disaggregated data</w:t>
            </w:r>
            <w:r w:rsidRPr="0051294D">
              <w:rPr>
                <w:color w:val="222A35"/>
                <w:sz w:val="16"/>
                <w:szCs w:val="16"/>
              </w:rPr>
              <w:tab/>
            </w:r>
          </w:p>
          <w:p w14:paraId="2BA7C6FB" w14:textId="3455DCA3" w:rsidR="00CA2F30" w:rsidRDefault="002129B7" w:rsidP="00C658B7">
            <w:pPr>
              <w:rPr>
                <w:color w:val="222A35"/>
                <w:sz w:val="16"/>
                <w:szCs w:val="16"/>
              </w:rPr>
            </w:pPr>
            <w:r w:rsidRPr="0051294D">
              <w:rPr>
                <w:b/>
                <w:color w:val="222A35"/>
                <w:sz w:val="16"/>
                <w:szCs w:val="16"/>
              </w:rPr>
              <w:t xml:space="preserve">Target: </w:t>
            </w:r>
            <w:r w:rsidRPr="0051294D">
              <w:rPr>
                <w:color w:val="222A35"/>
                <w:sz w:val="16"/>
                <w:szCs w:val="16"/>
              </w:rPr>
              <w:t xml:space="preserve">increased by 10% </w:t>
            </w:r>
          </w:p>
          <w:p w14:paraId="6508C201" w14:textId="4256D4BB" w:rsidR="002129B7" w:rsidRPr="0051294D" w:rsidRDefault="002129B7" w:rsidP="00C658B7">
            <w:pPr>
              <w:rPr>
                <w:b/>
                <w:sz w:val="16"/>
                <w:szCs w:val="16"/>
              </w:rPr>
            </w:pPr>
            <w:r w:rsidRPr="0051294D">
              <w:rPr>
                <w:b/>
                <w:iCs/>
                <w:color w:val="000000"/>
                <w:sz w:val="16"/>
                <w:szCs w:val="16"/>
                <w:lang w:val="en-GB"/>
              </w:rPr>
              <w:t>Data source:</w:t>
            </w:r>
            <w:r w:rsidRPr="0051294D">
              <w:rPr>
                <w:sz w:val="16"/>
                <w:szCs w:val="16"/>
              </w:rPr>
              <w:t xml:space="preserve"> Survey on </w:t>
            </w:r>
            <w:r w:rsidR="00CA2F30">
              <w:rPr>
                <w:sz w:val="16"/>
                <w:szCs w:val="16"/>
              </w:rPr>
              <w:t>p</w:t>
            </w:r>
            <w:r w:rsidRPr="0051294D">
              <w:rPr>
                <w:sz w:val="16"/>
                <w:szCs w:val="16"/>
              </w:rPr>
              <w:t xml:space="preserve">erception of the </w:t>
            </w:r>
            <w:r w:rsidR="00CA2F30">
              <w:rPr>
                <w:sz w:val="16"/>
                <w:szCs w:val="16"/>
              </w:rPr>
              <w:t>a</w:t>
            </w:r>
            <w:r w:rsidRPr="0051294D">
              <w:rPr>
                <w:sz w:val="16"/>
                <w:szCs w:val="16"/>
              </w:rPr>
              <w:t xml:space="preserve">ccessibility and </w:t>
            </w:r>
            <w:r w:rsidR="00CA2F30">
              <w:rPr>
                <w:sz w:val="16"/>
                <w:szCs w:val="16"/>
              </w:rPr>
              <w:t>q</w:t>
            </w:r>
            <w:r w:rsidRPr="0051294D">
              <w:rPr>
                <w:sz w:val="16"/>
                <w:szCs w:val="16"/>
              </w:rPr>
              <w:t xml:space="preserve">uality of </w:t>
            </w:r>
            <w:r w:rsidR="00CA2F30">
              <w:rPr>
                <w:sz w:val="16"/>
                <w:szCs w:val="16"/>
              </w:rPr>
              <w:t>s</w:t>
            </w:r>
            <w:r w:rsidRPr="0051294D">
              <w:rPr>
                <w:sz w:val="16"/>
                <w:szCs w:val="16"/>
              </w:rPr>
              <w:t>ervices</w:t>
            </w:r>
          </w:p>
          <w:p w14:paraId="1C079554" w14:textId="4F1FAE75" w:rsidR="002129B7" w:rsidRPr="0051294D" w:rsidRDefault="002129B7" w:rsidP="00C658B7">
            <w:pPr>
              <w:pStyle w:val="ListParagraph"/>
              <w:ind w:left="0"/>
              <w:rPr>
                <w:sz w:val="16"/>
                <w:szCs w:val="16"/>
              </w:rPr>
            </w:pPr>
            <w:r w:rsidRPr="0051294D">
              <w:rPr>
                <w:b/>
                <w:sz w:val="16"/>
                <w:szCs w:val="16"/>
              </w:rPr>
              <w:t>Indicator: 2.1.3</w:t>
            </w:r>
            <w:r w:rsidR="006C0389">
              <w:rPr>
                <w:b/>
                <w:sz w:val="16"/>
                <w:szCs w:val="16"/>
              </w:rPr>
              <w:t>.</w:t>
            </w:r>
            <w:r w:rsidRPr="0051294D">
              <w:rPr>
                <w:sz w:val="16"/>
                <w:szCs w:val="16"/>
              </w:rPr>
              <w:t xml:space="preserve"> Coverage of HIV/AIDS and </w:t>
            </w:r>
            <w:r w:rsidR="00CA2F30">
              <w:rPr>
                <w:sz w:val="16"/>
                <w:szCs w:val="16"/>
              </w:rPr>
              <w:t>tuberculosis</w:t>
            </w:r>
            <w:r w:rsidR="00CA2F30" w:rsidRPr="0051294D">
              <w:rPr>
                <w:sz w:val="16"/>
                <w:szCs w:val="16"/>
              </w:rPr>
              <w:t xml:space="preserve"> </w:t>
            </w:r>
            <w:r w:rsidRPr="0051294D">
              <w:rPr>
                <w:sz w:val="16"/>
                <w:szCs w:val="16"/>
              </w:rPr>
              <w:t>services</w:t>
            </w:r>
            <w:r w:rsidR="00CA2F30">
              <w:rPr>
                <w:sz w:val="16"/>
                <w:szCs w:val="16"/>
              </w:rPr>
              <w:t>,</w:t>
            </w:r>
            <w:r w:rsidRPr="0051294D">
              <w:rPr>
                <w:sz w:val="16"/>
                <w:szCs w:val="16"/>
              </w:rPr>
              <w:t xml:space="preserve"> by sex and key population groups. </w:t>
            </w:r>
          </w:p>
          <w:p w14:paraId="69F87FBF" w14:textId="6AB0D4E1" w:rsidR="002129B7" w:rsidRPr="005E264A" w:rsidRDefault="002129B7" w:rsidP="00C658B7">
            <w:pPr>
              <w:pStyle w:val="ListParagraph"/>
              <w:ind w:left="0"/>
              <w:rPr>
                <w:sz w:val="16"/>
                <w:szCs w:val="16"/>
              </w:rPr>
            </w:pPr>
            <w:r w:rsidRPr="0051294D">
              <w:rPr>
                <w:b/>
                <w:sz w:val="16"/>
                <w:szCs w:val="16"/>
              </w:rPr>
              <w:t>Baseline:</w:t>
            </w:r>
            <w:r w:rsidRPr="0051294D">
              <w:rPr>
                <w:sz w:val="16"/>
                <w:szCs w:val="16"/>
              </w:rPr>
              <w:t xml:space="preserve"> </w:t>
            </w:r>
            <w:r w:rsidRPr="005E264A">
              <w:rPr>
                <w:sz w:val="16"/>
                <w:szCs w:val="16"/>
              </w:rPr>
              <w:t>18,318</w:t>
            </w:r>
            <w:r w:rsidR="006C0389" w:rsidRPr="00B11832">
              <w:rPr>
                <w:sz w:val="16"/>
                <w:szCs w:val="16"/>
              </w:rPr>
              <w:t>.</w:t>
            </w:r>
            <w:r w:rsidRPr="005E264A">
              <w:rPr>
                <w:sz w:val="16"/>
                <w:szCs w:val="16"/>
              </w:rPr>
              <w:t xml:space="preserve"> </w:t>
            </w:r>
            <w:r w:rsidR="006C0389" w:rsidRPr="00B516BB">
              <w:rPr>
                <w:sz w:val="16"/>
                <w:szCs w:val="16"/>
              </w:rPr>
              <w:t>People living with HI</w:t>
            </w:r>
            <w:r w:rsidR="002A2255">
              <w:rPr>
                <w:sz w:val="16"/>
                <w:szCs w:val="16"/>
              </w:rPr>
              <w:t>V</w:t>
            </w:r>
            <w:r w:rsidR="006C0389" w:rsidRPr="00B516BB">
              <w:rPr>
                <w:sz w:val="16"/>
                <w:szCs w:val="16"/>
              </w:rPr>
              <w:t xml:space="preserve"> (</w:t>
            </w:r>
            <w:r w:rsidRPr="005E264A">
              <w:rPr>
                <w:sz w:val="16"/>
                <w:szCs w:val="16"/>
              </w:rPr>
              <w:t>PLHIV</w:t>
            </w:r>
            <w:r w:rsidR="006C0389" w:rsidRPr="00B516BB">
              <w:rPr>
                <w:sz w:val="16"/>
                <w:szCs w:val="16"/>
              </w:rPr>
              <w:t>):</w:t>
            </w:r>
            <w:r w:rsidRPr="005E264A">
              <w:rPr>
                <w:sz w:val="16"/>
                <w:szCs w:val="16"/>
              </w:rPr>
              <w:t xml:space="preserve"> 1,383 (women 660, men 723)</w:t>
            </w:r>
            <w:r w:rsidR="006C0389" w:rsidRPr="00B516BB">
              <w:rPr>
                <w:sz w:val="16"/>
                <w:szCs w:val="16"/>
              </w:rPr>
              <w:t>;</w:t>
            </w:r>
            <w:r w:rsidRPr="005E264A">
              <w:rPr>
                <w:sz w:val="16"/>
                <w:szCs w:val="16"/>
              </w:rPr>
              <w:t xml:space="preserve"> </w:t>
            </w:r>
            <w:r w:rsidR="009F1E16" w:rsidRPr="00B516BB">
              <w:rPr>
                <w:sz w:val="16"/>
                <w:szCs w:val="16"/>
              </w:rPr>
              <w:t>People who inject drugs (</w:t>
            </w:r>
            <w:r w:rsidRPr="005E264A">
              <w:rPr>
                <w:sz w:val="16"/>
                <w:szCs w:val="16"/>
              </w:rPr>
              <w:t>PWID</w:t>
            </w:r>
            <w:r w:rsidR="009F1E16" w:rsidRPr="00B516BB">
              <w:rPr>
                <w:sz w:val="16"/>
                <w:szCs w:val="16"/>
              </w:rPr>
              <w:t>):</w:t>
            </w:r>
            <w:r w:rsidRPr="005E264A">
              <w:rPr>
                <w:sz w:val="16"/>
                <w:szCs w:val="16"/>
              </w:rPr>
              <w:t xml:space="preserve"> 11,405 (women 1,400, men 10,005), S</w:t>
            </w:r>
            <w:r w:rsidR="006C0389" w:rsidRPr="00B516BB">
              <w:rPr>
                <w:sz w:val="16"/>
                <w:szCs w:val="16"/>
              </w:rPr>
              <w:t>ex workers</w:t>
            </w:r>
            <w:r w:rsidR="009F1E16" w:rsidRPr="00B516BB">
              <w:rPr>
                <w:sz w:val="16"/>
                <w:szCs w:val="16"/>
              </w:rPr>
              <w:t>:</w:t>
            </w:r>
            <w:r w:rsidR="006C0389" w:rsidRPr="00B516BB">
              <w:rPr>
                <w:sz w:val="16"/>
                <w:szCs w:val="16"/>
              </w:rPr>
              <w:t xml:space="preserve"> </w:t>
            </w:r>
            <w:r w:rsidRPr="005E264A">
              <w:rPr>
                <w:sz w:val="16"/>
                <w:szCs w:val="16"/>
              </w:rPr>
              <w:t xml:space="preserve">3,813 (all </w:t>
            </w:r>
            <w:r w:rsidR="006C0389" w:rsidRPr="00C76BFF">
              <w:rPr>
                <w:sz w:val="16"/>
                <w:szCs w:val="16"/>
              </w:rPr>
              <w:t>women</w:t>
            </w:r>
            <w:r w:rsidRPr="005E264A">
              <w:rPr>
                <w:sz w:val="16"/>
                <w:szCs w:val="16"/>
              </w:rPr>
              <w:t>)</w:t>
            </w:r>
            <w:r w:rsidR="009F1E16" w:rsidRPr="00C76BFF">
              <w:rPr>
                <w:sz w:val="16"/>
                <w:szCs w:val="16"/>
              </w:rPr>
              <w:t>;</w:t>
            </w:r>
            <w:r w:rsidRPr="005E264A">
              <w:rPr>
                <w:sz w:val="16"/>
                <w:szCs w:val="16"/>
              </w:rPr>
              <w:t xml:space="preserve"> </w:t>
            </w:r>
            <w:r w:rsidR="009F1E16" w:rsidRPr="00C76BFF">
              <w:rPr>
                <w:sz w:val="16"/>
                <w:szCs w:val="16"/>
              </w:rPr>
              <w:t>men who have sex with (</w:t>
            </w:r>
            <w:r w:rsidRPr="005E264A">
              <w:rPr>
                <w:sz w:val="16"/>
                <w:szCs w:val="16"/>
              </w:rPr>
              <w:t>MSM</w:t>
            </w:r>
            <w:r w:rsidR="009F1E16" w:rsidRPr="00C76BFF">
              <w:rPr>
                <w:sz w:val="16"/>
                <w:szCs w:val="16"/>
              </w:rPr>
              <w:t>):</w:t>
            </w:r>
            <w:r w:rsidRPr="005E264A">
              <w:rPr>
                <w:sz w:val="16"/>
                <w:szCs w:val="16"/>
              </w:rPr>
              <w:t xml:space="preserve"> 1,717</w:t>
            </w:r>
          </w:p>
          <w:p w14:paraId="601EEE59" w14:textId="1B6A0D97" w:rsidR="00CA2F30" w:rsidRPr="00C76BFF" w:rsidRDefault="002129B7" w:rsidP="00C658B7">
            <w:pPr>
              <w:pStyle w:val="ListParagraph"/>
              <w:ind w:left="0"/>
              <w:rPr>
                <w:sz w:val="16"/>
                <w:szCs w:val="16"/>
                <w:highlight w:val="yellow"/>
              </w:rPr>
            </w:pPr>
            <w:r w:rsidRPr="005E264A">
              <w:rPr>
                <w:b/>
                <w:sz w:val="16"/>
                <w:szCs w:val="16"/>
              </w:rPr>
              <w:t>Target:</w:t>
            </w:r>
            <w:r w:rsidRPr="005E264A">
              <w:rPr>
                <w:sz w:val="16"/>
                <w:szCs w:val="16"/>
              </w:rPr>
              <w:t xml:space="preserve"> 25,591</w:t>
            </w:r>
            <w:r w:rsidR="005E264A" w:rsidRPr="00C76BFF">
              <w:rPr>
                <w:sz w:val="16"/>
                <w:szCs w:val="16"/>
              </w:rPr>
              <w:t>.</w:t>
            </w:r>
            <w:r w:rsidRPr="005E264A">
              <w:rPr>
                <w:sz w:val="16"/>
                <w:szCs w:val="16"/>
              </w:rPr>
              <w:t xml:space="preserve"> PLHIV</w:t>
            </w:r>
            <w:r w:rsidR="005E264A" w:rsidRPr="00C76BFF">
              <w:rPr>
                <w:sz w:val="16"/>
                <w:szCs w:val="16"/>
              </w:rPr>
              <w:t>:</w:t>
            </w:r>
            <w:r w:rsidRPr="005E264A">
              <w:rPr>
                <w:sz w:val="16"/>
                <w:szCs w:val="16"/>
              </w:rPr>
              <w:t xml:space="preserve"> 1,616 (women 775; men 841); PWID</w:t>
            </w:r>
            <w:r w:rsidR="005E264A" w:rsidRPr="00C76BFF">
              <w:rPr>
                <w:sz w:val="16"/>
                <w:szCs w:val="16"/>
              </w:rPr>
              <w:t>:</w:t>
            </w:r>
            <w:r w:rsidRPr="005E264A">
              <w:rPr>
                <w:sz w:val="16"/>
                <w:szCs w:val="16"/>
              </w:rPr>
              <w:t xml:space="preserve"> 15,000 (women 2,100, men 12,900); S</w:t>
            </w:r>
            <w:r w:rsidR="005E264A" w:rsidRPr="00C76BFF">
              <w:rPr>
                <w:sz w:val="16"/>
                <w:szCs w:val="16"/>
              </w:rPr>
              <w:t>ex workers:</w:t>
            </w:r>
            <w:r w:rsidRPr="005E264A">
              <w:rPr>
                <w:sz w:val="16"/>
                <w:szCs w:val="16"/>
              </w:rPr>
              <w:t xml:space="preserve"> 4,615 (all </w:t>
            </w:r>
            <w:r w:rsidR="005E264A" w:rsidRPr="00C76BFF">
              <w:rPr>
                <w:sz w:val="16"/>
                <w:szCs w:val="16"/>
              </w:rPr>
              <w:t>women</w:t>
            </w:r>
            <w:r w:rsidRPr="005E264A">
              <w:rPr>
                <w:sz w:val="16"/>
                <w:szCs w:val="16"/>
              </w:rPr>
              <w:t>); MSM</w:t>
            </w:r>
            <w:r w:rsidR="005E264A" w:rsidRPr="00C76BFF">
              <w:rPr>
                <w:sz w:val="16"/>
                <w:szCs w:val="16"/>
              </w:rPr>
              <w:t>:</w:t>
            </w:r>
            <w:r w:rsidRPr="005E264A">
              <w:rPr>
                <w:sz w:val="16"/>
                <w:szCs w:val="16"/>
              </w:rPr>
              <w:t xml:space="preserve"> 4,360</w:t>
            </w:r>
            <w:r w:rsidRPr="00C76BFF">
              <w:rPr>
                <w:sz w:val="16"/>
                <w:szCs w:val="16"/>
                <w:highlight w:val="yellow"/>
              </w:rPr>
              <w:t xml:space="preserve"> </w:t>
            </w:r>
          </w:p>
          <w:p w14:paraId="7D49A01E" w14:textId="0D786DF4" w:rsidR="002129B7" w:rsidRPr="0051294D" w:rsidRDefault="002129B7" w:rsidP="00C658B7">
            <w:pPr>
              <w:pStyle w:val="ListParagraph"/>
              <w:ind w:left="0"/>
              <w:rPr>
                <w:b/>
                <w:iCs/>
                <w:sz w:val="16"/>
                <w:szCs w:val="16"/>
                <w:lang w:val="en-GB"/>
              </w:rPr>
            </w:pPr>
            <w:r w:rsidRPr="006C0389">
              <w:rPr>
                <w:b/>
                <w:iCs/>
                <w:sz w:val="16"/>
                <w:szCs w:val="16"/>
                <w:lang w:val="en-GB"/>
              </w:rPr>
              <w:lastRenderedPageBreak/>
              <w:t xml:space="preserve">Data source: </w:t>
            </w:r>
            <w:r w:rsidRPr="006C0389">
              <w:rPr>
                <w:iCs/>
                <w:sz w:val="16"/>
                <w:szCs w:val="16"/>
                <w:lang w:val="en-GB"/>
              </w:rPr>
              <w:t>GFATM reports</w:t>
            </w:r>
          </w:p>
          <w:p w14:paraId="0C90A805" w14:textId="77777777" w:rsidR="002129B7" w:rsidRPr="0051294D" w:rsidRDefault="002129B7" w:rsidP="00C658B7">
            <w:pPr>
              <w:rPr>
                <w:b/>
                <w:iCs/>
                <w:color w:val="000000"/>
                <w:sz w:val="16"/>
                <w:szCs w:val="16"/>
                <w:lang w:val="en-GB"/>
              </w:rPr>
            </w:pPr>
          </w:p>
          <w:p w14:paraId="248A8AE1" w14:textId="08F40BBC" w:rsidR="002129B7" w:rsidRPr="0051294D" w:rsidRDefault="002129B7" w:rsidP="00C658B7">
            <w:pPr>
              <w:rPr>
                <w:iCs/>
                <w:color w:val="000000"/>
                <w:sz w:val="16"/>
                <w:szCs w:val="16"/>
                <w:lang w:val="en-GB"/>
              </w:rPr>
            </w:pPr>
            <w:r w:rsidRPr="0051294D">
              <w:rPr>
                <w:b/>
                <w:iCs/>
                <w:color w:val="000000"/>
                <w:sz w:val="16"/>
                <w:szCs w:val="16"/>
                <w:lang w:val="en-GB"/>
              </w:rPr>
              <w:t>Output 2.2</w:t>
            </w:r>
            <w:r w:rsidR="005E264A">
              <w:rPr>
                <w:b/>
                <w:iCs/>
                <w:color w:val="000000"/>
                <w:sz w:val="16"/>
                <w:szCs w:val="16"/>
                <w:lang w:val="en-GB"/>
              </w:rPr>
              <w:t>.</w:t>
            </w:r>
            <w:r w:rsidRPr="0051294D">
              <w:rPr>
                <w:iCs/>
                <w:color w:val="000000"/>
                <w:sz w:val="16"/>
                <w:szCs w:val="16"/>
                <w:lang w:val="en-GB"/>
              </w:rPr>
              <w:t xml:space="preserve"> </w:t>
            </w:r>
            <w:r w:rsidRPr="0051294D">
              <w:rPr>
                <w:b/>
                <w:iCs/>
                <w:color w:val="000000"/>
                <w:sz w:val="16"/>
                <w:szCs w:val="16"/>
                <w:lang w:val="en-GB"/>
              </w:rPr>
              <w:t>Justice system and institutions enabled to uphold rule of law</w:t>
            </w:r>
            <w:r w:rsidRPr="0051294D">
              <w:rPr>
                <w:iCs/>
                <w:color w:val="000000"/>
                <w:sz w:val="16"/>
                <w:szCs w:val="16"/>
                <w:lang w:val="en-GB"/>
              </w:rPr>
              <w:t xml:space="preserve">, </w:t>
            </w:r>
            <w:r w:rsidRPr="0051294D">
              <w:rPr>
                <w:b/>
                <w:iCs/>
                <w:color w:val="000000"/>
                <w:sz w:val="16"/>
                <w:szCs w:val="16"/>
                <w:lang w:val="en-GB"/>
              </w:rPr>
              <w:t>promote and protect human rights, and improve access to justice of vulnerable population groups, especially women, youth, minorities and persons with disabilities</w:t>
            </w:r>
            <w:r w:rsidRPr="0051294D">
              <w:rPr>
                <w:b/>
                <w:sz w:val="16"/>
                <w:szCs w:val="16"/>
              </w:rPr>
              <w:t>. (</w:t>
            </w:r>
            <w:r w:rsidRPr="00C107A6">
              <w:rPr>
                <w:b/>
                <w:sz w:val="16"/>
                <w:szCs w:val="16"/>
              </w:rPr>
              <w:t>16, 5</w:t>
            </w:r>
            <w:r w:rsidRPr="0051294D">
              <w:rPr>
                <w:b/>
                <w:sz w:val="16"/>
                <w:szCs w:val="16"/>
              </w:rPr>
              <w:t>)</w:t>
            </w:r>
          </w:p>
          <w:p w14:paraId="71FEA304" w14:textId="64F81D24" w:rsidR="002129B7" w:rsidRPr="0051294D" w:rsidRDefault="002129B7" w:rsidP="00C658B7">
            <w:pPr>
              <w:rPr>
                <w:iCs/>
                <w:sz w:val="16"/>
                <w:szCs w:val="16"/>
                <w:lang w:val="en-GB"/>
              </w:rPr>
            </w:pPr>
            <w:r w:rsidRPr="0051294D">
              <w:rPr>
                <w:b/>
                <w:iCs/>
                <w:color w:val="000000"/>
                <w:sz w:val="16"/>
                <w:szCs w:val="16"/>
                <w:lang w:val="en-GB"/>
              </w:rPr>
              <w:t>Indicator 2.2.1</w:t>
            </w:r>
            <w:r w:rsidR="005E264A">
              <w:rPr>
                <w:b/>
                <w:iCs/>
                <w:color w:val="000000"/>
                <w:sz w:val="16"/>
                <w:szCs w:val="16"/>
                <w:lang w:val="en-GB"/>
              </w:rPr>
              <w:t>.</w:t>
            </w:r>
            <w:r w:rsidRPr="0051294D">
              <w:rPr>
                <w:iCs/>
                <w:color w:val="000000"/>
                <w:sz w:val="16"/>
                <w:szCs w:val="16"/>
                <w:lang w:val="en-GB"/>
              </w:rPr>
              <w:t xml:space="preserve"> Number of</w:t>
            </w:r>
            <w:r w:rsidRPr="0051294D">
              <w:rPr>
                <w:sz w:val="16"/>
                <w:szCs w:val="16"/>
              </w:rPr>
              <w:t xml:space="preserve"> population who received access to justice through free legal aid services, by sex, age, minorities, </w:t>
            </w:r>
            <w:r w:rsidR="005E264A">
              <w:rPr>
                <w:sz w:val="16"/>
                <w:szCs w:val="16"/>
              </w:rPr>
              <w:t>people with disabilities (</w:t>
            </w:r>
            <w:r w:rsidRPr="0051294D">
              <w:rPr>
                <w:sz w:val="16"/>
                <w:szCs w:val="16"/>
              </w:rPr>
              <w:t>P</w:t>
            </w:r>
            <w:r w:rsidR="005E264A">
              <w:rPr>
                <w:sz w:val="16"/>
                <w:szCs w:val="16"/>
              </w:rPr>
              <w:t>W</w:t>
            </w:r>
            <w:r w:rsidRPr="0051294D">
              <w:rPr>
                <w:sz w:val="16"/>
                <w:szCs w:val="16"/>
              </w:rPr>
              <w:t>D</w:t>
            </w:r>
            <w:r w:rsidR="005E264A">
              <w:rPr>
                <w:sz w:val="16"/>
                <w:szCs w:val="16"/>
              </w:rPr>
              <w:t>)</w:t>
            </w:r>
          </w:p>
          <w:p w14:paraId="50C0C305" w14:textId="4C99B9EA" w:rsidR="002129B7" w:rsidRPr="0051294D" w:rsidRDefault="002129B7" w:rsidP="00C658B7">
            <w:pPr>
              <w:pStyle w:val="ListParagraph"/>
              <w:ind w:left="0"/>
              <w:rPr>
                <w:sz w:val="16"/>
                <w:szCs w:val="16"/>
              </w:rPr>
            </w:pPr>
            <w:r w:rsidRPr="0051294D">
              <w:rPr>
                <w:b/>
                <w:sz w:val="16"/>
                <w:szCs w:val="16"/>
              </w:rPr>
              <w:t>Baseline (2016):</w:t>
            </w:r>
            <w:r w:rsidRPr="0051294D">
              <w:rPr>
                <w:sz w:val="16"/>
                <w:szCs w:val="16"/>
              </w:rPr>
              <w:t xml:space="preserve"> 18,091, including </w:t>
            </w:r>
            <w:r w:rsidR="005E264A" w:rsidRPr="0051294D">
              <w:rPr>
                <w:sz w:val="16"/>
                <w:szCs w:val="16"/>
              </w:rPr>
              <w:t>9,272</w:t>
            </w:r>
            <w:r w:rsidR="005E264A">
              <w:rPr>
                <w:sz w:val="16"/>
                <w:szCs w:val="16"/>
              </w:rPr>
              <w:t xml:space="preserve"> </w:t>
            </w:r>
            <w:r w:rsidRPr="0051294D">
              <w:rPr>
                <w:sz w:val="16"/>
                <w:szCs w:val="16"/>
              </w:rPr>
              <w:t xml:space="preserve">women;  </w:t>
            </w:r>
            <w:r w:rsidRPr="00CA4DD2">
              <w:rPr>
                <w:sz w:val="16"/>
                <w:szCs w:val="16"/>
              </w:rPr>
              <w:t>P</w:t>
            </w:r>
            <w:r w:rsidR="005E264A" w:rsidRPr="00CA4DD2">
              <w:rPr>
                <w:sz w:val="16"/>
                <w:szCs w:val="16"/>
              </w:rPr>
              <w:t>W</w:t>
            </w:r>
            <w:r w:rsidRPr="00CA4DD2">
              <w:rPr>
                <w:sz w:val="16"/>
                <w:szCs w:val="16"/>
              </w:rPr>
              <w:t>D,</w:t>
            </w:r>
            <w:r w:rsidRPr="0051294D">
              <w:rPr>
                <w:rStyle w:val="FootnoteReference"/>
                <w:sz w:val="16"/>
                <w:szCs w:val="16"/>
              </w:rPr>
              <w:footnoteReference w:id="46"/>
            </w:r>
            <w:r w:rsidRPr="0051294D">
              <w:rPr>
                <w:sz w:val="16"/>
                <w:szCs w:val="16"/>
              </w:rPr>
              <w:t xml:space="preserve"> 4,522</w:t>
            </w:r>
            <w:r w:rsidR="005E264A" w:rsidRPr="0051294D">
              <w:rPr>
                <w:sz w:val="16"/>
                <w:szCs w:val="16"/>
              </w:rPr>
              <w:t xml:space="preserve"> minorities</w:t>
            </w:r>
          </w:p>
          <w:p w14:paraId="0E066652" w14:textId="57E0F9A1" w:rsidR="002129B7" w:rsidRPr="0051294D" w:rsidRDefault="002129B7" w:rsidP="00C658B7">
            <w:pPr>
              <w:pStyle w:val="ListParagraph"/>
              <w:ind w:left="0"/>
              <w:rPr>
                <w:sz w:val="16"/>
                <w:szCs w:val="16"/>
              </w:rPr>
            </w:pPr>
            <w:r w:rsidRPr="0051294D">
              <w:rPr>
                <w:b/>
                <w:sz w:val="16"/>
                <w:szCs w:val="16"/>
              </w:rPr>
              <w:t xml:space="preserve">Target: </w:t>
            </w:r>
            <w:r w:rsidRPr="0051294D">
              <w:rPr>
                <w:sz w:val="16"/>
                <w:szCs w:val="16"/>
              </w:rPr>
              <w:t xml:space="preserve">30,000, including </w:t>
            </w:r>
            <w:r w:rsidR="005E264A" w:rsidRPr="0051294D">
              <w:rPr>
                <w:sz w:val="16"/>
                <w:szCs w:val="16"/>
              </w:rPr>
              <w:t>20,000</w:t>
            </w:r>
            <w:r w:rsidR="005E264A">
              <w:rPr>
                <w:sz w:val="16"/>
                <w:szCs w:val="16"/>
              </w:rPr>
              <w:t xml:space="preserve"> </w:t>
            </w:r>
            <w:r w:rsidRPr="0051294D">
              <w:rPr>
                <w:sz w:val="16"/>
                <w:szCs w:val="16"/>
              </w:rPr>
              <w:t>women, P</w:t>
            </w:r>
            <w:r w:rsidR="005E264A">
              <w:rPr>
                <w:sz w:val="16"/>
                <w:szCs w:val="16"/>
              </w:rPr>
              <w:t>W</w:t>
            </w:r>
            <w:r w:rsidRPr="0051294D">
              <w:rPr>
                <w:sz w:val="16"/>
                <w:szCs w:val="16"/>
              </w:rPr>
              <w:t xml:space="preserve">D, </w:t>
            </w:r>
            <w:r w:rsidR="005E264A" w:rsidRPr="0051294D">
              <w:rPr>
                <w:sz w:val="16"/>
                <w:szCs w:val="16"/>
              </w:rPr>
              <w:t>6,000</w:t>
            </w:r>
            <w:r w:rsidR="005E264A">
              <w:rPr>
                <w:sz w:val="16"/>
                <w:szCs w:val="16"/>
              </w:rPr>
              <w:t xml:space="preserve"> </w:t>
            </w:r>
            <w:r w:rsidRPr="0051294D">
              <w:rPr>
                <w:sz w:val="16"/>
                <w:szCs w:val="16"/>
              </w:rPr>
              <w:t xml:space="preserve">minorities </w:t>
            </w:r>
          </w:p>
          <w:p w14:paraId="2690008D" w14:textId="3DF58B72" w:rsidR="002129B7" w:rsidRPr="0051294D" w:rsidRDefault="002129B7" w:rsidP="00C658B7">
            <w:pPr>
              <w:pStyle w:val="ListParagraph"/>
              <w:ind w:left="0"/>
              <w:rPr>
                <w:sz w:val="16"/>
                <w:szCs w:val="16"/>
              </w:rPr>
            </w:pPr>
            <w:r w:rsidRPr="0051294D">
              <w:rPr>
                <w:b/>
                <w:sz w:val="16"/>
                <w:szCs w:val="16"/>
              </w:rPr>
              <w:t>Data source</w:t>
            </w:r>
            <w:r w:rsidR="005E264A">
              <w:rPr>
                <w:b/>
                <w:sz w:val="16"/>
                <w:szCs w:val="16"/>
              </w:rPr>
              <w:t>:</w:t>
            </w:r>
            <w:r w:rsidRPr="0051294D">
              <w:rPr>
                <w:sz w:val="16"/>
                <w:szCs w:val="16"/>
              </w:rPr>
              <w:t xml:space="preserve"> Free </w:t>
            </w:r>
            <w:r w:rsidR="005E264A">
              <w:rPr>
                <w:sz w:val="16"/>
                <w:szCs w:val="16"/>
              </w:rPr>
              <w:t>l</w:t>
            </w:r>
            <w:r w:rsidRPr="0051294D">
              <w:rPr>
                <w:sz w:val="16"/>
                <w:szCs w:val="16"/>
              </w:rPr>
              <w:t xml:space="preserve">egal </w:t>
            </w:r>
            <w:r w:rsidR="005E264A">
              <w:rPr>
                <w:sz w:val="16"/>
                <w:szCs w:val="16"/>
              </w:rPr>
              <w:t>a</w:t>
            </w:r>
            <w:r w:rsidRPr="0051294D">
              <w:rPr>
                <w:sz w:val="16"/>
                <w:szCs w:val="16"/>
              </w:rPr>
              <w:t>id centr</w:t>
            </w:r>
            <w:r w:rsidR="005E264A">
              <w:rPr>
                <w:sz w:val="16"/>
                <w:szCs w:val="16"/>
              </w:rPr>
              <w:t>e</w:t>
            </w:r>
            <w:r w:rsidRPr="0051294D">
              <w:rPr>
                <w:sz w:val="16"/>
                <w:szCs w:val="16"/>
              </w:rPr>
              <w:t xml:space="preserve">s. </w:t>
            </w:r>
          </w:p>
          <w:p w14:paraId="7D71F3DD" w14:textId="22E74131" w:rsidR="002129B7" w:rsidRPr="0051294D" w:rsidRDefault="002129B7" w:rsidP="00C658B7">
            <w:pPr>
              <w:pStyle w:val="ListParagraph"/>
              <w:ind w:left="0"/>
              <w:rPr>
                <w:sz w:val="16"/>
                <w:szCs w:val="16"/>
              </w:rPr>
            </w:pPr>
            <w:r w:rsidRPr="0051294D">
              <w:rPr>
                <w:b/>
                <w:sz w:val="16"/>
                <w:szCs w:val="16"/>
              </w:rPr>
              <w:t>Indicator 2.2.2</w:t>
            </w:r>
            <w:r w:rsidR="005E264A">
              <w:rPr>
                <w:b/>
                <w:sz w:val="16"/>
                <w:szCs w:val="16"/>
              </w:rPr>
              <w:t>.</w:t>
            </w:r>
            <w:r w:rsidRPr="0051294D">
              <w:rPr>
                <w:sz w:val="16"/>
                <w:szCs w:val="16"/>
              </w:rPr>
              <w:t xml:space="preserve"> </w:t>
            </w:r>
            <w:r w:rsidR="005E264A">
              <w:rPr>
                <w:sz w:val="16"/>
                <w:szCs w:val="16"/>
              </w:rPr>
              <w:t>Percentage</w:t>
            </w:r>
            <w:r w:rsidR="005E264A" w:rsidRPr="0051294D">
              <w:rPr>
                <w:sz w:val="16"/>
                <w:szCs w:val="16"/>
              </w:rPr>
              <w:t xml:space="preserve"> </w:t>
            </w:r>
            <w:r w:rsidRPr="0051294D">
              <w:rPr>
                <w:sz w:val="16"/>
                <w:szCs w:val="16"/>
              </w:rPr>
              <w:t>of women currently under 24 married before the age of 18</w:t>
            </w:r>
          </w:p>
          <w:p w14:paraId="17A572E7" w14:textId="77777777" w:rsidR="002129B7" w:rsidRPr="0051294D" w:rsidRDefault="002129B7" w:rsidP="00C658B7">
            <w:pPr>
              <w:pStyle w:val="ListParagraph"/>
              <w:ind w:left="0"/>
              <w:rPr>
                <w:sz w:val="16"/>
                <w:szCs w:val="16"/>
              </w:rPr>
            </w:pPr>
            <w:r w:rsidRPr="0051294D">
              <w:rPr>
                <w:b/>
                <w:sz w:val="16"/>
                <w:szCs w:val="16"/>
              </w:rPr>
              <w:t>Baseline:</w:t>
            </w:r>
            <w:r w:rsidRPr="0051294D">
              <w:rPr>
                <w:sz w:val="16"/>
                <w:szCs w:val="16"/>
              </w:rPr>
              <w:t xml:space="preserve"> 13.3% (2016)</w:t>
            </w:r>
          </w:p>
          <w:p w14:paraId="618CFB26" w14:textId="77777777" w:rsidR="005E264A" w:rsidRDefault="002129B7" w:rsidP="00C658B7">
            <w:pPr>
              <w:pStyle w:val="ListParagraph"/>
              <w:ind w:left="0"/>
              <w:rPr>
                <w:sz w:val="16"/>
                <w:szCs w:val="16"/>
              </w:rPr>
            </w:pPr>
            <w:r w:rsidRPr="0051294D">
              <w:rPr>
                <w:b/>
                <w:sz w:val="16"/>
                <w:szCs w:val="16"/>
              </w:rPr>
              <w:t>Target</w:t>
            </w:r>
            <w:r w:rsidRPr="0051294D">
              <w:rPr>
                <w:sz w:val="16"/>
                <w:szCs w:val="16"/>
              </w:rPr>
              <w:t>: 8%</w:t>
            </w:r>
          </w:p>
          <w:p w14:paraId="4135C715" w14:textId="58A70391" w:rsidR="002129B7" w:rsidRPr="0051294D" w:rsidRDefault="002129B7" w:rsidP="00C658B7">
            <w:pPr>
              <w:pStyle w:val="ListParagraph"/>
              <w:ind w:left="0"/>
              <w:rPr>
                <w:sz w:val="16"/>
                <w:szCs w:val="16"/>
              </w:rPr>
            </w:pPr>
            <w:r w:rsidRPr="0051294D">
              <w:rPr>
                <w:b/>
                <w:sz w:val="16"/>
                <w:szCs w:val="16"/>
              </w:rPr>
              <w:t>Data source</w:t>
            </w:r>
            <w:r w:rsidRPr="0051294D">
              <w:rPr>
                <w:sz w:val="16"/>
                <w:szCs w:val="16"/>
              </w:rPr>
              <w:t>: UNICEF</w:t>
            </w:r>
          </w:p>
          <w:p w14:paraId="47234F30" w14:textId="048E6667" w:rsidR="002129B7" w:rsidRPr="0051294D" w:rsidRDefault="002129B7" w:rsidP="00C658B7">
            <w:pPr>
              <w:pStyle w:val="ListParagraph"/>
              <w:ind w:left="0"/>
              <w:rPr>
                <w:b/>
                <w:sz w:val="16"/>
                <w:szCs w:val="16"/>
              </w:rPr>
            </w:pPr>
            <w:r w:rsidRPr="0051294D">
              <w:rPr>
                <w:b/>
                <w:sz w:val="16"/>
                <w:szCs w:val="16"/>
              </w:rPr>
              <w:t>Indicator 2.2.3</w:t>
            </w:r>
            <w:r w:rsidRPr="0051294D">
              <w:rPr>
                <w:sz w:val="16"/>
                <w:szCs w:val="16"/>
              </w:rPr>
              <w:t>:</w:t>
            </w:r>
            <w:r w:rsidRPr="0051294D">
              <w:rPr>
                <w:color w:val="222A35"/>
                <w:sz w:val="16"/>
                <w:szCs w:val="16"/>
              </w:rPr>
              <w:t xml:space="preserve"> Status of compliance with </w:t>
            </w:r>
            <w:r w:rsidRPr="009135F7">
              <w:rPr>
                <w:color w:val="222A35"/>
                <w:sz w:val="16"/>
                <w:szCs w:val="16"/>
              </w:rPr>
              <w:t xml:space="preserve">Paris </w:t>
            </w:r>
            <w:r w:rsidR="005E264A" w:rsidRPr="009135F7">
              <w:rPr>
                <w:color w:val="222A35"/>
                <w:sz w:val="16"/>
                <w:szCs w:val="16"/>
              </w:rPr>
              <w:t>P</w:t>
            </w:r>
            <w:r w:rsidRPr="009135F7">
              <w:rPr>
                <w:color w:val="222A35"/>
                <w:sz w:val="16"/>
                <w:szCs w:val="16"/>
              </w:rPr>
              <w:t>rinciples</w:t>
            </w:r>
            <w:r w:rsidRPr="0051294D">
              <w:rPr>
                <w:color w:val="222A35"/>
                <w:sz w:val="16"/>
                <w:szCs w:val="16"/>
              </w:rPr>
              <w:t xml:space="preserve"> </w:t>
            </w:r>
            <w:r w:rsidR="005E264A">
              <w:rPr>
                <w:color w:val="222A35"/>
                <w:sz w:val="16"/>
                <w:szCs w:val="16"/>
              </w:rPr>
              <w:t>by</w:t>
            </w:r>
            <w:r w:rsidR="00493806">
              <w:rPr>
                <w:color w:val="222A35"/>
                <w:sz w:val="16"/>
                <w:szCs w:val="16"/>
              </w:rPr>
              <w:t xml:space="preserve"> </w:t>
            </w:r>
            <w:r w:rsidRPr="0051294D">
              <w:rPr>
                <w:color w:val="222A35"/>
                <w:sz w:val="16"/>
                <w:szCs w:val="16"/>
              </w:rPr>
              <w:t xml:space="preserve">national human rights institutions </w:t>
            </w:r>
          </w:p>
          <w:p w14:paraId="30A1C71F" w14:textId="77777777" w:rsidR="002129B7" w:rsidRPr="00493806" w:rsidRDefault="002129B7" w:rsidP="00C658B7">
            <w:pPr>
              <w:pStyle w:val="ListParagraph"/>
              <w:ind w:left="0"/>
              <w:rPr>
                <w:sz w:val="16"/>
                <w:szCs w:val="16"/>
              </w:rPr>
            </w:pPr>
            <w:r w:rsidRPr="00493806">
              <w:rPr>
                <w:b/>
                <w:sz w:val="16"/>
                <w:szCs w:val="16"/>
              </w:rPr>
              <w:t>Baseline 2016</w:t>
            </w:r>
            <w:r w:rsidRPr="00493806">
              <w:rPr>
                <w:sz w:val="16"/>
                <w:szCs w:val="16"/>
              </w:rPr>
              <w:t>:  B</w:t>
            </w:r>
          </w:p>
          <w:p w14:paraId="32995094" w14:textId="50E3F9A2" w:rsidR="005E264A" w:rsidRDefault="002129B7" w:rsidP="00C658B7">
            <w:pPr>
              <w:pStyle w:val="ListParagraph"/>
              <w:ind w:left="0"/>
              <w:rPr>
                <w:sz w:val="16"/>
                <w:szCs w:val="16"/>
              </w:rPr>
            </w:pPr>
            <w:r w:rsidRPr="00493806">
              <w:rPr>
                <w:b/>
                <w:sz w:val="16"/>
                <w:szCs w:val="16"/>
              </w:rPr>
              <w:t>Target</w:t>
            </w:r>
            <w:r w:rsidRPr="00493806">
              <w:rPr>
                <w:sz w:val="16"/>
                <w:szCs w:val="16"/>
              </w:rPr>
              <w:t>:  A</w:t>
            </w:r>
            <w:r w:rsidRPr="0051294D">
              <w:rPr>
                <w:sz w:val="16"/>
                <w:szCs w:val="16"/>
              </w:rPr>
              <w:t xml:space="preserve"> </w:t>
            </w:r>
          </w:p>
          <w:p w14:paraId="4960AC34" w14:textId="3AFA6249" w:rsidR="002129B7" w:rsidRPr="0051294D" w:rsidRDefault="002129B7" w:rsidP="00C658B7">
            <w:pPr>
              <w:pStyle w:val="ListParagraph"/>
              <w:ind w:left="0"/>
              <w:rPr>
                <w:sz w:val="16"/>
                <w:szCs w:val="16"/>
              </w:rPr>
            </w:pPr>
            <w:r w:rsidRPr="0051294D">
              <w:rPr>
                <w:b/>
                <w:sz w:val="16"/>
                <w:szCs w:val="16"/>
              </w:rPr>
              <w:t>Data source</w:t>
            </w:r>
            <w:r w:rsidRPr="0051294D">
              <w:rPr>
                <w:sz w:val="16"/>
                <w:szCs w:val="16"/>
              </w:rPr>
              <w:t>: Global Alliance of National Human Rights Institutions</w:t>
            </w:r>
          </w:p>
          <w:p w14:paraId="1CBB2CB8" w14:textId="77777777" w:rsidR="002129B7" w:rsidRPr="0051294D" w:rsidRDefault="002129B7" w:rsidP="00C658B7">
            <w:pPr>
              <w:pStyle w:val="ListParagraph"/>
              <w:ind w:left="0"/>
              <w:rPr>
                <w:b/>
                <w:sz w:val="16"/>
                <w:szCs w:val="16"/>
              </w:rPr>
            </w:pPr>
          </w:p>
          <w:p w14:paraId="53AF62EA" w14:textId="77777777" w:rsidR="002129B7" w:rsidRPr="0051294D" w:rsidRDefault="002129B7" w:rsidP="00C658B7">
            <w:pPr>
              <w:pStyle w:val="ListParagraph"/>
              <w:ind w:left="0"/>
              <w:rPr>
                <w:b/>
                <w:sz w:val="16"/>
                <w:szCs w:val="16"/>
              </w:rPr>
            </w:pPr>
            <w:r w:rsidRPr="0051294D">
              <w:rPr>
                <w:b/>
                <w:sz w:val="16"/>
                <w:szCs w:val="16"/>
              </w:rPr>
              <w:t>Output 2.3. Women and youth are empowered to participate in decision-making at national and local levels. (5)</w:t>
            </w:r>
          </w:p>
          <w:p w14:paraId="0A727D35" w14:textId="07453C9C" w:rsidR="002129B7" w:rsidRPr="0051294D" w:rsidRDefault="002129B7" w:rsidP="00C658B7">
            <w:pPr>
              <w:pStyle w:val="ListParagraph"/>
              <w:ind w:left="0"/>
              <w:rPr>
                <w:sz w:val="16"/>
                <w:szCs w:val="16"/>
              </w:rPr>
            </w:pPr>
            <w:r w:rsidRPr="0051294D">
              <w:rPr>
                <w:b/>
                <w:sz w:val="16"/>
                <w:szCs w:val="16"/>
              </w:rPr>
              <w:t>Indicator 2.3.1</w:t>
            </w:r>
            <w:r w:rsidR="005E264A">
              <w:rPr>
                <w:b/>
                <w:sz w:val="16"/>
                <w:szCs w:val="16"/>
              </w:rPr>
              <w:t>.</w:t>
            </w:r>
            <w:r w:rsidRPr="0051294D">
              <w:rPr>
                <w:sz w:val="16"/>
                <w:szCs w:val="16"/>
              </w:rPr>
              <w:t xml:space="preserve"> </w:t>
            </w:r>
            <w:r w:rsidR="005E264A">
              <w:rPr>
                <w:sz w:val="16"/>
                <w:szCs w:val="16"/>
              </w:rPr>
              <w:t>Percentage</w:t>
            </w:r>
            <w:r w:rsidR="005E264A" w:rsidRPr="0051294D">
              <w:rPr>
                <w:sz w:val="16"/>
                <w:szCs w:val="16"/>
              </w:rPr>
              <w:t xml:space="preserve"> </w:t>
            </w:r>
            <w:r w:rsidRPr="0051294D">
              <w:rPr>
                <w:sz w:val="16"/>
                <w:szCs w:val="16"/>
              </w:rPr>
              <w:t xml:space="preserve">of women and youth represented in </w:t>
            </w:r>
            <w:r w:rsidR="00C67817">
              <w:rPr>
                <w:sz w:val="16"/>
                <w:szCs w:val="16"/>
              </w:rPr>
              <w:t>p</w:t>
            </w:r>
            <w:r w:rsidRPr="0051294D">
              <w:rPr>
                <w:sz w:val="16"/>
                <w:szCs w:val="16"/>
              </w:rPr>
              <w:t>arliament and local councils</w:t>
            </w:r>
          </w:p>
          <w:p w14:paraId="653A17B1" w14:textId="0595D949" w:rsidR="002129B7" w:rsidRPr="0051294D" w:rsidRDefault="002129B7" w:rsidP="00C658B7">
            <w:pPr>
              <w:pStyle w:val="ListParagraph"/>
              <w:ind w:left="0"/>
              <w:rPr>
                <w:sz w:val="16"/>
                <w:szCs w:val="16"/>
              </w:rPr>
            </w:pPr>
            <w:r w:rsidRPr="0051294D">
              <w:rPr>
                <w:b/>
                <w:sz w:val="16"/>
                <w:szCs w:val="16"/>
              </w:rPr>
              <w:t>Baseline</w:t>
            </w:r>
            <w:r w:rsidR="00260ED0">
              <w:rPr>
                <w:b/>
                <w:sz w:val="16"/>
                <w:szCs w:val="16"/>
              </w:rPr>
              <w:t>:</w:t>
            </w:r>
            <w:r w:rsidRPr="0051294D">
              <w:rPr>
                <w:sz w:val="16"/>
                <w:szCs w:val="16"/>
              </w:rPr>
              <w:t xml:space="preserve"> 10% women </w:t>
            </w:r>
            <w:r w:rsidR="00260ED0">
              <w:rPr>
                <w:sz w:val="16"/>
                <w:szCs w:val="16"/>
              </w:rPr>
              <w:t xml:space="preserve">in </w:t>
            </w:r>
            <w:r w:rsidRPr="0051294D">
              <w:rPr>
                <w:sz w:val="16"/>
                <w:szCs w:val="16"/>
              </w:rPr>
              <w:t xml:space="preserve">local councils; 15% women in </w:t>
            </w:r>
            <w:r w:rsidR="00C67817">
              <w:rPr>
                <w:sz w:val="16"/>
                <w:szCs w:val="16"/>
              </w:rPr>
              <w:t>p</w:t>
            </w:r>
            <w:r w:rsidRPr="0051294D">
              <w:rPr>
                <w:sz w:val="16"/>
                <w:szCs w:val="16"/>
              </w:rPr>
              <w:t xml:space="preserve">arliament; 16% youth </w:t>
            </w:r>
            <w:r w:rsidR="00260ED0">
              <w:rPr>
                <w:sz w:val="16"/>
                <w:szCs w:val="16"/>
              </w:rPr>
              <w:t xml:space="preserve">in </w:t>
            </w:r>
            <w:r w:rsidRPr="0051294D">
              <w:rPr>
                <w:sz w:val="16"/>
                <w:szCs w:val="16"/>
              </w:rPr>
              <w:t>local councils; 10%</w:t>
            </w:r>
            <w:r w:rsidR="00260ED0">
              <w:rPr>
                <w:sz w:val="16"/>
                <w:szCs w:val="16"/>
              </w:rPr>
              <w:t> </w:t>
            </w:r>
            <w:r w:rsidRPr="0051294D">
              <w:rPr>
                <w:sz w:val="16"/>
                <w:szCs w:val="16"/>
              </w:rPr>
              <w:t xml:space="preserve">youth in </w:t>
            </w:r>
            <w:r w:rsidR="00C67817">
              <w:rPr>
                <w:sz w:val="16"/>
                <w:szCs w:val="16"/>
              </w:rPr>
              <w:t>p</w:t>
            </w:r>
            <w:r w:rsidRPr="0051294D">
              <w:rPr>
                <w:sz w:val="16"/>
                <w:szCs w:val="16"/>
              </w:rPr>
              <w:t>arliament</w:t>
            </w:r>
          </w:p>
          <w:p w14:paraId="7F83C9D5" w14:textId="27093D70" w:rsidR="00260ED0" w:rsidRDefault="002129B7" w:rsidP="00C658B7">
            <w:pPr>
              <w:pStyle w:val="ListParagraph"/>
              <w:ind w:left="0"/>
              <w:rPr>
                <w:sz w:val="16"/>
                <w:szCs w:val="16"/>
              </w:rPr>
            </w:pPr>
            <w:r w:rsidRPr="0051294D">
              <w:rPr>
                <w:b/>
                <w:sz w:val="16"/>
                <w:szCs w:val="16"/>
              </w:rPr>
              <w:t xml:space="preserve">Target: </w:t>
            </w:r>
            <w:r w:rsidRPr="0051294D">
              <w:rPr>
                <w:sz w:val="16"/>
                <w:szCs w:val="16"/>
              </w:rPr>
              <w:t xml:space="preserve">15%  women </w:t>
            </w:r>
            <w:r w:rsidR="00260ED0">
              <w:rPr>
                <w:sz w:val="16"/>
                <w:szCs w:val="16"/>
              </w:rPr>
              <w:t xml:space="preserve">in </w:t>
            </w:r>
            <w:r w:rsidRPr="0051294D">
              <w:rPr>
                <w:sz w:val="16"/>
                <w:szCs w:val="16"/>
              </w:rPr>
              <w:t xml:space="preserve">local councils; 20% in </w:t>
            </w:r>
            <w:r w:rsidR="00C67817">
              <w:rPr>
                <w:sz w:val="16"/>
                <w:szCs w:val="16"/>
              </w:rPr>
              <w:t>p</w:t>
            </w:r>
            <w:r w:rsidRPr="0051294D">
              <w:rPr>
                <w:sz w:val="16"/>
                <w:szCs w:val="16"/>
              </w:rPr>
              <w:t>arliament; 20% youth</w:t>
            </w:r>
            <w:r w:rsidR="00C67817">
              <w:rPr>
                <w:sz w:val="16"/>
                <w:szCs w:val="16"/>
              </w:rPr>
              <w:t xml:space="preserve"> in </w:t>
            </w:r>
            <w:r w:rsidRPr="0051294D">
              <w:rPr>
                <w:sz w:val="16"/>
                <w:szCs w:val="16"/>
              </w:rPr>
              <w:t xml:space="preserve">local councils; 15% youth in </w:t>
            </w:r>
            <w:r w:rsidR="00C67817">
              <w:rPr>
                <w:sz w:val="16"/>
                <w:szCs w:val="16"/>
              </w:rPr>
              <w:t>p</w:t>
            </w:r>
            <w:r w:rsidRPr="0051294D">
              <w:rPr>
                <w:sz w:val="16"/>
                <w:szCs w:val="16"/>
              </w:rPr>
              <w:t xml:space="preserve">arliament </w:t>
            </w:r>
          </w:p>
          <w:p w14:paraId="00ABDF69" w14:textId="234A96B1" w:rsidR="002129B7" w:rsidRPr="0051294D" w:rsidRDefault="002129B7" w:rsidP="00C658B7">
            <w:pPr>
              <w:pStyle w:val="ListParagraph"/>
              <w:ind w:left="0"/>
              <w:rPr>
                <w:sz w:val="16"/>
                <w:szCs w:val="16"/>
              </w:rPr>
            </w:pPr>
            <w:r w:rsidRPr="0051294D">
              <w:rPr>
                <w:b/>
                <w:sz w:val="16"/>
                <w:szCs w:val="16"/>
              </w:rPr>
              <w:t>Data source</w:t>
            </w:r>
            <w:r w:rsidRPr="0051294D">
              <w:rPr>
                <w:sz w:val="16"/>
                <w:szCs w:val="16"/>
              </w:rPr>
              <w:t>: Central Election Commission</w:t>
            </w:r>
          </w:p>
          <w:p w14:paraId="5CA66728" w14:textId="48A67E92" w:rsidR="002129B7" w:rsidRPr="0051294D" w:rsidRDefault="002129B7" w:rsidP="00C658B7">
            <w:pPr>
              <w:pStyle w:val="ListParagraph"/>
              <w:ind w:left="0"/>
              <w:rPr>
                <w:sz w:val="16"/>
                <w:szCs w:val="16"/>
                <w:lang w:val="en"/>
              </w:rPr>
            </w:pPr>
            <w:r w:rsidRPr="0051294D">
              <w:rPr>
                <w:b/>
                <w:sz w:val="16"/>
                <w:szCs w:val="16"/>
                <w:lang w:val="en"/>
              </w:rPr>
              <w:t>Indicator 2.3.2.</w:t>
            </w:r>
            <w:r w:rsidRPr="0051294D">
              <w:rPr>
                <w:sz w:val="16"/>
                <w:szCs w:val="16"/>
                <w:lang w:val="en"/>
              </w:rPr>
              <w:t xml:space="preserve"> Number of effective mechanisms to engage civil society (focus on women, youth or excluded groups) at national and local levels</w:t>
            </w:r>
          </w:p>
          <w:p w14:paraId="76D04338" w14:textId="77777777" w:rsidR="002129B7" w:rsidRPr="0051294D" w:rsidRDefault="002129B7" w:rsidP="00C658B7">
            <w:pPr>
              <w:rPr>
                <w:lang w:val="en"/>
              </w:rPr>
            </w:pPr>
            <w:r w:rsidRPr="0051294D">
              <w:rPr>
                <w:b/>
                <w:sz w:val="16"/>
                <w:szCs w:val="16"/>
                <w:lang w:val="en"/>
              </w:rPr>
              <w:t>Baseline:</w:t>
            </w:r>
            <w:r w:rsidRPr="0051294D">
              <w:rPr>
                <w:sz w:val="16"/>
                <w:szCs w:val="16"/>
                <w:lang w:val="en"/>
              </w:rPr>
              <w:t xml:space="preserve"> 35 mechanisms at national level, including with women and youth groups; 0 mechanisms at local level</w:t>
            </w:r>
          </w:p>
          <w:p w14:paraId="128F926B" w14:textId="77777777" w:rsidR="00260ED0" w:rsidRDefault="002129B7" w:rsidP="00C658B7">
            <w:pPr>
              <w:pStyle w:val="ListParagraph"/>
              <w:ind w:left="0"/>
              <w:rPr>
                <w:b/>
                <w:sz w:val="16"/>
                <w:szCs w:val="16"/>
                <w:lang w:val="en"/>
              </w:rPr>
            </w:pPr>
            <w:r w:rsidRPr="0051294D">
              <w:rPr>
                <w:b/>
                <w:sz w:val="16"/>
                <w:szCs w:val="16"/>
                <w:lang w:val="en"/>
              </w:rPr>
              <w:t xml:space="preserve">Target: </w:t>
            </w:r>
            <w:r w:rsidRPr="0051294D">
              <w:rPr>
                <w:sz w:val="16"/>
                <w:szCs w:val="16"/>
                <w:lang w:val="en"/>
              </w:rPr>
              <w:t xml:space="preserve">35 national </w:t>
            </w:r>
            <w:r w:rsidR="00260ED0">
              <w:rPr>
                <w:sz w:val="16"/>
                <w:szCs w:val="16"/>
                <w:lang w:val="en"/>
              </w:rPr>
              <w:t>(</w:t>
            </w:r>
            <w:r w:rsidRPr="0051294D">
              <w:rPr>
                <w:sz w:val="16"/>
                <w:szCs w:val="16"/>
                <w:lang w:val="en"/>
              </w:rPr>
              <w:t>all groups included</w:t>
            </w:r>
            <w:r w:rsidR="00260ED0">
              <w:rPr>
                <w:sz w:val="16"/>
                <w:szCs w:val="16"/>
                <w:lang w:val="en"/>
              </w:rPr>
              <w:t>)</w:t>
            </w:r>
            <w:r w:rsidRPr="0051294D">
              <w:rPr>
                <w:sz w:val="16"/>
                <w:szCs w:val="16"/>
                <w:lang w:val="en"/>
              </w:rPr>
              <w:t xml:space="preserve">, 10 local </w:t>
            </w:r>
            <w:r w:rsidR="00260ED0">
              <w:rPr>
                <w:sz w:val="16"/>
                <w:szCs w:val="16"/>
                <w:lang w:val="en"/>
              </w:rPr>
              <w:t>(</w:t>
            </w:r>
            <w:r w:rsidRPr="0051294D">
              <w:rPr>
                <w:sz w:val="16"/>
                <w:szCs w:val="16"/>
                <w:lang w:val="en"/>
              </w:rPr>
              <w:t>all groups included</w:t>
            </w:r>
            <w:r w:rsidR="00260ED0">
              <w:rPr>
                <w:sz w:val="16"/>
                <w:szCs w:val="16"/>
                <w:lang w:val="en"/>
              </w:rPr>
              <w:t>)</w:t>
            </w:r>
          </w:p>
          <w:p w14:paraId="2EAFB0E8" w14:textId="11C25F73" w:rsidR="002129B7" w:rsidRPr="0051294D" w:rsidRDefault="002129B7" w:rsidP="00C658B7">
            <w:pPr>
              <w:pStyle w:val="ListParagraph"/>
              <w:ind w:left="0"/>
              <w:rPr>
                <w:b/>
                <w:sz w:val="16"/>
                <w:szCs w:val="16"/>
                <w:lang w:val="en"/>
              </w:rPr>
            </w:pPr>
            <w:r w:rsidRPr="0051294D">
              <w:rPr>
                <w:b/>
                <w:sz w:val="16"/>
                <w:szCs w:val="16"/>
                <w:lang w:val="en"/>
              </w:rPr>
              <w:lastRenderedPageBreak/>
              <w:t>Data source:</w:t>
            </w:r>
            <w:r w:rsidRPr="00C76BFF">
              <w:rPr>
                <w:sz w:val="16"/>
                <w:szCs w:val="16"/>
                <w:lang w:val="en"/>
              </w:rPr>
              <w:t xml:space="preserve"> </w:t>
            </w:r>
            <w:r w:rsidRPr="00260ED0">
              <w:rPr>
                <w:sz w:val="16"/>
                <w:szCs w:val="16"/>
                <w:lang w:val="en"/>
              </w:rPr>
              <w:t>OPM</w:t>
            </w:r>
          </w:p>
          <w:p w14:paraId="25228DF9" w14:textId="77777777" w:rsidR="002129B7" w:rsidRPr="0051294D" w:rsidRDefault="002129B7" w:rsidP="00C658B7">
            <w:pPr>
              <w:pStyle w:val="ListParagraph"/>
              <w:ind w:left="0"/>
              <w:rPr>
                <w:b/>
                <w:sz w:val="16"/>
                <w:szCs w:val="16"/>
                <w:lang w:val="en"/>
              </w:rPr>
            </w:pPr>
          </w:p>
          <w:p w14:paraId="39AD4D31" w14:textId="28F0D27D" w:rsidR="002129B7" w:rsidRPr="0051294D" w:rsidRDefault="002129B7" w:rsidP="00C658B7">
            <w:pPr>
              <w:pStyle w:val="ListParagraph"/>
              <w:ind w:left="0"/>
              <w:rPr>
                <w:b/>
                <w:sz w:val="16"/>
                <w:szCs w:val="16"/>
              </w:rPr>
            </w:pPr>
            <w:r w:rsidRPr="0051294D">
              <w:rPr>
                <w:b/>
                <w:sz w:val="16"/>
                <w:szCs w:val="16"/>
              </w:rPr>
              <w:t>Output 2.4. Institutions and communities are enabled with inclusive policies, mechanisms and capacities</w:t>
            </w:r>
            <w:r w:rsidR="00260ED0">
              <w:rPr>
                <w:b/>
                <w:sz w:val="16"/>
                <w:szCs w:val="16"/>
              </w:rPr>
              <w:t>,</w:t>
            </w:r>
            <w:r w:rsidRPr="0051294D">
              <w:rPr>
                <w:b/>
                <w:sz w:val="16"/>
                <w:szCs w:val="16"/>
              </w:rPr>
              <w:t xml:space="preserve"> to address the risks of violent extremism and conflicts. (16, 5, 10)</w:t>
            </w:r>
          </w:p>
          <w:p w14:paraId="4877326F" w14:textId="3FF45A40" w:rsidR="002129B7" w:rsidRPr="0051294D" w:rsidRDefault="002129B7" w:rsidP="00C658B7">
            <w:pPr>
              <w:pStyle w:val="ListParagraph"/>
              <w:ind w:left="0"/>
              <w:rPr>
                <w:sz w:val="16"/>
                <w:szCs w:val="16"/>
              </w:rPr>
            </w:pPr>
            <w:r w:rsidRPr="0051294D">
              <w:rPr>
                <w:b/>
                <w:sz w:val="16"/>
                <w:szCs w:val="16"/>
              </w:rPr>
              <w:t>Indicator 2.4.1</w:t>
            </w:r>
            <w:r w:rsidR="00260ED0">
              <w:rPr>
                <w:b/>
                <w:sz w:val="16"/>
                <w:szCs w:val="16"/>
              </w:rPr>
              <w:t>.</w:t>
            </w:r>
            <w:r w:rsidRPr="0051294D">
              <w:rPr>
                <w:sz w:val="16"/>
                <w:szCs w:val="16"/>
              </w:rPr>
              <w:t xml:space="preserve"> Existence of policy framework and action plans for </w:t>
            </w:r>
            <w:r w:rsidR="00260ED0">
              <w:rPr>
                <w:sz w:val="16"/>
                <w:szCs w:val="16"/>
              </w:rPr>
              <w:t xml:space="preserve">preventing violent extremism </w:t>
            </w:r>
          </w:p>
          <w:p w14:paraId="7EA90367" w14:textId="07981A12" w:rsidR="00260ED0" w:rsidRDefault="002129B7" w:rsidP="00C658B7">
            <w:pPr>
              <w:pStyle w:val="ListParagraph"/>
              <w:ind w:left="0"/>
              <w:rPr>
                <w:sz w:val="16"/>
                <w:szCs w:val="16"/>
              </w:rPr>
            </w:pPr>
            <w:r w:rsidRPr="0051294D">
              <w:rPr>
                <w:b/>
                <w:sz w:val="16"/>
                <w:szCs w:val="16"/>
              </w:rPr>
              <w:t>Baseline</w:t>
            </w:r>
            <w:r w:rsidR="00260ED0">
              <w:rPr>
                <w:b/>
                <w:sz w:val="16"/>
                <w:szCs w:val="16"/>
              </w:rPr>
              <w:t>:</w:t>
            </w:r>
            <w:r w:rsidRPr="0051294D">
              <w:rPr>
                <w:sz w:val="16"/>
                <w:szCs w:val="16"/>
              </w:rPr>
              <w:t xml:space="preserve"> No; </w:t>
            </w:r>
            <w:r w:rsidRPr="0051294D">
              <w:rPr>
                <w:b/>
                <w:sz w:val="16"/>
                <w:szCs w:val="16"/>
              </w:rPr>
              <w:t>Target:</w:t>
            </w:r>
            <w:r w:rsidRPr="0051294D">
              <w:rPr>
                <w:sz w:val="16"/>
                <w:szCs w:val="16"/>
              </w:rPr>
              <w:t xml:space="preserve"> Yes </w:t>
            </w:r>
          </w:p>
          <w:p w14:paraId="1FD699CD" w14:textId="14D65C8B" w:rsidR="002129B7" w:rsidRPr="0051294D" w:rsidRDefault="002129B7" w:rsidP="00C658B7">
            <w:pPr>
              <w:pStyle w:val="ListParagraph"/>
              <w:ind w:left="0"/>
              <w:rPr>
                <w:sz w:val="16"/>
                <w:szCs w:val="16"/>
              </w:rPr>
            </w:pPr>
            <w:r w:rsidRPr="0051294D">
              <w:rPr>
                <w:b/>
                <w:sz w:val="16"/>
                <w:szCs w:val="16"/>
              </w:rPr>
              <w:t>Data source</w:t>
            </w:r>
            <w:r w:rsidRPr="0051294D">
              <w:rPr>
                <w:sz w:val="16"/>
                <w:szCs w:val="16"/>
              </w:rPr>
              <w:t>: OPM</w:t>
            </w:r>
          </w:p>
          <w:p w14:paraId="06D72046" w14:textId="380C4CEB" w:rsidR="002129B7" w:rsidRPr="0051294D" w:rsidRDefault="002129B7" w:rsidP="00C658B7">
            <w:pPr>
              <w:pStyle w:val="ListParagraph"/>
              <w:ind w:left="0"/>
              <w:rPr>
                <w:sz w:val="16"/>
                <w:szCs w:val="16"/>
              </w:rPr>
            </w:pPr>
            <w:r w:rsidRPr="0051294D">
              <w:rPr>
                <w:b/>
                <w:sz w:val="16"/>
                <w:szCs w:val="16"/>
              </w:rPr>
              <w:t>Indicator 2.4.2</w:t>
            </w:r>
            <w:r w:rsidRPr="0051294D">
              <w:rPr>
                <w:sz w:val="16"/>
                <w:szCs w:val="16"/>
              </w:rPr>
              <w:t xml:space="preserve">: </w:t>
            </w:r>
            <w:r w:rsidR="00260ED0">
              <w:rPr>
                <w:sz w:val="16"/>
                <w:szCs w:val="16"/>
              </w:rPr>
              <w:t>Percentage</w:t>
            </w:r>
            <w:r w:rsidR="00260ED0" w:rsidRPr="0051294D">
              <w:rPr>
                <w:sz w:val="16"/>
                <w:szCs w:val="16"/>
              </w:rPr>
              <w:t xml:space="preserve"> </w:t>
            </w:r>
            <w:r w:rsidRPr="0051294D">
              <w:rPr>
                <w:sz w:val="16"/>
                <w:szCs w:val="16"/>
              </w:rPr>
              <w:t>of implemented measures/recommendations of action plan</w:t>
            </w:r>
            <w:r w:rsidR="004F1645">
              <w:rPr>
                <w:sz w:val="16"/>
                <w:szCs w:val="16"/>
              </w:rPr>
              <w:t xml:space="preserve"> to prevent violent extremism</w:t>
            </w:r>
          </w:p>
          <w:p w14:paraId="05FDC5E5" w14:textId="77777777" w:rsidR="002129B7" w:rsidRPr="0051294D" w:rsidRDefault="002129B7" w:rsidP="00C658B7">
            <w:pPr>
              <w:pStyle w:val="ListParagraph"/>
              <w:ind w:left="0"/>
              <w:rPr>
                <w:sz w:val="16"/>
                <w:szCs w:val="16"/>
              </w:rPr>
            </w:pPr>
            <w:r w:rsidRPr="0051294D">
              <w:rPr>
                <w:b/>
                <w:sz w:val="16"/>
                <w:szCs w:val="16"/>
              </w:rPr>
              <w:t>Baseline:</w:t>
            </w:r>
            <w:r w:rsidRPr="0051294D">
              <w:rPr>
                <w:sz w:val="16"/>
                <w:szCs w:val="16"/>
              </w:rPr>
              <w:t xml:space="preserve"> 0%; </w:t>
            </w:r>
            <w:r w:rsidRPr="0051294D">
              <w:rPr>
                <w:b/>
                <w:sz w:val="16"/>
                <w:szCs w:val="16"/>
              </w:rPr>
              <w:t>Target:</w:t>
            </w:r>
            <w:r w:rsidRPr="0051294D">
              <w:rPr>
                <w:sz w:val="16"/>
                <w:szCs w:val="16"/>
              </w:rPr>
              <w:t xml:space="preserve"> 50%; </w:t>
            </w:r>
            <w:r w:rsidRPr="0051294D">
              <w:rPr>
                <w:b/>
                <w:sz w:val="16"/>
                <w:szCs w:val="16"/>
              </w:rPr>
              <w:t>Data source:</w:t>
            </w:r>
            <w:r w:rsidRPr="0051294D">
              <w:rPr>
                <w:sz w:val="16"/>
                <w:szCs w:val="16"/>
              </w:rPr>
              <w:t xml:space="preserve"> OPM</w:t>
            </w:r>
          </w:p>
          <w:p w14:paraId="739D98F6" w14:textId="3FF95568" w:rsidR="002129B7" w:rsidRPr="0051294D" w:rsidRDefault="002129B7" w:rsidP="00C658B7">
            <w:pPr>
              <w:pStyle w:val="ListParagraph"/>
              <w:ind w:left="0"/>
              <w:rPr>
                <w:sz w:val="16"/>
                <w:szCs w:val="16"/>
              </w:rPr>
            </w:pPr>
            <w:r w:rsidRPr="0051294D">
              <w:rPr>
                <w:b/>
                <w:sz w:val="16"/>
                <w:szCs w:val="16"/>
              </w:rPr>
              <w:t>Indicator 2.4.3:</w:t>
            </w:r>
            <w:r w:rsidRPr="0051294D">
              <w:rPr>
                <w:sz w:val="16"/>
                <w:szCs w:val="16"/>
                <w:u w:color="000000"/>
                <w:lang w:eastAsia="ko-KR"/>
              </w:rPr>
              <w:t xml:space="preserve"> Number of job opportunities created for at-risk young men and women age</w:t>
            </w:r>
            <w:r w:rsidR="00BF035C">
              <w:rPr>
                <w:sz w:val="16"/>
                <w:szCs w:val="16"/>
                <w:u w:color="000000"/>
                <w:lang w:eastAsia="ko-KR"/>
              </w:rPr>
              <w:t>d</w:t>
            </w:r>
            <w:r w:rsidRPr="0051294D">
              <w:rPr>
                <w:sz w:val="16"/>
                <w:szCs w:val="16"/>
                <w:u w:color="000000"/>
                <w:lang w:eastAsia="ko-KR"/>
              </w:rPr>
              <w:t xml:space="preserve"> 18</w:t>
            </w:r>
            <w:r w:rsidR="00BF035C">
              <w:rPr>
                <w:sz w:val="16"/>
                <w:szCs w:val="16"/>
                <w:u w:color="000000"/>
                <w:lang w:eastAsia="ko-KR"/>
              </w:rPr>
              <w:t>-</w:t>
            </w:r>
            <w:r w:rsidRPr="0051294D">
              <w:rPr>
                <w:sz w:val="16"/>
                <w:szCs w:val="16"/>
                <w:u w:color="000000"/>
                <w:lang w:eastAsia="ko-KR"/>
              </w:rPr>
              <w:t>30 in areas threatened by the radicalization</w:t>
            </w:r>
          </w:p>
          <w:p w14:paraId="00020D1B" w14:textId="77777777" w:rsidR="002129B7" w:rsidRPr="0051294D" w:rsidRDefault="002129B7" w:rsidP="00C658B7">
            <w:pPr>
              <w:pStyle w:val="ListParagraph"/>
              <w:ind w:left="0"/>
              <w:rPr>
                <w:sz w:val="16"/>
                <w:szCs w:val="16"/>
              </w:rPr>
            </w:pPr>
            <w:r w:rsidRPr="0051294D">
              <w:rPr>
                <w:b/>
                <w:sz w:val="16"/>
                <w:szCs w:val="16"/>
              </w:rPr>
              <w:t>Baseline:</w:t>
            </w:r>
            <w:r w:rsidRPr="0051294D">
              <w:rPr>
                <w:sz w:val="16"/>
                <w:szCs w:val="16"/>
              </w:rPr>
              <w:t xml:space="preserve"> 0</w:t>
            </w:r>
          </w:p>
          <w:p w14:paraId="68347CFE" w14:textId="2F7EBE32" w:rsidR="00BF035C" w:rsidRDefault="002129B7" w:rsidP="00C658B7">
            <w:pPr>
              <w:pStyle w:val="ListParagraph"/>
              <w:ind w:left="0"/>
              <w:rPr>
                <w:sz w:val="16"/>
                <w:szCs w:val="16"/>
              </w:rPr>
            </w:pPr>
            <w:r w:rsidRPr="0051294D">
              <w:rPr>
                <w:b/>
                <w:sz w:val="16"/>
                <w:szCs w:val="16"/>
              </w:rPr>
              <w:t>Target:</w:t>
            </w:r>
            <w:r w:rsidRPr="0051294D">
              <w:rPr>
                <w:sz w:val="16"/>
                <w:szCs w:val="16"/>
              </w:rPr>
              <w:t xml:space="preserve"> 500 age</w:t>
            </w:r>
            <w:r w:rsidR="00BF035C">
              <w:rPr>
                <w:sz w:val="16"/>
                <w:szCs w:val="16"/>
              </w:rPr>
              <w:t>d</w:t>
            </w:r>
            <w:r w:rsidRPr="0051294D">
              <w:rPr>
                <w:sz w:val="16"/>
                <w:szCs w:val="16"/>
              </w:rPr>
              <w:t xml:space="preserve"> 18-30, including 250 women </w:t>
            </w:r>
          </w:p>
          <w:p w14:paraId="69BD8279" w14:textId="2C5360A1" w:rsidR="002129B7" w:rsidRPr="0051294D" w:rsidRDefault="002129B7" w:rsidP="00C658B7">
            <w:pPr>
              <w:pStyle w:val="ListParagraph"/>
              <w:ind w:left="0"/>
              <w:rPr>
                <w:sz w:val="16"/>
                <w:szCs w:val="16"/>
              </w:rPr>
            </w:pPr>
            <w:r w:rsidRPr="0051294D">
              <w:rPr>
                <w:b/>
                <w:sz w:val="16"/>
                <w:szCs w:val="16"/>
              </w:rPr>
              <w:t>Data source</w:t>
            </w:r>
            <w:r w:rsidRPr="0051294D">
              <w:rPr>
                <w:sz w:val="16"/>
                <w:szCs w:val="16"/>
              </w:rPr>
              <w:t>: NSC</w:t>
            </w:r>
          </w:p>
          <w:p w14:paraId="2643489B" w14:textId="4F80D0B7" w:rsidR="002129B7" w:rsidRPr="0051294D" w:rsidRDefault="002129B7" w:rsidP="00C658B7">
            <w:pPr>
              <w:pStyle w:val="ListParagraph"/>
              <w:ind w:left="0"/>
              <w:rPr>
                <w:sz w:val="16"/>
                <w:szCs w:val="16"/>
              </w:rPr>
            </w:pPr>
            <w:r w:rsidRPr="0051294D">
              <w:rPr>
                <w:b/>
                <w:sz w:val="16"/>
                <w:szCs w:val="16"/>
              </w:rPr>
              <w:t>Indicator 2.4.4</w:t>
            </w:r>
            <w:r w:rsidR="00BF035C">
              <w:rPr>
                <w:b/>
                <w:sz w:val="16"/>
                <w:szCs w:val="16"/>
              </w:rPr>
              <w:t>.</w:t>
            </w:r>
            <w:r w:rsidRPr="0051294D">
              <w:rPr>
                <w:sz w:val="16"/>
                <w:szCs w:val="16"/>
              </w:rPr>
              <w:t xml:space="preserve"> Number of conflicts in border areas</w:t>
            </w:r>
          </w:p>
          <w:p w14:paraId="7E45322E" w14:textId="1BD3E682" w:rsidR="002129B7" w:rsidRPr="0051294D" w:rsidRDefault="002129B7" w:rsidP="00C658B7">
            <w:pPr>
              <w:pStyle w:val="ListParagraph"/>
              <w:ind w:left="0"/>
              <w:rPr>
                <w:sz w:val="16"/>
                <w:szCs w:val="16"/>
              </w:rPr>
            </w:pPr>
            <w:r w:rsidRPr="0051294D">
              <w:rPr>
                <w:b/>
                <w:sz w:val="16"/>
                <w:szCs w:val="16"/>
              </w:rPr>
              <w:t>Baseline:</w:t>
            </w:r>
            <w:r w:rsidRPr="0051294D">
              <w:rPr>
                <w:sz w:val="16"/>
                <w:szCs w:val="16"/>
              </w:rPr>
              <w:t xml:space="preserve"> 12; </w:t>
            </w:r>
            <w:r w:rsidRPr="0051294D">
              <w:rPr>
                <w:b/>
                <w:sz w:val="16"/>
                <w:szCs w:val="16"/>
              </w:rPr>
              <w:t>Target:</w:t>
            </w:r>
            <w:r w:rsidRPr="0051294D">
              <w:rPr>
                <w:sz w:val="16"/>
                <w:szCs w:val="16"/>
              </w:rPr>
              <w:t xml:space="preserve"> 0; </w:t>
            </w:r>
            <w:r w:rsidRPr="0051294D">
              <w:rPr>
                <w:b/>
                <w:sz w:val="16"/>
                <w:szCs w:val="16"/>
              </w:rPr>
              <w:t>Data source</w:t>
            </w:r>
            <w:r w:rsidR="00770653">
              <w:rPr>
                <w:b/>
                <w:sz w:val="16"/>
                <w:szCs w:val="16"/>
              </w:rPr>
              <w:t>:</w:t>
            </w:r>
            <w:r w:rsidRPr="0051294D">
              <w:rPr>
                <w:sz w:val="16"/>
                <w:szCs w:val="16"/>
              </w:rPr>
              <w:t xml:space="preserve"> SBS</w:t>
            </w:r>
          </w:p>
        </w:tc>
        <w:tc>
          <w:tcPr>
            <w:tcW w:w="874" w:type="pct"/>
            <w:vMerge w:val="restart"/>
          </w:tcPr>
          <w:p w14:paraId="3FA300AD" w14:textId="77777777" w:rsidR="002129B7" w:rsidRPr="0051294D" w:rsidRDefault="002129B7" w:rsidP="00C658B7">
            <w:pPr>
              <w:rPr>
                <w:iCs/>
                <w:sz w:val="16"/>
                <w:szCs w:val="16"/>
                <w:lang w:val="en-GB"/>
              </w:rPr>
            </w:pPr>
            <w:r w:rsidRPr="0051294D">
              <w:rPr>
                <w:iCs/>
                <w:sz w:val="16"/>
                <w:szCs w:val="16"/>
                <w:lang w:val="en-GB"/>
              </w:rPr>
              <w:lastRenderedPageBreak/>
              <w:t xml:space="preserve">Parliament </w:t>
            </w:r>
          </w:p>
          <w:p w14:paraId="6B5DD153" w14:textId="77777777" w:rsidR="002129B7" w:rsidRPr="0051294D" w:rsidRDefault="002129B7" w:rsidP="00C658B7">
            <w:pPr>
              <w:rPr>
                <w:iCs/>
                <w:sz w:val="16"/>
                <w:szCs w:val="16"/>
                <w:lang w:val="en-GB"/>
              </w:rPr>
            </w:pPr>
          </w:p>
          <w:p w14:paraId="09344D40" w14:textId="57AEB9B4" w:rsidR="002129B7" w:rsidRPr="0051294D" w:rsidRDefault="002129B7" w:rsidP="00C658B7">
            <w:pPr>
              <w:rPr>
                <w:iCs/>
                <w:sz w:val="16"/>
                <w:szCs w:val="16"/>
                <w:lang w:val="en-GB"/>
              </w:rPr>
            </w:pPr>
            <w:r w:rsidRPr="0051294D">
              <w:rPr>
                <w:iCs/>
                <w:sz w:val="16"/>
                <w:szCs w:val="16"/>
                <w:lang w:val="en-GB"/>
              </w:rPr>
              <w:t xml:space="preserve">Office of the President </w:t>
            </w:r>
          </w:p>
          <w:p w14:paraId="36843989" w14:textId="77777777" w:rsidR="002129B7" w:rsidRPr="0051294D" w:rsidRDefault="002129B7" w:rsidP="00C658B7">
            <w:pPr>
              <w:rPr>
                <w:iCs/>
                <w:sz w:val="16"/>
                <w:szCs w:val="16"/>
                <w:lang w:val="en-GB"/>
              </w:rPr>
            </w:pPr>
          </w:p>
          <w:p w14:paraId="09A019D6" w14:textId="77777777" w:rsidR="002129B7" w:rsidRPr="0051294D" w:rsidRDefault="002129B7" w:rsidP="00C658B7">
            <w:pPr>
              <w:rPr>
                <w:iCs/>
                <w:sz w:val="16"/>
                <w:szCs w:val="16"/>
                <w:lang w:val="en-GB"/>
              </w:rPr>
            </w:pPr>
            <w:r w:rsidRPr="0051294D">
              <w:rPr>
                <w:iCs/>
                <w:sz w:val="16"/>
                <w:szCs w:val="16"/>
                <w:lang w:val="en-GB"/>
              </w:rPr>
              <w:t>Office of the Prime Minister (OPM)</w:t>
            </w:r>
          </w:p>
          <w:p w14:paraId="5E0BCAC8" w14:textId="77777777" w:rsidR="002129B7" w:rsidRPr="0051294D" w:rsidRDefault="002129B7" w:rsidP="00C658B7">
            <w:pPr>
              <w:rPr>
                <w:iCs/>
                <w:sz w:val="16"/>
                <w:szCs w:val="16"/>
                <w:lang w:val="en-GB"/>
              </w:rPr>
            </w:pPr>
          </w:p>
          <w:p w14:paraId="056F42A9" w14:textId="2CA68ED3" w:rsidR="002129B7" w:rsidRPr="0051294D" w:rsidRDefault="002129B7" w:rsidP="00C658B7">
            <w:pPr>
              <w:rPr>
                <w:iCs/>
                <w:sz w:val="16"/>
                <w:szCs w:val="16"/>
                <w:lang w:val="en-GB"/>
              </w:rPr>
            </w:pPr>
            <w:r w:rsidRPr="0051294D">
              <w:rPr>
                <w:iCs/>
                <w:sz w:val="16"/>
                <w:szCs w:val="16"/>
                <w:lang w:val="en-GB"/>
              </w:rPr>
              <w:t>Ministries of Justice (M</w:t>
            </w:r>
            <w:r w:rsidR="001F072B">
              <w:rPr>
                <w:iCs/>
                <w:sz w:val="16"/>
                <w:szCs w:val="16"/>
                <w:lang w:val="en-GB"/>
              </w:rPr>
              <w:t>O</w:t>
            </w:r>
            <w:r w:rsidRPr="0051294D">
              <w:rPr>
                <w:iCs/>
                <w:sz w:val="16"/>
                <w:szCs w:val="16"/>
                <w:lang w:val="en-GB"/>
              </w:rPr>
              <w:t>J), Interior (M</w:t>
            </w:r>
            <w:r w:rsidR="001F072B">
              <w:rPr>
                <w:iCs/>
                <w:sz w:val="16"/>
                <w:szCs w:val="16"/>
                <w:lang w:val="en-GB"/>
              </w:rPr>
              <w:t>O</w:t>
            </w:r>
            <w:r w:rsidRPr="0051294D">
              <w:rPr>
                <w:iCs/>
                <w:sz w:val="16"/>
                <w:szCs w:val="16"/>
                <w:lang w:val="en-GB"/>
              </w:rPr>
              <w:t>I), Health (M</w:t>
            </w:r>
            <w:r w:rsidR="001F072B">
              <w:rPr>
                <w:iCs/>
                <w:sz w:val="16"/>
                <w:szCs w:val="16"/>
                <w:lang w:val="en-GB"/>
              </w:rPr>
              <w:t>O</w:t>
            </w:r>
            <w:r w:rsidRPr="0051294D">
              <w:rPr>
                <w:iCs/>
                <w:sz w:val="16"/>
                <w:szCs w:val="16"/>
                <w:lang w:val="en-GB"/>
              </w:rPr>
              <w:t>H), Education (M</w:t>
            </w:r>
            <w:r w:rsidR="001F072B">
              <w:rPr>
                <w:iCs/>
                <w:sz w:val="16"/>
                <w:szCs w:val="16"/>
                <w:lang w:val="en-GB"/>
              </w:rPr>
              <w:t>O</w:t>
            </w:r>
            <w:r w:rsidRPr="0051294D">
              <w:rPr>
                <w:iCs/>
                <w:sz w:val="16"/>
                <w:szCs w:val="16"/>
                <w:lang w:val="en-GB"/>
              </w:rPr>
              <w:t>E), Labour and Social Protection (MLSP), Finance (M</w:t>
            </w:r>
            <w:r w:rsidR="001F072B">
              <w:rPr>
                <w:iCs/>
                <w:sz w:val="16"/>
                <w:szCs w:val="16"/>
                <w:lang w:val="en-GB"/>
              </w:rPr>
              <w:t>O</w:t>
            </w:r>
            <w:r w:rsidRPr="0051294D">
              <w:rPr>
                <w:iCs/>
                <w:sz w:val="16"/>
                <w:szCs w:val="16"/>
                <w:lang w:val="en-GB"/>
              </w:rPr>
              <w:t>F)</w:t>
            </w:r>
          </w:p>
          <w:p w14:paraId="185D055E" w14:textId="77777777" w:rsidR="002129B7" w:rsidRPr="0051294D" w:rsidRDefault="002129B7" w:rsidP="00C658B7">
            <w:pPr>
              <w:rPr>
                <w:iCs/>
                <w:sz w:val="16"/>
                <w:szCs w:val="16"/>
                <w:lang w:val="en-GB"/>
              </w:rPr>
            </w:pPr>
          </w:p>
          <w:p w14:paraId="43A3B4ED" w14:textId="77777777" w:rsidR="002129B7" w:rsidRPr="0051294D" w:rsidRDefault="002129B7" w:rsidP="00C658B7">
            <w:pPr>
              <w:rPr>
                <w:iCs/>
                <w:sz w:val="16"/>
                <w:szCs w:val="16"/>
                <w:lang w:val="en-GB"/>
              </w:rPr>
            </w:pPr>
            <w:r w:rsidRPr="0051294D">
              <w:rPr>
                <w:iCs/>
                <w:sz w:val="16"/>
                <w:szCs w:val="16"/>
                <w:lang w:val="en-GB"/>
              </w:rPr>
              <w:t xml:space="preserve">Country Coordination Mechanism </w:t>
            </w:r>
          </w:p>
          <w:p w14:paraId="7A60B066" w14:textId="77777777" w:rsidR="002129B7" w:rsidRPr="0051294D" w:rsidRDefault="002129B7" w:rsidP="00C658B7">
            <w:pPr>
              <w:rPr>
                <w:color w:val="0F243E"/>
                <w:sz w:val="16"/>
                <w:szCs w:val="16"/>
              </w:rPr>
            </w:pPr>
          </w:p>
          <w:p w14:paraId="6A5C441F" w14:textId="77777777" w:rsidR="002129B7" w:rsidRPr="0051294D" w:rsidRDefault="002129B7" w:rsidP="00C658B7">
            <w:pPr>
              <w:rPr>
                <w:sz w:val="16"/>
                <w:szCs w:val="16"/>
              </w:rPr>
            </w:pPr>
            <w:r w:rsidRPr="0051294D">
              <w:rPr>
                <w:sz w:val="16"/>
                <w:szCs w:val="16"/>
              </w:rPr>
              <w:t>State Registry Service (SRS)</w:t>
            </w:r>
          </w:p>
          <w:p w14:paraId="70AE37E5" w14:textId="77777777" w:rsidR="002129B7" w:rsidRPr="0051294D" w:rsidRDefault="002129B7" w:rsidP="00C658B7">
            <w:pPr>
              <w:rPr>
                <w:sz w:val="16"/>
                <w:szCs w:val="16"/>
              </w:rPr>
            </w:pPr>
          </w:p>
          <w:p w14:paraId="66A335D7" w14:textId="77777777" w:rsidR="002129B7" w:rsidRPr="0051294D" w:rsidRDefault="002129B7" w:rsidP="00C658B7">
            <w:pPr>
              <w:rPr>
                <w:sz w:val="16"/>
                <w:szCs w:val="16"/>
              </w:rPr>
            </w:pPr>
            <w:r w:rsidRPr="0051294D">
              <w:rPr>
                <w:sz w:val="16"/>
                <w:szCs w:val="16"/>
              </w:rPr>
              <w:t>State Border Service (SBS)</w:t>
            </w:r>
          </w:p>
          <w:p w14:paraId="1E555771" w14:textId="77777777" w:rsidR="002129B7" w:rsidRPr="0051294D" w:rsidRDefault="002129B7" w:rsidP="00C658B7">
            <w:pPr>
              <w:rPr>
                <w:sz w:val="16"/>
                <w:szCs w:val="16"/>
              </w:rPr>
            </w:pPr>
          </w:p>
          <w:p w14:paraId="4B0857D3" w14:textId="0CC1F893" w:rsidR="002129B7" w:rsidRPr="0051294D" w:rsidRDefault="002129B7" w:rsidP="00C658B7">
            <w:pPr>
              <w:rPr>
                <w:iCs/>
                <w:sz w:val="16"/>
                <w:szCs w:val="16"/>
                <w:lang w:val="en-GB"/>
              </w:rPr>
            </w:pPr>
            <w:r w:rsidRPr="0051294D">
              <w:rPr>
                <w:sz w:val="16"/>
                <w:szCs w:val="16"/>
              </w:rPr>
              <w:t>State Agency on Local Self</w:t>
            </w:r>
            <w:r w:rsidR="001F072B">
              <w:rPr>
                <w:sz w:val="16"/>
                <w:szCs w:val="16"/>
              </w:rPr>
              <w:t>-</w:t>
            </w:r>
            <w:r w:rsidRPr="0051294D">
              <w:rPr>
                <w:sz w:val="16"/>
                <w:szCs w:val="16"/>
              </w:rPr>
              <w:t xml:space="preserve"> Governance and Inter-Ethnic Relations (SALSGIER)</w:t>
            </w:r>
          </w:p>
          <w:p w14:paraId="1A1E2853" w14:textId="77777777" w:rsidR="002129B7" w:rsidRPr="0051294D" w:rsidRDefault="002129B7" w:rsidP="00C658B7">
            <w:pPr>
              <w:rPr>
                <w:iCs/>
                <w:sz w:val="16"/>
                <w:szCs w:val="16"/>
                <w:lang w:val="en-GB"/>
              </w:rPr>
            </w:pPr>
          </w:p>
          <w:p w14:paraId="11FDB67F" w14:textId="77777777" w:rsidR="002129B7" w:rsidRPr="0051294D" w:rsidRDefault="002129B7" w:rsidP="00C658B7">
            <w:pPr>
              <w:rPr>
                <w:iCs/>
                <w:sz w:val="16"/>
                <w:szCs w:val="16"/>
                <w:lang w:val="en-GB"/>
              </w:rPr>
            </w:pPr>
            <w:r w:rsidRPr="0051294D">
              <w:rPr>
                <w:iCs/>
                <w:sz w:val="16"/>
                <w:szCs w:val="16"/>
                <w:lang w:val="en-GB"/>
              </w:rPr>
              <w:t>National Statistical Committee (NSC)</w:t>
            </w:r>
          </w:p>
          <w:p w14:paraId="4D4EDE68" w14:textId="77777777" w:rsidR="002129B7" w:rsidRPr="0051294D" w:rsidRDefault="002129B7" w:rsidP="00C658B7">
            <w:pPr>
              <w:rPr>
                <w:iCs/>
                <w:sz w:val="16"/>
                <w:szCs w:val="16"/>
                <w:lang w:val="en-GB"/>
              </w:rPr>
            </w:pPr>
          </w:p>
          <w:p w14:paraId="65B7256E" w14:textId="77777777" w:rsidR="002129B7" w:rsidRPr="0051294D" w:rsidRDefault="002129B7" w:rsidP="00C658B7">
            <w:pPr>
              <w:rPr>
                <w:rFonts w:eastAsia="Calibri"/>
                <w:sz w:val="16"/>
                <w:szCs w:val="16"/>
              </w:rPr>
            </w:pPr>
            <w:r w:rsidRPr="0051294D">
              <w:rPr>
                <w:rFonts w:eastAsia="Calibri"/>
                <w:sz w:val="16"/>
                <w:szCs w:val="16"/>
              </w:rPr>
              <w:t>Ombudsman</w:t>
            </w:r>
          </w:p>
          <w:p w14:paraId="3E23CB25" w14:textId="574C9C01" w:rsidR="002129B7" w:rsidRPr="0051294D" w:rsidRDefault="002129B7" w:rsidP="00C658B7">
            <w:pPr>
              <w:pStyle w:val="Pasus1"/>
              <w:rPr>
                <w:rFonts w:ascii="Times New Roman" w:eastAsia="Calibri" w:hAnsi="Times New Roman"/>
                <w:sz w:val="16"/>
                <w:szCs w:val="16"/>
              </w:rPr>
            </w:pPr>
            <w:r w:rsidRPr="0051294D">
              <w:rPr>
                <w:rFonts w:ascii="Times New Roman" w:eastAsia="Calibri" w:hAnsi="Times New Roman"/>
                <w:sz w:val="16"/>
                <w:szCs w:val="16"/>
              </w:rPr>
              <w:t xml:space="preserve">Judicial </w:t>
            </w:r>
            <w:r w:rsidR="001A592A">
              <w:rPr>
                <w:rFonts w:ascii="Times New Roman" w:eastAsia="Calibri" w:hAnsi="Times New Roman"/>
                <w:sz w:val="16"/>
                <w:szCs w:val="16"/>
              </w:rPr>
              <w:t>b</w:t>
            </w:r>
            <w:r w:rsidRPr="0051294D">
              <w:rPr>
                <w:rFonts w:ascii="Times New Roman" w:eastAsia="Calibri" w:hAnsi="Times New Roman"/>
                <w:sz w:val="16"/>
                <w:szCs w:val="16"/>
              </w:rPr>
              <w:t xml:space="preserve">odies, Prosecutor General, Supreme Court </w:t>
            </w:r>
          </w:p>
          <w:p w14:paraId="7E3530A4" w14:textId="6567B8F7" w:rsidR="002129B7" w:rsidRPr="0051294D" w:rsidRDefault="002129B7" w:rsidP="00C658B7">
            <w:pPr>
              <w:pStyle w:val="Pasus1"/>
              <w:rPr>
                <w:rFonts w:ascii="Times New Roman" w:eastAsia="Calibri" w:hAnsi="Times New Roman"/>
                <w:sz w:val="16"/>
                <w:szCs w:val="16"/>
              </w:rPr>
            </w:pPr>
            <w:r w:rsidRPr="0051294D">
              <w:rPr>
                <w:rFonts w:ascii="Times New Roman" w:eastAsia="Calibri" w:hAnsi="Times New Roman"/>
                <w:sz w:val="16"/>
                <w:szCs w:val="16"/>
              </w:rPr>
              <w:t>Districts authorities, local self-governments (LSG</w:t>
            </w:r>
            <w:r w:rsidR="000F62A6">
              <w:rPr>
                <w:rFonts w:ascii="Times New Roman" w:eastAsia="Calibri" w:hAnsi="Times New Roman"/>
                <w:sz w:val="16"/>
                <w:szCs w:val="16"/>
              </w:rPr>
              <w:t>s</w:t>
            </w:r>
            <w:r w:rsidRPr="0051294D">
              <w:rPr>
                <w:rFonts w:ascii="Times New Roman" w:eastAsia="Calibri" w:hAnsi="Times New Roman"/>
                <w:sz w:val="16"/>
                <w:szCs w:val="16"/>
              </w:rPr>
              <w:t xml:space="preserve">); </w:t>
            </w:r>
          </w:p>
          <w:p w14:paraId="5997FA7D" w14:textId="77777777" w:rsidR="002129B7" w:rsidRPr="0051294D" w:rsidRDefault="002129B7" w:rsidP="00C658B7">
            <w:pPr>
              <w:rPr>
                <w:rFonts w:eastAsia="Calibri"/>
                <w:sz w:val="16"/>
                <w:szCs w:val="16"/>
              </w:rPr>
            </w:pPr>
            <w:r w:rsidRPr="0051294D">
              <w:rPr>
                <w:rFonts w:eastAsia="Calibri"/>
                <w:sz w:val="16"/>
                <w:szCs w:val="16"/>
              </w:rPr>
              <w:t>CSOs, media</w:t>
            </w:r>
          </w:p>
          <w:p w14:paraId="36717171" w14:textId="77777777" w:rsidR="002129B7" w:rsidRPr="0051294D" w:rsidRDefault="002129B7" w:rsidP="00C658B7">
            <w:pPr>
              <w:rPr>
                <w:rFonts w:eastAsia="Calibri"/>
                <w:sz w:val="16"/>
                <w:szCs w:val="16"/>
              </w:rPr>
            </w:pPr>
          </w:p>
          <w:p w14:paraId="62DB631D" w14:textId="77777777" w:rsidR="00770653" w:rsidRDefault="00770653" w:rsidP="00C658B7">
            <w:pPr>
              <w:rPr>
                <w:iCs/>
                <w:color w:val="000000"/>
                <w:sz w:val="16"/>
                <w:szCs w:val="16"/>
              </w:rPr>
            </w:pPr>
            <w:r w:rsidRPr="0051294D">
              <w:rPr>
                <w:iCs/>
                <w:color w:val="000000"/>
                <w:sz w:val="16"/>
                <w:szCs w:val="16"/>
              </w:rPr>
              <w:t xml:space="preserve">UNFPA, </w:t>
            </w:r>
            <w:r w:rsidR="002129B7" w:rsidRPr="0051294D">
              <w:rPr>
                <w:iCs/>
                <w:color w:val="000000"/>
                <w:sz w:val="16"/>
                <w:szCs w:val="16"/>
              </w:rPr>
              <w:t xml:space="preserve">UNICEF, </w:t>
            </w:r>
          </w:p>
          <w:p w14:paraId="3919C256" w14:textId="6358FC05" w:rsidR="002129B7" w:rsidRPr="0051294D" w:rsidRDefault="002129B7" w:rsidP="00C658B7">
            <w:pPr>
              <w:rPr>
                <w:iCs/>
                <w:color w:val="000000"/>
                <w:sz w:val="16"/>
                <w:szCs w:val="16"/>
              </w:rPr>
            </w:pPr>
            <w:r w:rsidRPr="0051294D">
              <w:rPr>
                <w:iCs/>
                <w:color w:val="000000"/>
                <w:sz w:val="16"/>
                <w:szCs w:val="16"/>
              </w:rPr>
              <w:t>UN</w:t>
            </w:r>
            <w:r w:rsidR="00770653">
              <w:rPr>
                <w:iCs/>
                <w:color w:val="000000"/>
                <w:sz w:val="16"/>
                <w:szCs w:val="16"/>
              </w:rPr>
              <w:t>-</w:t>
            </w:r>
            <w:r w:rsidR="00770653" w:rsidRPr="0051294D">
              <w:rPr>
                <w:iCs/>
                <w:color w:val="000000"/>
                <w:sz w:val="16"/>
                <w:szCs w:val="16"/>
              </w:rPr>
              <w:t>W</w:t>
            </w:r>
            <w:r w:rsidR="00770653">
              <w:rPr>
                <w:iCs/>
                <w:color w:val="000000"/>
                <w:sz w:val="16"/>
                <w:szCs w:val="16"/>
              </w:rPr>
              <w:t>omen</w:t>
            </w:r>
            <w:r w:rsidRPr="0051294D">
              <w:rPr>
                <w:iCs/>
                <w:color w:val="000000"/>
                <w:sz w:val="16"/>
                <w:szCs w:val="16"/>
              </w:rPr>
              <w:t>, OHCHR, UNODC, UNAIDS, WHO</w:t>
            </w:r>
          </w:p>
          <w:p w14:paraId="2C411F41" w14:textId="77777777" w:rsidR="002129B7" w:rsidRPr="0051294D" w:rsidRDefault="002129B7" w:rsidP="00C658B7">
            <w:pPr>
              <w:rPr>
                <w:iCs/>
                <w:color w:val="000000"/>
                <w:sz w:val="16"/>
                <w:szCs w:val="16"/>
              </w:rPr>
            </w:pPr>
          </w:p>
          <w:p w14:paraId="4FFAF99A" w14:textId="213C67DA" w:rsidR="00770653" w:rsidRDefault="002129B7" w:rsidP="009B0665">
            <w:pPr>
              <w:rPr>
                <w:iCs/>
                <w:color w:val="000000"/>
                <w:sz w:val="16"/>
                <w:szCs w:val="16"/>
              </w:rPr>
            </w:pPr>
            <w:r w:rsidRPr="0051294D">
              <w:rPr>
                <w:iCs/>
                <w:color w:val="000000"/>
                <w:sz w:val="16"/>
                <w:szCs w:val="16"/>
              </w:rPr>
              <w:lastRenderedPageBreak/>
              <w:t xml:space="preserve">Development partners: Finland, </w:t>
            </w:r>
          </w:p>
          <w:p w14:paraId="2A059EF4" w14:textId="16492209" w:rsidR="00770653" w:rsidRDefault="00770653" w:rsidP="009B0665">
            <w:pPr>
              <w:rPr>
                <w:iCs/>
                <w:color w:val="000000"/>
                <w:sz w:val="16"/>
                <w:szCs w:val="16"/>
              </w:rPr>
            </w:pPr>
            <w:r w:rsidRPr="0051294D">
              <w:rPr>
                <w:iCs/>
                <w:color w:val="000000"/>
                <w:sz w:val="16"/>
                <w:szCs w:val="16"/>
              </w:rPr>
              <w:t>Japa</w:t>
            </w:r>
            <w:r>
              <w:rPr>
                <w:iCs/>
                <w:color w:val="000000"/>
                <w:sz w:val="16"/>
                <w:szCs w:val="16"/>
              </w:rPr>
              <w:t>n,</w:t>
            </w:r>
          </w:p>
          <w:p w14:paraId="0EAB683F" w14:textId="60CAFC78" w:rsidR="00770653" w:rsidRDefault="00770653" w:rsidP="009B0665">
            <w:pPr>
              <w:rPr>
                <w:iCs/>
                <w:color w:val="000000"/>
                <w:sz w:val="16"/>
                <w:szCs w:val="16"/>
              </w:rPr>
            </w:pPr>
            <w:r w:rsidRPr="0051294D">
              <w:rPr>
                <w:iCs/>
                <w:color w:val="000000"/>
                <w:sz w:val="16"/>
                <w:szCs w:val="16"/>
              </w:rPr>
              <w:t>Switzerland,</w:t>
            </w:r>
          </w:p>
          <w:p w14:paraId="40E6C422" w14:textId="39A892EA" w:rsidR="002129B7" w:rsidRPr="0051294D" w:rsidRDefault="002129B7" w:rsidP="009B0665">
            <w:pPr>
              <w:rPr>
                <w:iCs/>
                <w:color w:val="000000"/>
                <w:sz w:val="16"/>
                <w:szCs w:val="16"/>
              </w:rPr>
            </w:pPr>
            <w:r w:rsidRPr="0051294D">
              <w:rPr>
                <w:iCs/>
                <w:color w:val="000000"/>
                <w:sz w:val="16"/>
                <w:szCs w:val="16"/>
              </w:rPr>
              <w:t>U</w:t>
            </w:r>
            <w:r w:rsidR="00770653">
              <w:rPr>
                <w:iCs/>
                <w:color w:val="000000"/>
                <w:sz w:val="16"/>
                <w:szCs w:val="16"/>
              </w:rPr>
              <w:t>nited Kingdom</w:t>
            </w:r>
            <w:r w:rsidRPr="0051294D">
              <w:rPr>
                <w:iCs/>
                <w:color w:val="000000"/>
                <w:sz w:val="16"/>
                <w:szCs w:val="16"/>
              </w:rPr>
              <w:t>, U</w:t>
            </w:r>
            <w:r w:rsidR="00770653">
              <w:rPr>
                <w:iCs/>
                <w:color w:val="000000"/>
                <w:sz w:val="16"/>
                <w:szCs w:val="16"/>
              </w:rPr>
              <w:t>nited States of America</w:t>
            </w:r>
            <w:r w:rsidRPr="0051294D">
              <w:rPr>
                <w:iCs/>
                <w:color w:val="000000"/>
                <w:sz w:val="16"/>
                <w:szCs w:val="16"/>
              </w:rPr>
              <w:t xml:space="preserve"> </w:t>
            </w:r>
          </w:p>
        </w:tc>
        <w:tc>
          <w:tcPr>
            <w:tcW w:w="469" w:type="pct"/>
            <w:tcMar>
              <w:top w:w="15" w:type="dxa"/>
              <w:left w:w="108" w:type="dxa"/>
              <w:bottom w:w="0" w:type="dxa"/>
              <w:right w:w="108" w:type="dxa"/>
            </w:tcMar>
          </w:tcPr>
          <w:p w14:paraId="6FFF1687" w14:textId="77777777" w:rsidR="002129B7" w:rsidRPr="0051294D" w:rsidRDefault="002129B7" w:rsidP="00C658B7">
            <w:pPr>
              <w:rPr>
                <w:b/>
                <w:color w:val="000000"/>
                <w:sz w:val="16"/>
                <w:szCs w:val="16"/>
              </w:rPr>
            </w:pPr>
            <w:r w:rsidRPr="0051294D">
              <w:rPr>
                <w:b/>
                <w:color w:val="000000"/>
                <w:sz w:val="16"/>
                <w:szCs w:val="16"/>
              </w:rPr>
              <w:lastRenderedPageBreak/>
              <w:t>Regular:</w:t>
            </w:r>
          </w:p>
          <w:p w14:paraId="28103281" w14:textId="1E8CD45B" w:rsidR="002129B7" w:rsidRPr="0051294D" w:rsidRDefault="002129B7" w:rsidP="00C658B7">
            <w:pPr>
              <w:rPr>
                <w:b/>
                <w:sz w:val="16"/>
                <w:szCs w:val="16"/>
              </w:rPr>
            </w:pPr>
            <w:r w:rsidRPr="0051294D">
              <w:rPr>
                <w:b/>
                <w:sz w:val="16"/>
                <w:szCs w:val="16"/>
              </w:rPr>
              <w:t>3,853</w:t>
            </w:r>
          </w:p>
          <w:p w14:paraId="3ABBFD33" w14:textId="77777777" w:rsidR="002129B7" w:rsidRPr="0051294D" w:rsidRDefault="002129B7" w:rsidP="00FA6175">
            <w:pPr>
              <w:rPr>
                <w:b/>
                <w:color w:val="000000"/>
                <w:sz w:val="16"/>
                <w:szCs w:val="16"/>
              </w:rPr>
            </w:pPr>
          </w:p>
        </w:tc>
      </w:tr>
      <w:tr w:rsidR="002129B7" w:rsidRPr="0051294D" w14:paraId="579258D5" w14:textId="77777777" w:rsidTr="00FA2849">
        <w:tc>
          <w:tcPr>
            <w:tcW w:w="1000" w:type="pct"/>
            <w:gridSpan w:val="2"/>
            <w:vMerge/>
            <w:tcMar>
              <w:top w:w="72" w:type="dxa"/>
              <w:left w:w="144" w:type="dxa"/>
              <w:bottom w:w="72" w:type="dxa"/>
              <w:right w:w="144" w:type="dxa"/>
            </w:tcMar>
          </w:tcPr>
          <w:p w14:paraId="2707EE4C" w14:textId="77777777" w:rsidR="002129B7" w:rsidRPr="0051294D" w:rsidRDefault="002129B7" w:rsidP="00C658B7">
            <w:pPr>
              <w:rPr>
                <w:iCs/>
                <w:color w:val="000000"/>
                <w:sz w:val="16"/>
                <w:szCs w:val="16"/>
                <w:lang w:val="en-GB"/>
              </w:rPr>
            </w:pPr>
          </w:p>
        </w:tc>
        <w:tc>
          <w:tcPr>
            <w:tcW w:w="1183" w:type="pct"/>
            <w:gridSpan w:val="3"/>
            <w:vMerge/>
          </w:tcPr>
          <w:p w14:paraId="764D95D9" w14:textId="77777777" w:rsidR="002129B7" w:rsidRPr="0051294D" w:rsidRDefault="002129B7" w:rsidP="00C658B7">
            <w:pPr>
              <w:rPr>
                <w:iCs/>
                <w:color w:val="000000"/>
                <w:sz w:val="16"/>
                <w:szCs w:val="16"/>
                <w:lang w:val="en-GB"/>
              </w:rPr>
            </w:pPr>
          </w:p>
        </w:tc>
        <w:tc>
          <w:tcPr>
            <w:tcW w:w="1474" w:type="pct"/>
            <w:gridSpan w:val="2"/>
            <w:vMerge/>
            <w:tcMar>
              <w:top w:w="72" w:type="dxa"/>
              <w:left w:w="144" w:type="dxa"/>
              <w:bottom w:w="72" w:type="dxa"/>
              <w:right w:w="144" w:type="dxa"/>
            </w:tcMar>
          </w:tcPr>
          <w:p w14:paraId="197AA789" w14:textId="77777777" w:rsidR="002129B7" w:rsidRPr="0051294D" w:rsidRDefault="002129B7" w:rsidP="00C658B7">
            <w:pPr>
              <w:rPr>
                <w:iCs/>
                <w:color w:val="000000"/>
                <w:sz w:val="16"/>
                <w:szCs w:val="16"/>
                <w:lang w:val="en-GB"/>
              </w:rPr>
            </w:pPr>
          </w:p>
        </w:tc>
        <w:tc>
          <w:tcPr>
            <w:tcW w:w="874" w:type="pct"/>
            <w:vMerge/>
          </w:tcPr>
          <w:p w14:paraId="1179F66F" w14:textId="77777777" w:rsidR="002129B7" w:rsidRPr="0051294D" w:rsidRDefault="002129B7" w:rsidP="00C658B7">
            <w:pPr>
              <w:rPr>
                <w:iCs/>
                <w:color w:val="000000"/>
                <w:sz w:val="16"/>
                <w:szCs w:val="16"/>
                <w:lang w:val="en-GB"/>
              </w:rPr>
            </w:pPr>
          </w:p>
        </w:tc>
        <w:tc>
          <w:tcPr>
            <w:tcW w:w="469" w:type="pct"/>
            <w:tcMar>
              <w:top w:w="15" w:type="dxa"/>
              <w:left w:w="108" w:type="dxa"/>
              <w:bottom w:w="0" w:type="dxa"/>
              <w:right w:w="108" w:type="dxa"/>
            </w:tcMar>
          </w:tcPr>
          <w:p w14:paraId="0EEFB4A1" w14:textId="77777777" w:rsidR="002129B7" w:rsidRPr="0051294D" w:rsidRDefault="002129B7" w:rsidP="00C658B7">
            <w:pPr>
              <w:rPr>
                <w:b/>
                <w:color w:val="000000"/>
                <w:sz w:val="16"/>
                <w:szCs w:val="16"/>
              </w:rPr>
            </w:pPr>
            <w:r w:rsidRPr="0051294D">
              <w:rPr>
                <w:b/>
                <w:color w:val="000000"/>
                <w:sz w:val="16"/>
                <w:szCs w:val="16"/>
              </w:rPr>
              <w:t>Other:</w:t>
            </w:r>
          </w:p>
          <w:p w14:paraId="1CF12FB9" w14:textId="1F9F5580" w:rsidR="002129B7" w:rsidRPr="0051294D" w:rsidRDefault="002129B7" w:rsidP="00C658B7">
            <w:pPr>
              <w:rPr>
                <w:b/>
                <w:sz w:val="16"/>
                <w:szCs w:val="16"/>
              </w:rPr>
            </w:pPr>
            <w:r w:rsidRPr="0051294D">
              <w:rPr>
                <w:b/>
                <w:sz w:val="16"/>
                <w:szCs w:val="16"/>
              </w:rPr>
              <w:t>29,692</w:t>
            </w:r>
          </w:p>
          <w:p w14:paraId="6BC09EA0" w14:textId="77777777" w:rsidR="002129B7" w:rsidRPr="0051294D" w:rsidRDefault="002129B7" w:rsidP="00C658B7">
            <w:pPr>
              <w:rPr>
                <w:b/>
                <w:color w:val="000000"/>
                <w:sz w:val="16"/>
                <w:szCs w:val="16"/>
              </w:rPr>
            </w:pPr>
          </w:p>
        </w:tc>
      </w:tr>
      <w:tr w:rsidR="002129B7" w:rsidRPr="0051294D" w14:paraId="5751E3E9" w14:textId="77777777" w:rsidTr="00FA2849">
        <w:tc>
          <w:tcPr>
            <w:tcW w:w="1000" w:type="pct"/>
            <w:gridSpan w:val="2"/>
            <w:vMerge/>
            <w:tcBorders>
              <w:bottom w:val="single" w:sz="4" w:space="0" w:color="auto"/>
            </w:tcBorders>
            <w:tcMar>
              <w:top w:w="72" w:type="dxa"/>
              <w:left w:w="144" w:type="dxa"/>
              <w:bottom w:w="72" w:type="dxa"/>
              <w:right w:w="144" w:type="dxa"/>
            </w:tcMar>
          </w:tcPr>
          <w:p w14:paraId="2466D532" w14:textId="77777777" w:rsidR="002129B7" w:rsidRPr="0051294D" w:rsidRDefault="002129B7" w:rsidP="00C658B7">
            <w:pPr>
              <w:rPr>
                <w:iCs/>
                <w:color w:val="000000"/>
                <w:sz w:val="16"/>
                <w:szCs w:val="16"/>
                <w:lang w:val="en-GB"/>
              </w:rPr>
            </w:pPr>
          </w:p>
        </w:tc>
        <w:tc>
          <w:tcPr>
            <w:tcW w:w="1183" w:type="pct"/>
            <w:gridSpan w:val="3"/>
            <w:vMerge/>
            <w:tcBorders>
              <w:bottom w:val="single" w:sz="4" w:space="0" w:color="auto"/>
            </w:tcBorders>
          </w:tcPr>
          <w:p w14:paraId="180DB5A2" w14:textId="77777777" w:rsidR="002129B7" w:rsidRPr="0051294D" w:rsidRDefault="002129B7" w:rsidP="00C658B7">
            <w:pPr>
              <w:rPr>
                <w:iCs/>
                <w:color w:val="000000"/>
                <w:sz w:val="16"/>
                <w:szCs w:val="16"/>
                <w:lang w:val="en-GB"/>
              </w:rPr>
            </w:pPr>
          </w:p>
        </w:tc>
        <w:tc>
          <w:tcPr>
            <w:tcW w:w="1474" w:type="pct"/>
            <w:gridSpan w:val="2"/>
            <w:vMerge/>
            <w:tcBorders>
              <w:bottom w:val="single" w:sz="4" w:space="0" w:color="auto"/>
            </w:tcBorders>
            <w:tcMar>
              <w:top w:w="72" w:type="dxa"/>
              <w:left w:w="144" w:type="dxa"/>
              <w:bottom w:w="72" w:type="dxa"/>
              <w:right w:w="144" w:type="dxa"/>
            </w:tcMar>
          </w:tcPr>
          <w:p w14:paraId="60FDD2DA" w14:textId="77777777" w:rsidR="002129B7" w:rsidRPr="0051294D" w:rsidRDefault="002129B7" w:rsidP="00C658B7">
            <w:pPr>
              <w:rPr>
                <w:iCs/>
                <w:color w:val="000000"/>
                <w:sz w:val="16"/>
                <w:szCs w:val="16"/>
                <w:lang w:val="en-GB"/>
              </w:rPr>
            </w:pPr>
          </w:p>
        </w:tc>
        <w:tc>
          <w:tcPr>
            <w:tcW w:w="874" w:type="pct"/>
            <w:vMerge/>
            <w:tcBorders>
              <w:bottom w:val="single" w:sz="4" w:space="0" w:color="auto"/>
            </w:tcBorders>
          </w:tcPr>
          <w:p w14:paraId="048EEE95" w14:textId="77777777" w:rsidR="002129B7" w:rsidRPr="0051294D" w:rsidRDefault="002129B7" w:rsidP="00C658B7">
            <w:pPr>
              <w:rPr>
                <w:iCs/>
                <w:color w:val="000000"/>
                <w:sz w:val="16"/>
                <w:szCs w:val="16"/>
                <w:lang w:val="en-GB"/>
              </w:rPr>
            </w:pPr>
          </w:p>
        </w:tc>
        <w:tc>
          <w:tcPr>
            <w:tcW w:w="469" w:type="pct"/>
            <w:tcBorders>
              <w:bottom w:val="single" w:sz="4" w:space="0" w:color="auto"/>
            </w:tcBorders>
            <w:tcMar>
              <w:top w:w="15" w:type="dxa"/>
              <w:left w:w="108" w:type="dxa"/>
              <w:bottom w:w="0" w:type="dxa"/>
              <w:right w:w="108" w:type="dxa"/>
            </w:tcMar>
          </w:tcPr>
          <w:p w14:paraId="7A63877E" w14:textId="77777777" w:rsidR="002129B7" w:rsidRPr="0051294D" w:rsidRDefault="002129B7" w:rsidP="00C658B7">
            <w:pPr>
              <w:rPr>
                <w:b/>
                <w:color w:val="000000"/>
                <w:sz w:val="16"/>
                <w:szCs w:val="16"/>
              </w:rPr>
            </w:pPr>
          </w:p>
        </w:tc>
      </w:tr>
      <w:tr w:rsidR="002129B7" w:rsidRPr="0051294D" w14:paraId="725FE222" w14:textId="77777777" w:rsidTr="00FA2849">
        <w:tc>
          <w:tcPr>
            <w:tcW w:w="5000" w:type="pct"/>
            <w:gridSpan w:val="9"/>
            <w:shd w:val="clear" w:color="auto" w:fill="auto"/>
            <w:tcMar>
              <w:top w:w="72" w:type="dxa"/>
              <w:left w:w="144" w:type="dxa"/>
              <w:bottom w:w="72" w:type="dxa"/>
              <w:right w:w="144" w:type="dxa"/>
            </w:tcMar>
          </w:tcPr>
          <w:p w14:paraId="7BA1344A" w14:textId="6D2EB962" w:rsidR="002129B7" w:rsidRPr="0051294D" w:rsidRDefault="00770653" w:rsidP="00C658B7">
            <w:pPr>
              <w:rPr>
                <w:color w:val="000000"/>
                <w:sz w:val="16"/>
                <w:szCs w:val="16"/>
              </w:rPr>
            </w:pPr>
            <w:r w:rsidRPr="0051294D">
              <w:rPr>
                <w:b/>
                <w:bCs/>
                <w:color w:val="000000"/>
                <w:sz w:val="16"/>
                <w:szCs w:val="16"/>
                <w:lang w:val="en-GB"/>
              </w:rPr>
              <w:lastRenderedPageBreak/>
              <w:t>National priority or goal</w:t>
            </w:r>
            <w:r w:rsidR="002129B7" w:rsidRPr="0051294D">
              <w:rPr>
                <w:b/>
                <w:bCs/>
                <w:color w:val="000000"/>
                <w:sz w:val="16"/>
                <w:szCs w:val="16"/>
                <w:lang w:val="en-GB"/>
              </w:rPr>
              <w:t xml:space="preserve">: </w:t>
            </w:r>
            <w:r w:rsidR="002129B7" w:rsidRPr="0051294D">
              <w:rPr>
                <w:rFonts w:cstheme="minorHAnsi"/>
                <w:color w:val="0F243E" w:themeColor="text2" w:themeShade="80"/>
                <w:sz w:val="16"/>
                <w:szCs w:val="16"/>
              </w:rPr>
              <w:t>Sustainable and inclusive economic growth, industrial, rural and agricultural development, food security and nutrition</w:t>
            </w:r>
            <w:r w:rsidR="002129B7" w:rsidRPr="00C76BFF">
              <w:rPr>
                <w:bCs/>
                <w:color w:val="000000"/>
                <w:sz w:val="16"/>
                <w:szCs w:val="16"/>
                <w:lang w:val="en-GB"/>
              </w:rPr>
              <w:t>;</w:t>
            </w:r>
            <w:r w:rsidR="002129B7" w:rsidRPr="0051294D">
              <w:rPr>
                <w:b/>
                <w:bCs/>
                <w:color w:val="000000"/>
                <w:sz w:val="16"/>
                <w:szCs w:val="16"/>
                <w:lang w:val="en-GB"/>
              </w:rPr>
              <w:t xml:space="preserve"> </w:t>
            </w:r>
            <w:r w:rsidR="002129B7" w:rsidRPr="0051294D">
              <w:rPr>
                <w:bCs/>
                <w:color w:val="000000"/>
                <w:sz w:val="16"/>
                <w:szCs w:val="16"/>
                <w:lang w:val="en-GB"/>
              </w:rPr>
              <w:t xml:space="preserve">SDGs </w:t>
            </w:r>
            <w:r w:rsidR="002129B7" w:rsidRPr="0051294D">
              <w:rPr>
                <w:rFonts w:cstheme="minorHAnsi"/>
                <w:color w:val="0F243E" w:themeColor="text2" w:themeShade="80"/>
                <w:sz w:val="16"/>
                <w:szCs w:val="16"/>
              </w:rPr>
              <w:t>1, 8, 10, 11</w:t>
            </w:r>
          </w:p>
        </w:tc>
      </w:tr>
      <w:tr w:rsidR="002129B7" w:rsidRPr="0051294D" w14:paraId="5167F15F" w14:textId="77777777" w:rsidTr="00FA2849">
        <w:tc>
          <w:tcPr>
            <w:tcW w:w="5000" w:type="pct"/>
            <w:gridSpan w:val="9"/>
            <w:shd w:val="clear" w:color="auto" w:fill="auto"/>
            <w:tcMar>
              <w:top w:w="72" w:type="dxa"/>
              <w:left w:w="144" w:type="dxa"/>
              <w:bottom w:w="72" w:type="dxa"/>
              <w:right w:w="144" w:type="dxa"/>
            </w:tcMar>
          </w:tcPr>
          <w:p w14:paraId="637317E1" w14:textId="1A7380F4" w:rsidR="002129B7" w:rsidRPr="0051294D" w:rsidRDefault="002129B7" w:rsidP="00C658B7">
            <w:pPr>
              <w:rPr>
                <w:color w:val="000000"/>
                <w:sz w:val="16"/>
                <w:szCs w:val="16"/>
              </w:rPr>
            </w:pPr>
            <w:r w:rsidRPr="0051294D">
              <w:rPr>
                <w:b/>
                <w:bCs/>
                <w:color w:val="000000"/>
                <w:sz w:val="16"/>
                <w:szCs w:val="16"/>
                <w:lang w:val="en-GB"/>
              </w:rPr>
              <w:t xml:space="preserve">UNDAF </w:t>
            </w:r>
            <w:r w:rsidR="00770653" w:rsidRPr="0051294D">
              <w:rPr>
                <w:b/>
                <w:bCs/>
                <w:color w:val="000000"/>
                <w:sz w:val="16"/>
                <w:szCs w:val="16"/>
                <w:lang w:val="en-GB"/>
              </w:rPr>
              <w:t>outcome</w:t>
            </w:r>
            <w:r w:rsidRPr="0051294D">
              <w:rPr>
                <w:b/>
                <w:bCs/>
                <w:color w:val="000000"/>
                <w:sz w:val="16"/>
                <w:szCs w:val="16"/>
                <w:lang w:val="en-GB"/>
              </w:rPr>
              <w:t xml:space="preserve"> 1</w:t>
            </w:r>
            <w:r w:rsidR="00770653">
              <w:rPr>
                <w:b/>
                <w:bCs/>
                <w:color w:val="000000"/>
                <w:sz w:val="16"/>
                <w:szCs w:val="16"/>
                <w:lang w:val="en-GB"/>
              </w:rPr>
              <w:t>.</w:t>
            </w:r>
            <w:r w:rsidRPr="0051294D">
              <w:rPr>
                <w:b/>
                <w:bCs/>
                <w:color w:val="000000"/>
                <w:sz w:val="16"/>
                <w:szCs w:val="16"/>
                <w:lang w:val="en-GB"/>
              </w:rPr>
              <w:t xml:space="preserve"> </w:t>
            </w:r>
            <w:r w:rsidRPr="0051294D">
              <w:rPr>
                <w:color w:val="222A35"/>
                <w:sz w:val="16"/>
                <w:szCs w:val="16"/>
              </w:rPr>
              <w:t>By 2022, inclusive and sustainable economic growth is increased through agricultural, industrial and rural development, decent work, improved livelihoods, food security and nutrition</w:t>
            </w:r>
            <w:r w:rsidR="00770653">
              <w:rPr>
                <w:color w:val="222A35"/>
                <w:sz w:val="16"/>
                <w:szCs w:val="16"/>
              </w:rPr>
              <w:t>.</w:t>
            </w:r>
          </w:p>
        </w:tc>
      </w:tr>
      <w:tr w:rsidR="002129B7" w:rsidRPr="0051294D" w14:paraId="721D0A14" w14:textId="77777777" w:rsidTr="00FA2849">
        <w:tc>
          <w:tcPr>
            <w:tcW w:w="5000" w:type="pct"/>
            <w:gridSpan w:val="9"/>
            <w:shd w:val="clear" w:color="auto" w:fill="auto"/>
            <w:tcMar>
              <w:top w:w="72" w:type="dxa"/>
              <w:left w:w="144" w:type="dxa"/>
              <w:bottom w:w="72" w:type="dxa"/>
              <w:right w:w="144" w:type="dxa"/>
            </w:tcMar>
          </w:tcPr>
          <w:p w14:paraId="1BA3B32A" w14:textId="3BE3CC1D" w:rsidR="002129B7" w:rsidRPr="0051294D" w:rsidRDefault="00770653" w:rsidP="00C658B7">
            <w:pPr>
              <w:rPr>
                <w:b/>
                <w:bCs/>
                <w:color w:val="000000"/>
                <w:sz w:val="16"/>
                <w:szCs w:val="16"/>
              </w:rPr>
            </w:pPr>
            <w:r w:rsidRPr="0051294D">
              <w:rPr>
                <w:b/>
                <w:bCs/>
                <w:color w:val="000000"/>
                <w:sz w:val="16"/>
                <w:szCs w:val="16"/>
                <w:lang w:val="en-GB"/>
              </w:rPr>
              <w:t>Related strategic plan outcome</w:t>
            </w:r>
            <w:r w:rsidR="002129B7" w:rsidRPr="0051294D">
              <w:rPr>
                <w:b/>
                <w:bCs/>
                <w:color w:val="000000"/>
                <w:sz w:val="16"/>
                <w:szCs w:val="16"/>
                <w:lang w:val="en-GB"/>
              </w:rPr>
              <w:t xml:space="preserve"> 1</w:t>
            </w:r>
          </w:p>
        </w:tc>
      </w:tr>
      <w:tr w:rsidR="002129B7" w:rsidRPr="0051294D" w14:paraId="71A0817E" w14:textId="77777777" w:rsidTr="00FA2849">
        <w:tc>
          <w:tcPr>
            <w:tcW w:w="833" w:type="pct"/>
            <w:vMerge w:val="restart"/>
            <w:tcMar>
              <w:top w:w="72" w:type="dxa"/>
              <w:left w:w="144" w:type="dxa"/>
              <w:bottom w:w="72" w:type="dxa"/>
              <w:right w:w="144" w:type="dxa"/>
            </w:tcMar>
          </w:tcPr>
          <w:p w14:paraId="768A0FEE" w14:textId="77777777" w:rsidR="002129B7" w:rsidRPr="0051294D" w:rsidRDefault="002129B7" w:rsidP="00C658B7">
            <w:pPr>
              <w:pStyle w:val="ListParagraph"/>
              <w:ind w:left="0"/>
              <w:contextualSpacing/>
              <w:rPr>
                <w:rFonts w:cstheme="minorHAnsi"/>
                <w:b/>
                <w:sz w:val="16"/>
                <w:szCs w:val="16"/>
              </w:rPr>
            </w:pPr>
            <w:r w:rsidRPr="0051294D">
              <w:rPr>
                <w:rFonts w:cstheme="minorHAnsi"/>
                <w:b/>
                <w:color w:val="17365D" w:themeColor="text2" w:themeShade="BF"/>
                <w:sz w:val="16"/>
                <w:szCs w:val="16"/>
              </w:rPr>
              <w:t>1</w:t>
            </w:r>
            <w:r w:rsidRPr="0051294D">
              <w:rPr>
                <w:rFonts w:cstheme="minorHAnsi"/>
                <w:b/>
                <w:sz w:val="16"/>
                <w:szCs w:val="16"/>
              </w:rPr>
              <w:t xml:space="preserve">.1 Growth rates of income per capita among the bottom 40% and total population (SDG indicator 10.1.1) </w:t>
            </w:r>
          </w:p>
          <w:p w14:paraId="2992150C" w14:textId="1B5016AB" w:rsidR="002129B7" w:rsidRPr="0051294D" w:rsidRDefault="002129B7" w:rsidP="00C658B7">
            <w:pPr>
              <w:rPr>
                <w:sz w:val="16"/>
                <w:szCs w:val="16"/>
              </w:rPr>
            </w:pPr>
            <w:r w:rsidRPr="00C76BFF">
              <w:rPr>
                <w:i/>
                <w:sz w:val="16"/>
                <w:szCs w:val="16"/>
              </w:rPr>
              <w:t xml:space="preserve">Baseline </w:t>
            </w:r>
            <w:r w:rsidR="00770653">
              <w:rPr>
                <w:sz w:val="16"/>
                <w:szCs w:val="16"/>
              </w:rPr>
              <w:t>(</w:t>
            </w:r>
            <w:r w:rsidRPr="0051294D">
              <w:rPr>
                <w:sz w:val="16"/>
                <w:szCs w:val="16"/>
              </w:rPr>
              <w:t>2014</w:t>
            </w:r>
            <w:r w:rsidR="00770653">
              <w:rPr>
                <w:sz w:val="16"/>
                <w:szCs w:val="16"/>
              </w:rPr>
              <w:t>)</w:t>
            </w:r>
            <w:r w:rsidRPr="0051294D">
              <w:rPr>
                <w:sz w:val="16"/>
                <w:szCs w:val="16"/>
              </w:rPr>
              <w:t xml:space="preserve">: 0.4%; total population: -1.1%; </w:t>
            </w:r>
          </w:p>
          <w:p w14:paraId="643E434D" w14:textId="27EF1CD1" w:rsidR="002129B7" w:rsidRPr="0051294D" w:rsidRDefault="002129B7" w:rsidP="00C658B7">
            <w:pPr>
              <w:pStyle w:val="ListParagraph"/>
              <w:ind w:left="0"/>
              <w:contextualSpacing/>
              <w:rPr>
                <w:rFonts w:cstheme="minorHAnsi"/>
                <w:sz w:val="16"/>
                <w:szCs w:val="16"/>
              </w:rPr>
            </w:pPr>
            <w:r w:rsidRPr="00C76BFF">
              <w:rPr>
                <w:i/>
                <w:sz w:val="16"/>
                <w:szCs w:val="16"/>
              </w:rPr>
              <w:t>Target:</w:t>
            </w:r>
            <w:r w:rsidR="00A65CBC">
              <w:rPr>
                <w:sz w:val="16"/>
                <w:szCs w:val="16"/>
              </w:rPr>
              <w:t xml:space="preserve"> </w:t>
            </w:r>
            <w:r w:rsidRPr="00C76BFF">
              <w:rPr>
                <w:sz w:val="16"/>
                <w:szCs w:val="16"/>
              </w:rPr>
              <w:t>1</w:t>
            </w:r>
            <w:r w:rsidRPr="0051294D">
              <w:rPr>
                <w:sz w:val="16"/>
                <w:szCs w:val="16"/>
              </w:rPr>
              <w:t>%</w:t>
            </w:r>
          </w:p>
          <w:p w14:paraId="43A8C7ED" w14:textId="77777777" w:rsidR="002129B7" w:rsidRPr="0051294D" w:rsidRDefault="002129B7" w:rsidP="00C658B7">
            <w:pPr>
              <w:rPr>
                <w:rFonts w:cstheme="minorHAnsi"/>
                <w:sz w:val="16"/>
                <w:szCs w:val="16"/>
              </w:rPr>
            </w:pPr>
          </w:p>
          <w:p w14:paraId="61369E26" w14:textId="6B8B5C20" w:rsidR="00770653" w:rsidRDefault="002129B7" w:rsidP="00C658B7">
            <w:pPr>
              <w:rPr>
                <w:rFonts w:cstheme="minorHAnsi"/>
                <w:b/>
                <w:sz w:val="16"/>
                <w:szCs w:val="16"/>
              </w:rPr>
            </w:pPr>
            <w:r w:rsidRPr="0051294D">
              <w:rPr>
                <w:rFonts w:cstheme="minorHAnsi"/>
                <w:b/>
                <w:sz w:val="16"/>
                <w:szCs w:val="16"/>
              </w:rPr>
              <w:t>1.2 Proportion of population living below national poverty line</w:t>
            </w:r>
          </w:p>
          <w:p w14:paraId="3D0A989A" w14:textId="1EB457A6" w:rsidR="002129B7" w:rsidRPr="0051294D" w:rsidRDefault="002129B7" w:rsidP="00C658B7">
            <w:pPr>
              <w:rPr>
                <w:rFonts w:cstheme="minorHAnsi"/>
                <w:b/>
                <w:sz w:val="16"/>
                <w:szCs w:val="16"/>
              </w:rPr>
            </w:pPr>
            <w:r w:rsidRPr="0051294D">
              <w:rPr>
                <w:rFonts w:cstheme="minorHAnsi"/>
                <w:b/>
                <w:sz w:val="16"/>
                <w:szCs w:val="16"/>
              </w:rPr>
              <w:t>(SDG 1.2.1)</w:t>
            </w:r>
          </w:p>
          <w:p w14:paraId="3BA94E41" w14:textId="30944488" w:rsidR="00770653" w:rsidRDefault="002129B7" w:rsidP="00C658B7">
            <w:pPr>
              <w:rPr>
                <w:sz w:val="16"/>
                <w:szCs w:val="16"/>
              </w:rPr>
            </w:pPr>
            <w:r w:rsidRPr="0035377F">
              <w:rPr>
                <w:i/>
                <w:sz w:val="16"/>
                <w:szCs w:val="16"/>
              </w:rPr>
              <w:t>Baseline</w:t>
            </w:r>
            <w:r w:rsidRPr="0051294D">
              <w:rPr>
                <w:sz w:val="16"/>
                <w:szCs w:val="16"/>
              </w:rPr>
              <w:t xml:space="preserve"> </w:t>
            </w:r>
            <w:r w:rsidR="00770653">
              <w:rPr>
                <w:sz w:val="16"/>
                <w:szCs w:val="16"/>
              </w:rPr>
              <w:t>(</w:t>
            </w:r>
            <w:r w:rsidRPr="0051294D">
              <w:rPr>
                <w:sz w:val="16"/>
                <w:szCs w:val="16"/>
              </w:rPr>
              <w:t>2015</w:t>
            </w:r>
            <w:r w:rsidR="00770653">
              <w:rPr>
                <w:sz w:val="16"/>
                <w:szCs w:val="16"/>
              </w:rPr>
              <w:t>)</w:t>
            </w:r>
            <w:r w:rsidRPr="0051294D">
              <w:rPr>
                <w:sz w:val="16"/>
                <w:szCs w:val="16"/>
              </w:rPr>
              <w:t>: Overall: 32.1%</w:t>
            </w:r>
          </w:p>
          <w:p w14:paraId="5B2C62CD" w14:textId="20130A08" w:rsidR="00770653" w:rsidRDefault="002129B7" w:rsidP="00C658B7">
            <w:pPr>
              <w:rPr>
                <w:sz w:val="16"/>
                <w:szCs w:val="16"/>
              </w:rPr>
            </w:pPr>
            <w:r w:rsidRPr="0051294D">
              <w:rPr>
                <w:sz w:val="16"/>
                <w:szCs w:val="16"/>
              </w:rPr>
              <w:t>men</w:t>
            </w:r>
            <w:r w:rsidR="00770653">
              <w:rPr>
                <w:sz w:val="16"/>
                <w:szCs w:val="16"/>
              </w:rPr>
              <w:t xml:space="preserve">, </w:t>
            </w:r>
            <w:r w:rsidRPr="0051294D">
              <w:rPr>
                <w:sz w:val="16"/>
                <w:szCs w:val="16"/>
              </w:rPr>
              <w:t>31.5%</w:t>
            </w:r>
            <w:r w:rsidR="00770653">
              <w:rPr>
                <w:sz w:val="16"/>
                <w:szCs w:val="16"/>
              </w:rPr>
              <w:t xml:space="preserve">; </w:t>
            </w:r>
            <w:r w:rsidRPr="0051294D">
              <w:rPr>
                <w:sz w:val="16"/>
                <w:szCs w:val="16"/>
              </w:rPr>
              <w:t>women</w:t>
            </w:r>
            <w:r w:rsidR="00770653">
              <w:rPr>
                <w:sz w:val="16"/>
                <w:szCs w:val="16"/>
              </w:rPr>
              <w:t xml:space="preserve">, </w:t>
            </w:r>
            <w:r w:rsidRPr="0051294D">
              <w:rPr>
                <w:sz w:val="16"/>
                <w:szCs w:val="16"/>
              </w:rPr>
              <w:t>32.7% children</w:t>
            </w:r>
            <w:r w:rsidR="00770653">
              <w:rPr>
                <w:sz w:val="16"/>
                <w:szCs w:val="16"/>
              </w:rPr>
              <w:t>,</w:t>
            </w:r>
            <w:r w:rsidRPr="0051294D">
              <w:rPr>
                <w:sz w:val="16"/>
                <w:szCs w:val="16"/>
              </w:rPr>
              <w:t xml:space="preserve"> 40.5% young people</w:t>
            </w:r>
            <w:r w:rsidR="00770653">
              <w:rPr>
                <w:sz w:val="16"/>
                <w:szCs w:val="16"/>
              </w:rPr>
              <w:t>,</w:t>
            </w:r>
            <w:r w:rsidRPr="0051294D">
              <w:rPr>
                <w:sz w:val="16"/>
                <w:szCs w:val="16"/>
              </w:rPr>
              <w:t xml:space="preserve"> 29% urban</w:t>
            </w:r>
            <w:r w:rsidR="00770653">
              <w:rPr>
                <w:sz w:val="16"/>
                <w:szCs w:val="16"/>
              </w:rPr>
              <w:t>,</w:t>
            </w:r>
            <w:r w:rsidRPr="0051294D">
              <w:rPr>
                <w:sz w:val="16"/>
                <w:szCs w:val="16"/>
              </w:rPr>
              <w:t xml:space="preserve"> 29.3%</w:t>
            </w:r>
          </w:p>
          <w:p w14:paraId="5A8D2D0D" w14:textId="45372BE0" w:rsidR="002129B7" w:rsidRPr="0051294D" w:rsidRDefault="002129B7" w:rsidP="00C658B7">
            <w:pPr>
              <w:rPr>
                <w:sz w:val="16"/>
                <w:szCs w:val="16"/>
              </w:rPr>
            </w:pPr>
            <w:r w:rsidRPr="0051294D">
              <w:rPr>
                <w:sz w:val="16"/>
                <w:szCs w:val="16"/>
              </w:rPr>
              <w:t>rural</w:t>
            </w:r>
            <w:r w:rsidR="00770653">
              <w:rPr>
                <w:sz w:val="16"/>
                <w:szCs w:val="16"/>
              </w:rPr>
              <w:t>,</w:t>
            </w:r>
            <w:r w:rsidRPr="0051294D">
              <w:rPr>
                <w:sz w:val="16"/>
                <w:szCs w:val="16"/>
              </w:rPr>
              <w:t xml:space="preserve"> 33.6% mountainous areas</w:t>
            </w:r>
            <w:r w:rsidR="00770653">
              <w:rPr>
                <w:sz w:val="16"/>
                <w:szCs w:val="16"/>
              </w:rPr>
              <w:t>,</w:t>
            </w:r>
            <w:r w:rsidRPr="0051294D">
              <w:rPr>
                <w:sz w:val="16"/>
                <w:szCs w:val="16"/>
              </w:rPr>
              <w:t xml:space="preserve"> 38.4%</w:t>
            </w:r>
          </w:p>
          <w:p w14:paraId="75063525" w14:textId="709B01BF" w:rsidR="002129B7" w:rsidRPr="0051294D" w:rsidRDefault="002129B7" w:rsidP="00C658B7">
            <w:pPr>
              <w:pStyle w:val="CommentText"/>
              <w:rPr>
                <w:sz w:val="16"/>
                <w:szCs w:val="16"/>
                <w:highlight w:val="yellow"/>
              </w:rPr>
            </w:pPr>
            <w:r w:rsidRPr="0035377F">
              <w:rPr>
                <w:i/>
                <w:sz w:val="16"/>
                <w:szCs w:val="16"/>
              </w:rPr>
              <w:t>Target:</w:t>
            </w:r>
            <w:r w:rsidR="00770653">
              <w:rPr>
                <w:sz w:val="16"/>
                <w:szCs w:val="16"/>
              </w:rPr>
              <w:t xml:space="preserve"> </w:t>
            </w:r>
            <w:r w:rsidRPr="0051294D">
              <w:rPr>
                <w:sz w:val="16"/>
                <w:szCs w:val="16"/>
              </w:rPr>
              <w:t>25%</w:t>
            </w:r>
          </w:p>
          <w:p w14:paraId="0A31BC17" w14:textId="77777777" w:rsidR="002129B7" w:rsidRPr="0051294D" w:rsidRDefault="002129B7" w:rsidP="00C658B7">
            <w:pPr>
              <w:rPr>
                <w:b/>
                <w:color w:val="222A35"/>
                <w:sz w:val="16"/>
                <w:szCs w:val="16"/>
              </w:rPr>
            </w:pPr>
          </w:p>
          <w:p w14:paraId="31096458" w14:textId="77777777" w:rsidR="002129B7" w:rsidRPr="0051294D" w:rsidRDefault="002129B7" w:rsidP="00C658B7">
            <w:pPr>
              <w:rPr>
                <w:b/>
                <w:sz w:val="16"/>
                <w:szCs w:val="16"/>
              </w:rPr>
            </w:pPr>
            <w:r w:rsidRPr="0051294D">
              <w:rPr>
                <w:b/>
                <w:sz w:val="16"/>
                <w:szCs w:val="16"/>
              </w:rPr>
              <w:t xml:space="preserve">1.3: Employment rate (formal and informal), (disaggregated by sex, age and rural/urban) </w:t>
            </w:r>
          </w:p>
          <w:p w14:paraId="2C065E92" w14:textId="50CF3F7E" w:rsidR="00770653" w:rsidRDefault="002129B7" w:rsidP="00C658B7">
            <w:pPr>
              <w:rPr>
                <w:sz w:val="16"/>
                <w:szCs w:val="16"/>
              </w:rPr>
            </w:pPr>
            <w:r w:rsidRPr="0035377F">
              <w:rPr>
                <w:i/>
                <w:sz w:val="16"/>
                <w:szCs w:val="16"/>
              </w:rPr>
              <w:t>Baseline</w:t>
            </w:r>
            <w:r w:rsidRPr="0051294D">
              <w:rPr>
                <w:sz w:val="16"/>
                <w:szCs w:val="16"/>
              </w:rPr>
              <w:t xml:space="preserve"> </w:t>
            </w:r>
            <w:r w:rsidR="00770653">
              <w:rPr>
                <w:sz w:val="16"/>
                <w:szCs w:val="16"/>
              </w:rPr>
              <w:t>(</w:t>
            </w:r>
            <w:r w:rsidRPr="0051294D">
              <w:rPr>
                <w:sz w:val="16"/>
                <w:szCs w:val="16"/>
              </w:rPr>
              <w:t>2015</w:t>
            </w:r>
            <w:r w:rsidR="00770653">
              <w:rPr>
                <w:sz w:val="16"/>
                <w:szCs w:val="16"/>
              </w:rPr>
              <w:t>)</w:t>
            </w:r>
            <w:r w:rsidRPr="0051294D">
              <w:rPr>
                <w:sz w:val="16"/>
                <w:szCs w:val="16"/>
              </w:rPr>
              <w:t>: m</w:t>
            </w:r>
            <w:r w:rsidR="00770653">
              <w:rPr>
                <w:sz w:val="16"/>
                <w:szCs w:val="16"/>
              </w:rPr>
              <w:t>e</w:t>
            </w:r>
            <w:r w:rsidRPr="0051294D">
              <w:rPr>
                <w:sz w:val="16"/>
                <w:szCs w:val="16"/>
              </w:rPr>
              <w:t>n</w:t>
            </w:r>
            <w:r w:rsidR="00770653">
              <w:rPr>
                <w:sz w:val="16"/>
                <w:szCs w:val="16"/>
              </w:rPr>
              <w:t>,</w:t>
            </w:r>
            <w:r w:rsidRPr="0051294D">
              <w:rPr>
                <w:sz w:val="16"/>
                <w:szCs w:val="16"/>
              </w:rPr>
              <w:t xml:space="preserve"> 70.6% </w:t>
            </w:r>
          </w:p>
          <w:p w14:paraId="6A49AE8F" w14:textId="211E9968" w:rsidR="00A65CBC" w:rsidRDefault="00A65CBC" w:rsidP="00C658B7">
            <w:pPr>
              <w:rPr>
                <w:sz w:val="16"/>
                <w:szCs w:val="16"/>
              </w:rPr>
            </w:pPr>
            <w:r>
              <w:rPr>
                <w:sz w:val="16"/>
                <w:szCs w:val="16"/>
              </w:rPr>
              <w:t>w</w:t>
            </w:r>
            <w:r w:rsidR="002129B7" w:rsidRPr="0051294D">
              <w:rPr>
                <w:sz w:val="16"/>
                <w:szCs w:val="16"/>
              </w:rPr>
              <w:t>omen</w:t>
            </w:r>
            <w:r w:rsidR="00770653">
              <w:rPr>
                <w:sz w:val="16"/>
                <w:szCs w:val="16"/>
              </w:rPr>
              <w:t>,</w:t>
            </w:r>
            <w:r w:rsidR="002129B7" w:rsidRPr="0051294D">
              <w:rPr>
                <w:sz w:val="16"/>
                <w:szCs w:val="16"/>
              </w:rPr>
              <w:t xml:space="preserve"> 45.4%</w:t>
            </w:r>
          </w:p>
          <w:p w14:paraId="33F8B9E8" w14:textId="02859EC7" w:rsidR="00A65CBC" w:rsidRDefault="002129B7" w:rsidP="00C658B7">
            <w:pPr>
              <w:rPr>
                <w:sz w:val="16"/>
                <w:szCs w:val="16"/>
              </w:rPr>
            </w:pPr>
            <w:r w:rsidRPr="0051294D">
              <w:rPr>
                <w:sz w:val="16"/>
                <w:szCs w:val="16"/>
              </w:rPr>
              <w:t>rural</w:t>
            </w:r>
            <w:r w:rsidR="00A65CBC">
              <w:rPr>
                <w:sz w:val="16"/>
                <w:szCs w:val="16"/>
              </w:rPr>
              <w:t xml:space="preserve"> </w:t>
            </w:r>
            <w:r w:rsidRPr="0051294D">
              <w:rPr>
                <w:sz w:val="16"/>
                <w:szCs w:val="16"/>
              </w:rPr>
              <w:t>m</w:t>
            </w:r>
            <w:r w:rsidR="00A65CBC">
              <w:rPr>
                <w:sz w:val="16"/>
                <w:szCs w:val="16"/>
              </w:rPr>
              <w:t>e</w:t>
            </w:r>
            <w:r w:rsidRPr="0051294D">
              <w:rPr>
                <w:sz w:val="16"/>
                <w:szCs w:val="16"/>
              </w:rPr>
              <w:t>n</w:t>
            </w:r>
            <w:r w:rsidR="00A65CBC">
              <w:rPr>
                <w:sz w:val="16"/>
                <w:szCs w:val="16"/>
              </w:rPr>
              <w:t xml:space="preserve">, </w:t>
            </w:r>
            <w:r w:rsidRPr="0051294D">
              <w:rPr>
                <w:sz w:val="16"/>
                <w:szCs w:val="16"/>
              </w:rPr>
              <w:t>71.3% rural</w:t>
            </w:r>
            <w:r w:rsidR="00A65CBC">
              <w:rPr>
                <w:sz w:val="16"/>
                <w:szCs w:val="16"/>
              </w:rPr>
              <w:t xml:space="preserve"> </w:t>
            </w:r>
            <w:r w:rsidRPr="0051294D">
              <w:rPr>
                <w:sz w:val="16"/>
                <w:szCs w:val="16"/>
              </w:rPr>
              <w:t>women</w:t>
            </w:r>
            <w:r w:rsidR="00A65CBC">
              <w:rPr>
                <w:sz w:val="16"/>
                <w:szCs w:val="16"/>
              </w:rPr>
              <w:t>,</w:t>
            </w:r>
            <w:r w:rsidRPr="0051294D">
              <w:rPr>
                <w:sz w:val="16"/>
                <w:szCs w:val="16"/>
              </w:rPr>
              <w:t xml:space="preserve"> 46.2%</w:t>
            </w:r>
          </w:p>
          <w:p w14:paraId="01123090" w14:textId="66C42661" w:rsidR="00A65CBC" w:rsidRDefault="002129B7" w:rsidP="00C658B7">
            <w:pPr>
              <w:rPr>
                <w:sz w:val="16"/>
                <w:szCs w:val="16"/>
              </w:rPr>
            </w:pPr>
            <w:r w:rsidRPr="0051294D">
              <w:rPr>
                <w:sz w:val="16"/>
                <w:szCs w:val="16"/>
              </w:rPr>
              <w:t>urban</w:t>
            </w:r>
            <w:r w:rsidR="00A65CBC">
              <w:rPr>
                <w:sz w:val="16"/>
                <w:szCs w:val="16"/>
              </w:rPr>
              <w:t xml:space="preserve"> </w:t>
            </w:r>
            <w:r w:rsidRPr="0051294D">
              <w:rPr>
                <w:sz w:val="16"/>
                <w:szCs w:val="16"/>
              </w:rPr>
              <w:t>m</w:t>
            </w:r>
            <w:r w:rsidR="00A65CBC">
              <w:rPr>
                <w:sz w:val="16"/>
                <w:szCs w:val="16"/>
              </w:rPr>
              <w:t>e</w:t>
            </w:r>
            <w:r w:rsidRPr="0051294D">
              <w:rPr>
                <w:sz w:val="16"/>
                <w:szCs w:val="16"/>
              </w:rPr>
              <w:t>n</w:t>
            </w:r>
            <w:r w:rsidR="00A65CBC">
              <w:rPr>
                <w:sz w:val="16"/>
                <w:szCs w:val="16"/>
              </w:rPr>
              <w:t>,</w:t>
            </w:r>
            <w:r w:rsidRPr="0051294D">
              <w:rPr>
                <w:sz w:val="16"/>
                <w:szCs w:val="16"/>
              </w:rPr>
              <w:t xml:space="preserve"> 69.3% </w:t>
            </w:r>
          </w:p>
          <w:p w14:paraId="505B6154" w14:textId="0D302288" w:rsidR="002129B7" w:rsidRPr="0051294D" w:rsidRDefault="002129B7" w:rsidP="00C658B7">
            <w:pPr>
              <w:rPr>
                <w:sz w:val="16"/>
                <w:szCs w:val="16"/>
              </w:rPr>
            </w:pPr>
            <w:r w:rsidRPr="0051294D">
              <w:rPr>
                <w:sz w:val="16"/>
                <w:szCs w:val="16"/>
              </w:rPr>
              <w:t>urban</w:t>
            </w:r>
            <w:r w:rsidR="00A65CBC">
              <w:rPr>
                <w:sz w:val="16"/>
                <w:szCs w:val="16"/>
              </w:rPr>
              <w:t xml:space="preserve"> </w:t>
            </w:r>
            <w:r w:rsidRPr="0051294D">
              <w:rPr>
                <w:sz w:val="16"/>
                <w:szCs w:val="16"/>
              </w:rPr>
              <w:t>women</w:t>
            </w:r>
            <w:r w:rsidR="00A65CBC">
              <w:rPr>
                <w:sz w:val="16"/>
                <w:szCs w:val="16"/>
              </w:rPr>
              <w:t xml:space="preserve">, </w:t>
            </w:r>
            <w:r w:rsidRPr="0051294D">
              <w:rPr>
                <w:sz w:val="16"/>
                <w:szCs w:val="16"/>
              </w:rPr>
              <w:t>44.1%; age group 20-24</w:t>
            </w:r>
            <w:r w:rsidR="00A65CBC">
              <w:rPr>
                <w:sz w:val="16"/>
                <w:szCs w:val="16"/>
              </w:rPr>
              <w:t xml:space="preserve"> (</w:t>
            </w:r>
            <w:r w:rsidRPr="0051294D">
              <w:rPr>
                <w:sz w:val="16"/>
                <w:szCs w:val="16"/>
              </w:rPr>
              <w:t>m</w:t>
            </w:r>
            <w:r w:rsidR="00A65CBC">
              <w:rPr>
                <w:sz w:val="16"/>
                <w:szCs w:val="16"/>
              </w:rPr>
              <w:t>e</w:t>
            </w:r>
            <w:r w:rsidRPr="0051294D">
              <w:rPr>
                <w:sz w:val="16"/>
                <w:szCs w:val="16"/>
              </w:rPr>
              <w:t>n</w:t>
            </w:r>
            <w:r w:rsidR="00A65CBC">
              <w:rPr>
                <w:sz w:val="16"/>
                <w:szCs w:val="16"/>
              </w:rPr>
              <w:t>):</w:t>
            </w:r>
            <w:r w:rsidRPr="0051294D">
              <w:rPr>
                <w:sz w:val="16"/>
                <w:szCs w:val="16"/>
              </w:rPr>
              <w:t xml:space="preserve"> 64.8%</w:t>
            </w:r>
            <w:r w:rsidR="00A65CBC">
              <w:rPr>
                <w:sz w:val="16"/>
                <w:szCs w:val="16"/>
              </w:rPr>
              <w:t xml:space="preserve"> (</w:t>
            </w:r>
            <w:r w:rsidRPr="0051294D">
              <w:rPr>
                <w:sz w:val="16"/>
                <w:szCs w:val="16"/>
              </w:rPr>
              <w:t>women</w:t>
            </w:r>
            <w:r w:rsidR="00A65CBC">
              <w:rPr>
                <w:sz w:val="16"/>
                <w:szCs w:val="16"/>
              </w:rPr>
              <w:t>)</w:t>
            </w:r>
            <w:r w:rsidRPr="0051294D">
              <w:rPr>
                <w:sz w:val="16"/>
                <w:szCs w:val="16"/>
              </w:rPr>
              <w:t>:</w:t>
            </w:r>
            <w:r w:rsidR="00A65CBC">
              <w:rPr>
                <w:sz w:val="16"/>
                <w:szCs w:val="16"/>
              </w:rPr>
              <w:t xml:space="preserve"> </w:t>
            </w:r>
            <w:r w:rsidRPr="0051294D">
              <w:rPr>
                <w:sz w:val="16"/>
                <w:szCs w:val="16"/>
              </w:rPr>
              <w:t>37.7%</w:t>
            </w:r>
          </w:p>
          <w:p w14:paraId="69DF822C" w14:textId="0AA9728F" w:rsidR="002129B7" w:rsidRPr="007E66ED" w:rsidRDefault="002129B7" w:rsidP="007E66ED">
            <w:pPr>
              <w:pStyle w:val="CommentText"/>
              <w:rPr>
                <w:sz w:val="16"/>
                <w:szCs w:val="16"/>
                <w:highlight w:val="yellow"/>
              </w:rPr>
            </w:pPr>
            <w:r w:rsidRPr="0035377F">
              <w:rPr>
                <w:i/>
                <w:sz w:val="16"/>
                <w:szCs w:val="16"/>
              </w:rPr>
              <w:t>Target:</w:t>
            </w:r>
            <w:r w:rsidRPr="0051294D">
              <w:rPr>
                <w:sz w:val="16"/>
                <w:szCs w:val="16"/>
              </w:rPr>
              <w:t xml:space="preserve"> Women 50% </w:t>
            </w:r>
          </w:p>
          <w:p w14:paraId="3E91B80A" w14:textId="77777777" w:rsidR="002129B7" w:rsidRPr="0051294D" w:rsidRDefault="002129B7" w:rsidP="00C658B7">
            <w:pPr>
              <w:rPr>
                <w:bCs/>
                <w:color w:val="000000"/>
                <w:sz w:val="16"/>
                <w:szCs w:val="16"/>
              </w:rPr>
            </w:pPr>
          </w:p>
        </w:tc>
        <w:tc>
          <w:tcPr>
            <w:tcW w:w="1310" w:type="pct"/>
            <w:gridSpan w:val="3"/>
            <w:vMerge w:val="restart"/>
          </w:tcPr>
          <w:p w14:paraId="25327462" w14:textId="6FB4E3ED" w:rsidR="00226E3B" w:rsidRDefault="002129B7" w:rsidP="00C658B7">
            <w:pPr>
              <w:rPr>
                <w:bCs/>
                <w:sz w:val="16"/>
                <w:szCs w:val="16"/>
              </w:rPr>
            </w:pPr>
            <w:r w:rsidRPr="0051294D">
              <w:rPr>
                <w:bCs/>
                <w:sz w:val="16"/>
                <w:szCs w:val="16"/>
              </w:rPr>
              <w:lastRenderedPageBreak/>
              <w:t>1.1</w:t>
            </w:r>
            <w:r w:rsidR="00226E3B">
              <w:rPr>
                <w:bCs/>
                <w:sz w:val="16"/>
                <w:szCs w:val="16"/>
              </w:rPr>
              <w:t xml:space="preserve">. </w:t>
            </w:r>
            <w:r w:rsidRPr="0051294D">
              <w:rPr>
                <w:bCs/>
                <w:sz w:val="16"/>
                <w:szCs w:val="16"/>
              </w:rPr>
              <w:t>W</w:t>
            </w:r>
            <w:r w:rsidR="00226E3B">
              <w:rPr>
                <w:bCs/>
                <w:sz w:val="16"/>
                <w:szCs w:val="16"/>
              </w:rPr>
              <w:t>orld Bank</w:t>
            </w:r>
          </w:p>
          <w:p w14:paraId="774E1A3E" w14:textId="0998FF20" w:rsidR="002129B7" w:rsidRPr="0051294D" w:rsidRDefault="002129B7" w:rsidP="00C658B7">
            <w:pPr>
              <w:rPr>
                <w:bCs/>
                <w:sz w:val="16"/>
                <w:szCs w:val="16"/>
              </w:rPr>
            </w:pPr>
            <w:r w:rsidRPr="0051294D">
              <w:rPr>
                <w:bCs/>
                <w:sz w:val="16"/>
                <w:szCs w:val="16"/>
              </w:rPr>
              <w:t>Annually</w:t>
            </w:r>
          </w:p>
          <w:p w14:paraId="0A51A8B9" w14:textId="77777777" w:rsidR="002129B7" w:rsidRPr="0051294D" w:rsidRDefault="002129B7" w:rsidP="00C658B7">
            <w:pPr>
              <w:rPr>
                <w:bCs/>
                <w:sz w:val="16"/>
                <w:szCs w:val="16"/>
              </w:rPr>
            </w:pPr>
          </w:p>
          <w:p w14:paraId="32C0E415" w14:textId="37224BE4" w:rsidR="00226E3B" w:rsidRDefault="002129B7" w:rsidP="00C658B7">
            <w:pPr>
              <w:rPr>
                <w:sz w:val="16"/>
                <w:szCs w:val="16"/>
              </w:rPr>
            </w:pPr>
            <w:r w:rsidRPr="0051294D">
              <w:rPr>
                <w:sz w:val="16"/>
                <w:szCs w:val="16"/>
              </w:rPr>
              <w:t>1.2</w:t>
            </w:r>
            <w:r w:rsidR="00226E3B">
              <w:rPr>
                <w:sz w:val="16"/>
                <w:szCs w:val="16"/>
              </w:rPr>
              <w:t xml:space="preserve">. </w:t>
            </w:r>
            <w:r w:rsidRPr="0051294D">
              <w:rPr>
                <w:sz w:val="16"/>
                <w:szCs w:val="16"/>
              </w:rPr>
              <w:t>NSC</w:t>
            </w:r>
          </w:p>
          <w:p w14:paraId="79C27FC5" w14:textId="0D15B184" w:rsidR="002129B7" w:rsidRPr="0051294D" w:rsidRDefault="002129B7" w:rsidP="00C658B7">
            <w:pPr>
              <w:rPr>
                <w:sz w:val="16"/>
                <w:szCs w:val="16"/>
              </w:rPr>
            </w:pPr>
            <w:r w:rsidRPr="0051294D">
              <w:rPr>
                <w:sz w:val="16"/>
                <w:szCs w:val="16"/>
              </w:rPr>
              <w:t xml:space="preserve">Annually </w:t>
            </w:r>
          </w:p>
          <w:p w14:paraId="35AC9C1B" w14:textId="77777777" w:rsidR="002129B7" w:rsidRPr="0051294D" w:rsidRDefault="002129B7" w:rsidP="00C658B7">
            <w:pPr>
              <w:rPr>
                <w:b/>
                <w:bCs/>
                <w:color w:val="000000"/>
                <w:sz w:val="16"/>
                <w:szCs w:val="16"/>
                <w:lang w:val="en-GB"/>
              </w:rPr>
            </w:pPr>
          </w:p>
          <w:p w14:paraId="1905951B" w14:textId="3DFD72DA" w:rsidR="00226E3B" w:rsidRDefault="00226E3B" w:rsidP="00226E3B">
            <w:pPr>
              <w:rPr>
                <w:sz w:val="16"/>
                <w:szCs w:val="16"/>
              </w:rPr>
            </w:pPr>
            <w:r>
              <w:rPr>
                <w:sz w:val="16"/>
                <w:szCs w:val="16"/>
              </w:rPr>
              <w:t xml:space="preserve">1.3. </w:t>
            </w:r>
            <w:r w:rsidRPr="0051294D">
              <w:rPr>
                <w:sz w:val="16"/>
                <w:szCs w:val="16"/>
              </w:rPr>
              <w:t>NSC</w:t>
            </w:r>
          </w:p>
          <w:p w14:paraId="0635F139" w14:textId="77777777" w:rsidR="00226E3B" w:rsidRPr="0051294D" w:rsidRDefault="00226E3B" w:rsidP="00226E3B">
            <w:pPr>
              <w:rPr>
                <w:sz w:val="16"/>
                <w:szCs w:val="16"/>
              </w:rPr>
            </w:pPr>
            <w:r w:rsidRPr="0051294D">
              <w:rPr>
                <w:sz w:val="16"/>
                <w:szCs w:val="16"/>
              </w:rPr>
              <w:t xml:space="preserve">Annually </w:t>
            </w:r>
          </w:p>
          <w:p w14:paraId="56CA62EF" w14:textId="77777777" w:rsidR="002129B7" w:rsidRPr="0051294D" w:rsidRDefault="002129B7" w:rsidP="007E66ED">
            <w:pPr>
              <w:rPr>
                <w:b/>
                <w:bCs/>
                <w:color w:val="000000"/>
                <w:sz w:val="16"/>
                <w:szCs w:val="16"/>
              </w:rPr>
            </w:pPr>
          </w:p>
        </w:tc>
        <w:tc>
          <w:tcPr>
            <w:tcW w:w="1514" w:type="pct"/>
            <w:gridSpan w:val="3"/>
            <w:vMerge w:val="restart"/>
            <w:tcMar>
              <w:top w:w="72" w:type="dxa"/>
              <w:left w:w="144" w:type="dxa"/>
              <w:bottom w:w="72" w:type="dxa"/>
              <w:right w:w="144" w:type="dxa"/>
            </w:tcMar>
          </w:tcPr>
          <w:p w14:paraId="2D423F32" w14:textId="7120CB0E" w:rsidR="002129B7" w:rsidRPr="0051294D" w:rsidRDefault="002129B7" w:rsidP="00C76BFF">
            <w:pPr>
              <w:rPr>
                <w:rFonts w:asciiTheme="majorHAnsi" w:eastAsiaTheme="majorEastAsia" w:hAnsiTheme="majorHAnsi" w:cstheme="majorBidi"/>
                <w:b/>
                <w:bCs/>
                <w:color w:val="4F81BD" w:themeColor="accent1"/>
                <w:sz w:val="16"/>
                <w:szCs w:val="16"/>
              </w:rPr>
            </w:pPr>
            <w:r w:rsidRPr="0051294D">
              <w:rPr>
                <w:b/>
                <w:bCs/>
                <w:sz w:val="16"/>
                <w:szCs w:val="16"/>
              </w:rPr>
              <w:t>Output 1.1: Policy frameworks and institutional mechanisms enabled at the national and subnational levels for sustainable, resilient, inclusive and gender</w:t>
            </w:r>
            <w:r w:rsidR="00A65CBC">
              <w:rPr>
                <w:b/>
                <w:bCs/>
                <w:sz w:val="16"/>
                <w:szCs w:val="16"/>
              </w:rPr>
              <w:t>-</w:t>
            </w:r>
            <w:r w:rsidRPr="0051294D">
              <w:rPr>
                <w:b/>
                <w:bCs/>
                <w:sz w:val="16"/>
                <w:szCs w:val="16"/>
              </w:rPr>
              <w:t>responsive economic growth. (5, 8, 10)</w:t>
            </w:r>
          </w:p>
          <w:p w14:paraId="617F28DE" w14:textId="1A133AA8" w:rsidR="002129B7" w:rsidRPr="0051294D" w:rsidRDefault="002129B7" w:rsidP="00C76BFF">
            <w:pPr>
              <w:rPr>
                <w:rFonts w:asciiTheme="majorHAnsi" w:eastAsiaTheme="majorEastAsia" w:hAnsiTheme="majorHAnsi" w:cstheme="majorBidi"/>
                <w:b/>
                <w:bCs/>
                <w:color w:val="4F81BD" w:themeColor="accent1"/>
                <w:sz w:val="16"/>
                <w:szCs w:val="16"/>
              </w:rPr>
            </w:pPr>
            <w:r w:rsidRPr="0051294D">
              <w:rPr>
                <w:b/>
                <w:bCs/>
                <w:sz w:val="16"/>
                <w:szCs w:val="16"/>
              </w:rPr>
              <w:t>Indicator 1.1.1</w:t>
            </w:r>
            <w:r w:rsidR="00A65CBC">
              <w:rPr>
                <w:b/>
                <w:bCs/>
                <w:sz w:val="16"/>
                <w:szCs w:val="16"/>
              </w:rPr>
              <w:t>.</w:t>
            </w:r>
            <w:r w:rsidRPr="0051294D">
              <w:rPr>
                <w:sz w:val="16"/>
                <w:szCs w:val="16"/>
              </w:rPr>
              <w:t xml:space="preserve"> Extent to which policies, systems and/or institutional measures are in place at the national and sub-national levels to generate and strengthen employment and livelihoods</w:t>
            </w:r>
          </w:p>
          <w:p w14:paraId="664FC654" w14:textId="67FD3DF0" w:rsidR="002129B7" w:rsidRPr="0051294D" w:rsidRDefault="002129B7" w:rsidP="00C76BFF">
            <w:pPr>
              <w:rPr>
                <w:rFonts w:asciiTheme="majorHAnsi" w:eastAsiaTheme="majorEastAsia" w:hAnsiTheme="majorHAnsi" w:cstheme="majorBidi"/>
                <w:b/>
                <w:bCs/>
                <w:color w:val="4F81BD" w:themeColor="accent1"/>
                <w:sz w:val="16"/>
                <w:szCs w:val="16"/>
              </w:rPr>
            </w:pPr>
            <w:r w:rsidRPr="0051294D">
              <w:rPr>
                <w:b/>
                <w:sz w:val="16"/>
                <w:szCs w:val="16"/>
              </w:rPr>
              <w:t xml:space="preserve">Baseline </w:t>
            </w:r>
            <w:r w:rsidRPr="0051294D">
              <w:rPr>
                <w:sz w:val="16"/>
                <w:szCs w:val="16"/>
              </w:rPr>
              <w:t>(2016)</w:t>
            </w:r>
            <w:r w:rsidRPr="00C76BFF">
              <w:rPr>
                <w:sz w:val="16"/>
                <w:szCs w:val="16"/>
              </w:rPr>
              <w:t>:</w:t>
            </w:r>
            <w:r w:rsidRPr="0051294D">
              <w:rPr>
                <w:sz w:val="16"/>
                <w:szCs w:val="16"/>
              </w:rPr>
              <w:t xml:space="preserve"> 2 (very partially)</w:t>
            </w:r>
            <w:r w:rsidR="00A02534" w:rsidRPr="0051294D" w:rsidDel="00A02534">
              <w:rPr>
                <w:rStyle w:val="FootnoteReference"/>
                <w:sz w:val="16"/>
                <w:szCs w:val="16"/>
              </w:rPr>
              <w:t xml:space="preserve"> </w:t>
            </w:r>
          </w:p>
          <w:p w14:paraId="6E654945" w14:textId="7A1658B8" w:rsidR="00A65CBC" w:rsidRDefault="002129B7" w:rsidP="00C76BFF">
            <w:pPr>
              <w:rPr>
                <w:rFonts w:asciiTheme="majorHAnsi" w:eastAsiaTheme="majorEastAsia" w:hAnsiTheme="majorHAnsi" w:cstheme="majorBidi"/>
                <w:b/>
                <w:bCs/>
                <w:color w:val="4F81BD" w:themeColor="accent1"/>
                <w:sz w:val="16"/>
                <w:szCs w:val="16"/>
              </w:rPr>
            </w:pPr>
            <w:r w:rsidRPr="0051294D">
              <w:rPr>
                <w:b/>
                <w:sz w:val="16"/>
                <w:szCs w:val="16"/>
              </w:rPr>
              <w:t>Target:</w:t>
            </w:r>
            <w:r w:rsidRPr="0051294D">
              <w:rPr>
                <w:sz w:val="16"/>
                <w:szCs w:val="16"/>
              </w:rPr>
              <w:t xml:space="preserve"> 3 (partially) </w:t>
            </w:r>
          </w:p>
          <w:p w14:paraId="1D78841F" w14:textId="06971DF7" w:rsidR="002129B7" w:rsidRPr="0051294D" w:rsidRDefault="002129B7" w:rsidP="00C76BFF">
            <w:pPr>
              <w:rPr>
                <w:rFonts w:asciiTheme="majorHAnsi" w:eastAsiaTheme="majorEastAsia" w:hAnsiTheme="majorHAnsi" w:cstheme="majorBidi"/>
                <w:b/>
                <w:bCs/>
                <w:color w:val="4F81BD" w:themeColor="accent1"/>
                <w:sz w:val="16"/>
                <w:szCs w:val="16"/>
                <w:lang w:val="en-GB"/>
              </w:rPr>
            </w:pPr>
            <w:r w:rsidRPr="0051294D">
              <w:rPr>
                <w:b/>
                <w:sz w:val="16"/>
                <w:szCs w:val="16"/>
              </w:rPr>
              <w:t>Data source:</w:t>
            </w:r>
            <w:r w:rsidRPr="0051294D">
              <w:rPr>
                <w:sz w:val="16"/>
                <w:szCs w:val="16"/>
              </w:rPr>
              <w:t xml:space="preserve"> </w:t>
            </w:r>
            <w:r w:rsidRPr="0051294D">
              <w:rPr>
                <w:sz w:val="16"/>
                <w:szCs w:val="16"/>
                <w:lang w:val="en-GB"/>
              </w:rPr>
              <w:t xml:space="preserve">OPM </w:t>
            </w:r>
          </w:p>
          <w:p w14:paraId="3371598D" w14:textId="77777777" w:rsidR="002129B7" w:rsidRPr="0051294D" w:rsidRDefault="002129B7" w:rsidP="00C76BFF">
            <w:pPr>
              <w:rPr>
                <w:rFonts w:asciiTheme="majorHAnsi" w:eastAsiaTheme="majorEastAsia" w:hAnsiTheme="majorHAnsi" w:cstheme="majorBidi"/>
                <w:b/>
                <w:bCs/>
                <w:color w:val="4F81BD" w:themeColor="accent1"/>
                <w:sz w:val="16"/>
                <w:szCs w:val="16"/>
              </w:rPr>
            </w:pPr>
            <w:r w:rsidRPr="0051294D">
              <w:rPr>
                <w:b/>
                <w:bCs/>
                <w:sz w:val="16"/>
                <w:szCs w:val="16"/>
              </w:rPr>
              <w:t>Indicator 1.1.2:</w:t>
            </w:r>
            <w:r w:rsidRPr="0051294D">
              <w:rPr>
                <w:sz w:val="16"/>
                <w:szCs w:val="16"/>
              </w:rPr>
              <w:t xml:space="preserve"> Number of local sustainable, resilient and gender-responsive development plans</w:t>
            </w:r>
          </w:p>
          <w:p w14:paraId="1E854A38" w14:textId="77777777" w:rsidR="002129B7" w:rsidRPr="0051294D" w:rsidRDefault="002129B7" w:rsidP="00C76BFF">
            <w:pPr>
              <w:rPr>
                <w:rFonts w:asciiTheme="majorHAnsi" w:eastAsiaTheme="majorEastAsia" w:hAnsiTheme="majorHAnsi" w:cstheme="majorBidi"/>
                <w:b/>
                <w:bCs/>
                <w:color w:val="4F81BD" w:themeColor="accent1"/>
                <w:sz w:val="16"/>
                <w:szCs w:val="16"/>
              </w:rPr>
            </w:pPr>
            <w:r w:rsidRPr="0051294D">
              <w:rPr>
                <w:b/>
                <w:sz w:val="16"/>
                <w:szCs w:val="16"/>
              </w:rPr>
              <w:t xml:space="preserve">Baseline </w:t>
            </w:r>
            <w:r w:rsidRPr="0051294D">
              <w:rPr>
                <w:sz w:val="16"/>
                <w:szCs w:val="16"/>
              </w:rPr>
              <w:t>(2016)</w:t>
            </w:r>
            <w:r w:rsidRPr="0035377F">
              <w:rPr>
                <w:sz w:val="16"/>
                <w:szCs w:val="16"/>
              </w:rPr>
              <w:t>:</w:t>
            </w:r>
            <w:r w:rsidRPr="0051294D">
              <w:rPr>
                <w:sz w:val="16"/>
                <w:szCs w:val="16"/>
              </w:rPr>
              <w:t xml:space="preserve"> 15</w:t>
            </w:r>
          </w:p>
          <w:p w14:paraId="3A9589F6" w14:textId="77777777" w:rsidR="00A65CBC" w:rsidRDefault="002129B7" w:rsidP="00C658B7">
            <w:pPr>
              <w:jc w:val="both"/>
              <w:rPr>
                <w:sz w:val="16"/>
                <w:szCs w:val="16"/>
              </w:rPr>
            </w:pPr>
            <w:r w:rsidRPr="0051294D">
              <w:rPr>
                <w:b/>
                <w:sz w:val="16"/>
                <w:szCs w:val="16"/>
              </w:rPr>
              <w:t xml:space="preserve">Target: </w:t>
            </w:r>
            <w:r w:rsidRPr="0051294D">
              <w:rPr>
                <w:sz w:val="16"/>
                <w:szCs w:val="16"/>
              </w:rPr>
              <w:t>25</w:t>
            </w:r>
          </w:p>
          <w:p w14:paraId="7A7D1192" w14:textId="2BA12EB1" w:rsidR="002129B7" w:rsidRPr="0051294D" w:rsidRDefault="002129B7" w:rsidP="00C658B7">
            <w:pPr>
              <w:jc w:val="both"/>
              <w:rPr>
                <w:sz w:val="16"/>
                <w:szCs w:val="16"/>
                <w:lang w:val="en-GB"/>
              </w:rPr>
            </w:pPr>
            <w:r w:rsidRPr="0051294D">
              <w:rPr>
                <w:b/>
                <w:sz w:val="16"/>
                <w:szCs w:val="16"/>
              </w:rPr>
              <w:t>Data source:</w:t>
            </w:r>
            <w:r w:rsidRPr="0051294D">
              <w:rPr>
                <w:sz w:val="16"/>
                <w:szCs w:val="16"/>
              </w:rPr>
              <w:t xml:space="preserve"> </w:t>
            </w:r>
            <w:r w:rsidRPr="0051294D">
              <w:rPr>
                <w:color w:val="0F243E"/>
                <w:sz w:val="16"/>
                <w:szCs w:val="16"/>
              </w:rPr>
              <w:t>SALSGIER</w:t>
            </w:r>
          </w:p>
          <w:p w14:paraId="2B17F5F7" w14:textId="77777777" w:rsidR="002129B7" w:rsidRPr="0051294D" w:rsidRDefault="002129B7" w:rsidP="00C658B7">
            <w:pPr>
              <w:rPr>
                <w:sz w:val="16"/>
                <w:szCs w:val="16"/>
                <w:lang w:val="en-GB"/>
              </w:rPr>
            </w:pPr>
          </w:p>
          <w:p w14:paraId="2B9F18D2" w14:textId="732E22DE" w:rsidR="00A65CBC" w:rsidRDefault="002129B7" w:rsidP="00C658B7">
            <w:pPr>
              <w:rPr>
                <w:b/>
                <w:sz w:val="16"/>
                <w:szCs w:val="16"/>
              </w:rPr>
            </w:pPr>
            <w:r w:rsidRPr="0051294D">
              <w:rPr>
                <w:b/>
                <w:bCs/>
                <w:sz w:val="16"/>
                <w:szCs w:val="16"/>
              </w:rPr>
              <w:t>Output 1.2</w:t>
            </w:r>
            <w:r w:rsidR="00A65CBC">
              <w:rPr>
                <w:b/>
                <w:bCs/>
                <w:sz w:val="16"/>
                <w:szCs w:val="16"/>
              </w:rPr>
              <w:t xml:space="preserve">. </w:t>
            </w:r>
            <w:r w:rsidRPr="0051294D">
              <w:rPr>
                <w:b/>
                <w:bCs/>
                <w:sz w:val="16"/>
                <w:szCs w:val="16"/>
              </w:rPr>
              <w:t>G</w:t>
            </w:r>
            <w:r w:rsidRPr="0051294D">
              <w:rPr>
                <w:b/>
                <w:sz w:val="16"/>
                <w:szCs w:val="16"/>
              </w:rPr>
              <w:t>reen/</w:t>
            </w:r>
          </w:p>
          <w:p w14:paraId="5143DC2C" w14:textId="1187FD52" w:rsidR="002129B7" w:rsidRPr="0051294D" w:rsidRDefault="002129B7" w:rsidP="00C658B7">
            <w:pPr>
              <w:rPr>
                <w:b/>
                <w:sz w:val="16"/>
                <w:szCs w:val="16"/>
              </w:rPr>
            </w:pPr>
            <w:r w:rsidRPr="0051294D">
              <w:rPr>
                <w:b/>
                <w:sz w:val="16"/>
                <w:szCs w:val="16"/>
              </w:rPr>
              <w:lastRenderedPageBreak/>
              <w:t>sustainable entrepreneur</w:t>
            </w:r>
            <w:r w:rsidR="00A65CBC">
              <w:rPr>
                <w:b/>
                <w:sz w:val="16"/>
                <w:szCs w:val="16"/>
              </w:rPr>
              <w:t>-</w:t>
            </w:r>
            <w:r w:rsidRPr="0051294D">
              <w:rPr>
                <w:b/>
                <w:sz w:val="16"/>
                <w:szCs w:val="16"/>
              </w:rPr>
              <w:t>ship</w:t>
            </w:r>
            <w:r w:rsidRPr="0051294D">
              <w:rPr>
                <w:rFonts w:cs="Calibri"/>
                <w:b/>
                <w:sz w:val="16"/>
                <w:szCs w:val="16"/>
              </w:rPr>
              <w:t xml:space="preserve"> and investment environment enhanced to increase economic productivity and trade, including labour productivity, especially for women and youth (8)</w:t>
            </w:r>
          </w:p>
          <w:p w14:paraId="33625CDA" w14:textId="68293F57" w:rsidR="002129B7" w:rsidRPr="0051294D" w:rsidRDefault="002129B7" w:rsidP="00C658B7">
            <w:pPr>
              <w:rPr>
                <w:sz w:val="16"/>
                <w:szCs w:val="16"/>
              </w:rPr>
            </w:pPr>
            <w:r w:rsidRPr="0051294D">
              <w:rPr>
                <w:b/>
                <w:sz w:val="16"/>
                <w:szCs w:val="16"/>
              </w:rPr>
              <w:t>Indicator 1.2.1</w:t>
            </w:r>
            <w:r w:rsidR="00A65CBC">
              <w:rPr>
                <w:b/>
                <w:sz w:val="16"/>
                <w:szCs w:val="16"/>
              </w:rPr>
              <w:t>.</w:t>
            </w:r>
            <w:r w:rsidRPr="0051294D">
              <w:rPr>
                <w:sz w:val="16"/>
                <w:szCs w:val="16"/>
              </w:rPr>
              <w:t xml:space="preserve"> Number of value chains piloted to apply environmental practices and technologies, including companies </w:t>
            </w:r>
            <w:r w:rsidR="00A65CBC">
              <w:rPr>
                <w:sz w:val="16"/>
                <w:szCs w:val="16"/>
              </w:rPr>
              <w:t xml:space="preserve">headed by women </w:t>
            </w:r>
            <w:r w:rsidRPr="0051294D">
              <w:rPr>
                <w:sz w:val="16"/>
                <w:szCs w:val="16"/>
              </w:rPr>
              <w:t>age</w:t>
            </w:r>
            <w:r w:rsidR="00A65CBC">
              <w:rPr>
                <w:sz w:val="16"/>
                <w:szCs w:val="16"/>
              </w:rPr>
              <w:t>d</w:t>
            </w:r>
            <w:r w:rsidRPr="0051294D">
              <w:rPr>
                <w:sz w:val="16"/>
                <w:szCs w:val="16"/>
              </w:rPr>
              <w:t xml:space="preserve"> 18-30</w:t>
            </w:r>
          </w:p>
          <w:p w14:paraId="5F90DB01" w14:textId="116FE2D8" w:rsidR="002129B7" w:rsidRPr="0051294D" w:rsidRDefault="002129B7" w:rsidP="00C658B7">
            <w:pPr>
              <w:rPr>
                <w:sz w:val="16"/>
                <w:szCs w:val="16"/>
              </w:rPr>
            </w:pPr>
            <w:r w:rsidRPr="0051294D">
              <w:rPr>
                <w:b/>
                <w:sz w:val="16"/>
                <w:szCs w:val="16"/>
              </w:rPr>
              <w:t>Baseline:</w:t>
            </w:r>
            <w:r w:rsidRPr="0051294D">
              <w:rPr>
                <w:sz w:val="16"/>
                <w:szCs w:val="16"/>
              </w:rPr>
              <w:t xml:space="preserve"> 1; 0 </w:t>
            </w:r>
            <w:r w:rsidR="00A65CBC">
              <w:rPr>
                <w:sz w:val="16"/>
                <w:szCs w:val="16"/>
              </w:rPr>
              <w:t>women</w:t>
            </w:r>
            <w:r w:rsidR="00A65CBC" w:rsidRPr="0051294D">
              <w:rPr>
                <w:sz w:val="16"/>
                <w:szCs w:val="16"/>
              </w:rPr>
              <w:t xml:space="preserve"> </w:t>
            </w:r>
            <w:r w:rsidRPr="0051294D">
              <w:rPr>
                <w:sz w:val="16"/>
                <w:szCs w:val="16"/>
              </w:rPr>
              <w:t>age</w:t>
            </w:r>
            <w:r w:rsidR="00A65CBC">
              <w:rPr>
                <w:sz w:val="16"/>
                <w:szCs w:val="16"/>
              </w:rPr>
              <w:t>d</w:t>
            </w:r>
            <w:r w:rsidRPr="0051294D">
              <w:rPr>
                <w:sz w:val="16"/>
                <w:szCs w:val="16"/>
              </w:rPr>
              <w:t xml:space="preserve"> 18-30</w:t>
            </w:r>
          </w:p>
          <w:p w14:paraId="39BB375D" w14:textId="0C5E4413" w:rsidR="00A65CBC" w:rsidRDefault="002129B7" w:rsidP="00C658B7">
            <w:pPr>
              <w:rPr>
                <w:sz w:val="16"/>
                <w:szCs w:val="16"/>
              </w:rPr>
            </w:pPr>
            <w:r w:rsidRPr="0051294D">
              <w:rPr>
                <w:b/>
                <w:sz w:val="16"/>
                <w:szCs w:val="16"/>
              </w:rPr>
              <w:t>Target:</w:t>
            </w:r>
            <w:r w:rsidRPr="0051294D">
              <w:rPr>
                <w:sz w:val="16"/>
                <w:szCs w:val="16"/>
              </w:rPr>
              <w:t xml:space="preserve"> At least 3</w:t>
            </w:r>
            <w:r w:rsidR="00A65CBC">
              <w:rPr>
                <w:sz w:val="16"/>
                <w:szCs w:val="16"/>
              </w:rPr>
              <w:t>;</w:t>
            </w:r>
            <w:r w:rsidRPr="0051294D">
              <w:rPr>
                <w:sz w:val="16"/>
                <w:szCs w:val="16"/>
              </w:rPr>
              <w:t xml:space="preserve"> 1 female age</w:t>
            </w:r>
            <w:r w:rsidR="00A65CBC">
              <w:rPr>
                <w:sz w:val="16"/>
                <w:szCs w:val="16"/>
              </w:rPr>
              <w:t>d</w:t>
            </w:r>
            <w:r w:rsidRPr="0051294D">
              <w:rPr>
                <w:sz w:val="16"/>
                <w:szCs w:val="16"/>
              </w:rPr>
              <w:t xml:space="preserve"> 18-30; </w:t>
            </w:r>
          </w:p>
          <w:p w14:paraId="532E9DF6" w14:textId="5E47C6F2" w:rsidR="002129B7" w:rsidRPr="0051294D" w:rsidRDefault="002129B7" w:rsidP="00C658B7">
            <w:pPr>
              <w:rPr>
                <w:sz w:val="16"/>
                <w:szCs w:val="16"/>
              </w:rPr>
            </w:pPr>
            <w:r w:rsidRPr="0051294D">
              <w:rPr>
                <w:b/>
                <w:sz w:val="16"/>
                <w:szCs w:val="16"/>
              </w:rPr>
              <w:t>Data source</w:t>
            </w:r>
            <w:r w:rsidRPr="0051294D">
              <w:rPr>
                <w:sz w:val="16"/>
                <w:szCs w:val="16"/>
              </w:rPr>
              <w:t>: M</w:t>
            </w:r>
            <w:r w:rsidR="00A65CBC">
              <w:rPr>
                <w:sz w:val="16"/>
                <w:szCs w:val="16"/>
              </w:rPr>
              <w:t>O</w:t>
            </w:r>
            <w:r w:rsidRPr="0051294D">
              <w:rPr>
                <w:sz w:val="16"/>
                <w:szCs w:val="16"/>
              </w:rPr>
              <w:t xml:space="preserve">E </w:t>
            </w:r>
          </w:p>
          <w:p w14:paraId="3E6ED616" w14:textId="2E82DD22" w:rsidR="002129B7" w:rsidRPr="0051294D" w:rsidRDefault="002129B7" w:rsidP="00C658B7">
            <w:pPr>
              <w:rPr>
                <w:sz w:val="16"/>
                <w:szCs w:val="16"/>
              </w:rPr>
            </w:pPr>
            <w:r w:rsidRPr="0051294D">
              <w:rPr>
                <w:b/>
                <w:sz w:val="16"/>
                <w:szCs w:val="16"/>
              </w:rPr>
              <w:t>Indicator 1.2.2</w:t>
            </w:r>
            <w:r w:rsidR="00A65CBC">
              <w:rPr>
                <w:b/>
                <w:sz w:val="16"/>
                <w:szCs w:val="16"/>
              </w:rPr>
              <w:t>.</w:t>
            </w:r>
            <w:r w:rsidRPr="0051294D">
              <w:rPr>
                <w:b/>
                <w:sz w:val="16"/>
                <w:szCs w:val="16"/>
              </w:rPr>
              <w:t xml:space="preserve"> </w:t>
            </w:r>
            <w:r w:rsidRPr="0051294D">
              <w:rPr>
                <w:sz w:val="16"/>
                <w:szCs w:val="16"/>
              </w:rPr>
              <w:t xml:space="preserve">Additional number of target companies with increased export volume after having received trade information services (including </w:t>
            </w:r>
            <w:r w:rsidR="00A65CBC">
              <w:rPr>
                <w:sz w:val="16"/>
                <w:szCs w:val="16"/>
              </w:rPr>
              <w:t>women-</w:t>
            </w:r>
            <w:r w:rsidRPr="0051294D">
              <w:rPr>
                <w:sz w:val="16"/>
                <w:szCs w:val="16"/>
              </w:rPr>
              <w:t>headed companies)</w:t>
            </w:r>
          </w:p>
          <w:p w14:paraId="3D17DD2A" w14:textId="77777777" w:rsidR="002129B7" w:rsidRPr="0051294D" w:rsidRDefault="002129B7" w:rsidP="00C658B7">
            <w:pPr>
              <w:rPr>
                <w:sz w:val="16"/>
                <w:szCs w:val="16"/>
              </w:rPr>
            </w:pPr>
            <w:r w:rsidRPr="0051294D">
              <w:rPr>
                <w:b/>
                <w:sz w:val="16"/>
                <w:szCs w:val="16"/>
              </w:rPr>
              <w:t>Baseline:</w:t>
            </w:r>
            <w:r w:rsidRPr="0051294D">
              <w:rPr>
                <w:sz w:val="16"/>
                <w:szCs w:val="16"/>
              </w:rPr>
              <w:t xml:space="preserve"> 8</w:t>
            </w:r>
          </w:p>
          <w:p w14:paraId="0294C43C" w14:textId="77777777" w:rsidR="00A65CBC" w:rsidRDefault="002129B7" w:rsidP="00C658B7">
            <w:pPr>
              <w:rPr>
                <w:sz w:val="16"/>
                <w:szCs w:val="16"/>
              </w:rPr>
            </w:pPr>
            <w:r w:rsidRPr="0051294D">
              <w:rPr>
                <w:b/>
                <w:sz w:val="16"/>
                <w:szCs w:val="16"/>
              </w:rPr>
              <w:t xml:space="preserve">Target: </w:t>
            </w:r>
            <w:r w:rsidRPr="0051294D">
              <w:rPr>
                <w:sz w:val="16"/>
                <w:szCs w:val="16"/>
              </w:rPr>
              <w:t>10</w:t>
            </w:r>
            <w:r w:rsidRPr="0051294D">
              <w:rPr>
                <w:b/>
                <w:sz w:val="16"/>
                <w:szCs w:val="16"/>
              </w:rPr>
              <w:t xml:space="preserve"> </w:t>
            </w:r>
            <w:r w:rsidRPr="0051294D">
              <w:rPr>
                <w:sz w:val="16"/>
                <w:szCs w:val="16"/>
              </w:rPr>
              <w:t xml:space="preserve"> </w:t>
            </w:r>
          </w:p>
          <w:p w14:paraId="578C5F8F" w14:textId="06DDB5D1" w:rsidR="002129B7" w:rsidRPr="0051294D" w:rsidRDefault="002129B7" w:rsidP="00C658B7">
            <w:pPr>
              <w:rPr>
                <w:sz w:val="16"/>
                <w:szCs w:val="16"/>
              </w:rPr>
            </w:pPr>
            <w:r w:rsidRPr="0051294D">
              <w:rPr>
                <w:b/>
                <w:sz w:val="16"/>
                <w:szCs w:val="16"/>
              </w:rPr>
              <w:t>Data source</w:t>
            </w:r>
            <w:r w:rsidRPr="0051294D">
              <w:rPr>
                <w:sz w:val="16"/>
                <w:szCs w:val="16"/>
              </w:rPr>
              <w:t xml:space="preserve">: SAIEP </w:t>
            </w:r>
          </w:p>
          <w:p w14:paraId="3F3ADFD8" w14:textId="77777777" w:rsidR="002129B7" w:rsidRPr="0051294D" w:rsidRDefault="002129B7" w:rsidP="00C658B7">
            <w:pPr>
              <w:rPr>
                <w:rFonts w:cs="Calibri"/>
              </w:rPr>
            </w:pPr>
          </w:p>
          <w:p w14:paraId="50AA34B7" w14:textId="5108D86E" w:rsidR="002129B7" w:rsidRPr="0051294D" w:rsidRDefault="002129B7" w:rsidP="00C658B7">
            <w:pPr>
              <w:rPr>
                <w:b/>
                <w:sz w:val="16"/>
                <w:szCs w:val="16"/>
              </w:rPr>
            </w:pPr>
            <w:r w:rsidRPr="0051294D">
              <w:rPr>
                <w:rFonts w:cs="Calibri"/>
                <w:b/>
                <w:sz w:val="16"/>
                <w:szCs w:val="16"/>
              </w:rPr>
              <w:t>Output.1.3</w:t>
            </w:r>
            <w:r w:rsidR="00A65CBC">
              <w:rPr>
                <w:rFonts w:cs="Calibri"/>
                <w:b/>
                <w:sz w:val="16"/>
                <w:szCs w:val="16"/>
              </w:rPr>
              <w:t>.</w:t>
            </w:r>
            <w:r w:rsidRPr="0051294D">
              <w:rPr>
                <w:rFonts w:cs="Calibri"/>
                <w:b/>
                <w:sz w:val="16"/>
                <w:szCs w:val="16"/>
              </w:rPr>
              <w:t xml:space="preserve"> </w:t>
            </w:r>
            <w:r w:rsidRPr="0051294D">
              <w:rPr>
                <w:b/>
                <w:sz w:val="16"/>
                <w:szCs w:val="16"/>
              </w:rPr>
              <w:t>Women, youth and people from regions with high poverty rate</w:t>
            </w:r>
            <w:r w:rsidR="00A65CBC">
              <w:rPr>
                <w:b/>
                <w:sz w:val="16"/>
                <w:szCs w:val="16"/>
              </w:rPr>
              <w:t>s</w:t>
            </w:r>
            <w:r w:rsidRPr="0051294D">
              <w:rPr>
                <w:b/>
                <w:sz w:val="16"/>
                <w:szCs w:val="16"/>
              </w:rPr>
              <w:t xml:space="preserve"> benefit from improved services and infra</w:t>
            </w:r>
            <w:r w:rsidR="00A65CBC">
              <w:rPr>
                <w:b/>
                <w:sz w:val="16"/>
                <w:szCs w:val="16"/>
              </w:rPr>
              <w:t>-</w:t>
            </w:r>
            <w:r w:rsidRPr="0051294D">
              <w:rPr>
                <w:b/>
                <w:sz w:val="16"/>
                <w:szCs w:val="16"/>
              </w:rPr>
              <w:t>structure, better skills, access to resources, sustainable jobs and livelihoods. (8, 11</w:t>
            </w:r>
            <w:r w:rsidR="00A65CBC">
              <w:rPr>
                <w:b/>
                <w:sz w:val="16"/>
                <w:szCs w:val="16"/>
              </w:rPr>
              <w:t>)</w:t>
            </w:r>
          </w:p>
          <w:p w14:paraId="2CB522C1" w14:textId="67B00198" w:rsidR="002129B7" w:rsidRPr="0051294D" w:rsidRDefault="002129B7" w:rsidP="00C658B7">
            <w:pPr>
              <w:rPr>
                <w:sz w:val="16"/>
                <w:szCs w:val="16"/>
              </w:rPr>
            </w:pPr>
            <w:r w:rsidRPr="0051294D">
              <w:rPr>
                <w:b/>
                <w:sz w:val="16"/>
                <w:szCs w:val="16"/>
              </w:rPr>
              <w:t xml:space="preserve">Indicator 1.3.1. </w:t>
            </w:r>
            <w:r w:rsidRPr="0051294D">
              <w:rPr>
                <w:sz w:val="16"/>
                <w:szCs w:val="16"/>
              </w:rPr>
              <w:t>Number of full</w:t>
            </w:r>
            <w:r w:rsidR="00A65CBC">
              <w:rPr>
                <w:sz w:val="16"/>
                <w:szCs w:val="16"/>
              </w:rPr>
              <w:t>-</w:t>
            </w:r>
            <w:r w:rsidRPr="0051294D">
              <w:rPr>
                <w:sz w:val="16"/>
                <w:szCs w:val="16"/>
              </w:rPr>
              <w:t xml:space="preserve">time equivalent jobs created for women and men </w:t>
            </w:r>
            <w:r w:rsidR="00A65CBC">
              <w:rPr>
                <w:sz w:val="16"/>
                <w:szCs w:val="16"/>
              </w:rPr>
              <w:t>aged</w:t>
            </w:r>
            <w:r w:rsidR="00C76BFF">
              <w:rPr>
                <w:sz w:val="16"/>
                <w:szCs w:val="16"/>
              </w:rPr>
              <w:t xml:space="preserve"> </w:t>
            </w:r>
            <w:r w:rsidRPr="0051294D">
              <w:rPr>
                <w:sz w:val="16"/>
                <w:szCs w:val="16"/>
              </w:rPr>
              <w:t xml:space="preserve">15 or </w:t>
            </w:r>
            <w:r w:rsidR="00A65CBC">
              <w:rPr>
                <w:sz w:val="16"/>
                <w:szCs w:val="16"/>
              </w:rPr>
              <w:t>over</w:t>
            </w:r>
            <w:r w:rsidRPr="0051294D">
              <w:rPr>
                <w:sz w:val="16"/>
                <w:szCs w:val="16"/>
              </w:rPr>
              <w:t xml:space="preserve"> </w:t>
            </w:r>
          </w:p>
          <w:p w14:paraId="3C030A86" w14:textId="77777777" w:rsidR="002129B7" w:rsidRPr="0051294D" w:rsidRDefault="002129B7" w:rsidP="00C658B7">
            <w:pPr>
              <w:rPr>
                <w:b/>
                <w:sz w:val="16"/>
                <w:szCs w:val="16"/>
              </w:rPr>
            </w:pPr>
            <w:r w:rsidRPr="0051294D">
              <w:rPr>
                <w:b/>
                <w:sz w:val="16"/>
                <w:szCs w:val="16"/>
              </w:rPr>
              <w:t xml:space="preserve">Baseline: </w:t>
            </w:r>
            <w:r w:rsidRPr="0051294D">
              <w:rPr>
                <w:sz w:val="16"/>
                <w:szCs w:val="16"/>
              </w:rPr>
              <w:t>2,094, including 973 women, 628 youth</w:t>
            </w:r>
          </w:p>
          <w:p w14:paraId="6F0EEAB4" w14:textId="3318F9F5" w:rsidR="008B56B7" w:rsidRDefault="002129B7" w:rsidP="00C658B7">
            <w:pPr>
              <w:rPr>
                <w:b/>
                <w:sz w:val="16"/>
                <w:szCs w:val="16"/>
              </w:rPr>
            </w:pPr>
            <w:r w:rsidRPr="0051294D">
              <w:rPr>
                <w:b/>
                <w:sz w:val="16"/>
                <w:szCs w:val="16"/>
              </w:rPr>
              <w:t xml:space="preserve">Target: </w:t>
            </w:r>
            <w:r w:rsidRPr="0051294D">
              <w:rPr>
                <w:sz w:val="16"/>
                <w:szCs w:val="16"/>
              </w:rPr>
              <w:t>3,000, including 1,200 women</w:t>
            </w:r>
            <w:r w:rsidR="00A65CBC">
              <w:rPr>
                <w:sz w:val="16"/>
                <w:szCs w:val="16"/>
              </w:rPr>
              <w:t>,</w:t>
            </w:r>
            <w:r w:rsidRPr="0051294D">
              <w:rPr>
                <w:b/>
                <w:sz w:val="16"/>
                <w:szCs w:val="16"/>
              </w:rPr>
              <w:t xml:space="preserve">  </w:t>
            </w:r>
            <w:r w:rsidRPr="0051294D">
              <w:rPr>
                <w:sz w:val="16"/>
                <w:szCs w:val="16"/>
              </w:rPr>
              <w:t>900</w:t>
            </w:r>
            <w:r w:rsidRPr="0051294D">
              <w:rPr>
                <w:b/>
                <w:sz w:val="16"/>
                <w:szCs w:val="16"/>
              </w:rPr>
              <w:t xml:space="preserve"> </w:t>
            </w:r>
            <w:r w:rsidRPr="0051294D">
              <w:rPr>
                <w:sz w:val="16"/>
                <w:szCs w:val="16"/>
              </w:rPr>
              <w:t>youth</w:t>
            </w:r>
          </w:p>
          <w:p w14:paraId="5BB78A4C" w14:textId="4E104055" w:rsidR="002129B7" w:rsidRPr="0051294D" w:rsidRDefault="002129B7" w:rsidP="00C658B7">
            <w:pPr>
              <w:rPr>
                <w:sz w:val="16"/>
                <w:szCs w:val="16"/>
              </w:rPr>
            </w:pPr>
            <w:r w:rsidRPr="0051294D">
              <w:rPr>
                <w:b/>
                <w:sz w:val="16"/>
                <w:szCs w:val="16"/>
              </w:rPr>
              <w:t>Data source:</w:t>
            </w:r>
            <w:r w:rsidRPr="0051294D">
              <w:rPr>
                <w:sz w:val="16"/>
                <w:szCs w:val="16"/>
              </w:rPr>
              <w:t xml:space="preserve"> NSC</w:t>
            </w:r>
          </w:p>
          <w:p w14:paraId="2B417AB9" w14:textId="013238E1" w:rsidR="002129B7" w:rsidRPr="0051294D" w:rsidRDefault="002129B7" w:rsidP="00C658B7">
            <w:pPr>
              <w:rPr>
                <w:sz w:val="16"/>
                <w:szCs w:val="16"/>
              </w:rPr>
            </w:pPr>
            <w:r w:rsidRPr="0051294D">
              <w:rPr>
                <w:b/>
                <w:sz w:val="16"/>
                <w:szCs w:val="16"/>
              </w:rPr>
              <w:t>Indicator 1.3.2</w:t>
            </w:r>
            <w:r w:rsidR="00A65CBC">
              <w:rPr>
                <w:b/>
                <w:sz w:val="16"/>
                <w:szCs w:val="16"/>
              </w:rPr>
              <w:t>.</w:t>
            </w:r>
            <w:r w:rsidRPr="0051294D">
              <w:rPr>
                <w:b/>
                <w:sz w:val="16"/>
                <w:szCs w:val="16"/>
              </w:rPr>
              <w:t xml:space="preserve"> </w:t>
            </w:r>
            <w:r w:rsidRPr="0051294D">
              <w:rPr>
                <w:sz w:val="16"/>
                <w:szCs w:val="16"/>
              </w:rPr>
              <w:t>Number of additional people benefiting from strengthened livelihoods</w:t>
            </w:r>
            <w:r w:rsidR="001F072B">
              <w:rPr>
                <w:sz w:val="16"/>
                <w:szCs w:val="16"/>
              </w:rPr>
              <w:t>,</w:t>
            </w:r>
            <w:r w:rsidRPr="0051294D">
              <w:rPr>
                <w:sz w:val="16"/>
                <w:szCs w:val="16"/>
              </w:rPr>
              <w:t xml:space="preserve"> by sex</w:t>
            </w:r>
            <w:r w:rsidRPr="0051294D">
              <w:rPr>
                <w:b/>
                <w:sz w:val="16"/>
                <w:szCs w:val="16"/>
              </w:rPr>
              <w:t xml:space="preserve"> </w:t>
            </w:r>
          </w:p>
          <w:p w14:paraId="0A0DE161" w14:textId="77777777" w:rsidR="002129B7" w:rsidRPr="0051294D" w:rsidRDefault="002129B7" w:rsidP="00C658B7">
            <w:pPr>
              <w:rPr>
                <w:sz w:val="16"/>
                <w:szCs w:val="16"/>
              </w:rPr>
            </w:pPr>
            <w:r w:rsidRPr="0051294D">
              <w:rPr>
                <w:b/>
                <w:sz w:val="16"/>
                <w:szCs w:val="16"/>
              </w:rPr>
              <w:t xml:space="preserve">Baseline: </w:t>
            </w:r>
            <w:r w:rsidRPr="0051294D">
              <w:rPr>
                <w:sz w:val="16"/>
                <w:szCs w:val="16"/>
              </w:rPr>
              <w:t>66,871, including 23,030 women</w:t>
            </w:r>
          </w:p>
          <w:p w14:paraId="32C64B96" w14:textId="77777777" w:rsidR="008B56B7" w:rsidRDefault="002129B7" w:rsidP="00C658B7">
            <w:pPr>
              <w:rPr>
                <w:b/>
                <w:sz w:val="16"/>
                <w:szCs w:val="16"/>
              </w:rPr>
            </w:pPr>
            <w:r w:rsidRPr="0051294D">
              <w:rPr>
                <w:b/>
                <w:sz w:val="16"/>
                <w:szCs w:val="16"/>
              </w:rPr>
              <w:t xml:space="preserve">Target: </w:t>
            </w:r>
            <w:r w:rsidRPr="0051294D">
              <w:rPr>
                <w:sz w:val="16"/>
                <w:szCs w:val="16"/>
              </w:rPr>
              <w:t>additional 70,000, including 30,000 women</w:t>
            </w:r>
            <w:r w:rsidRPr="0051294D">
              <w:rPr>
                <w:b/>
                <w:sz w:val="16"/>
                <w:szCs w:val="16"/>
              </w:rPr>
              <w:t xml:space="preserve"> </w:t>
            </w:r>
          </w:p>
          <w:p w14:paraId="518BF55E" w14:textId="2A4EF97F" w:rsidR="002129B7" w:rsidRPr="0051294D" w:rsidRDefault="002129B7" w:rsidP="00C658B7">
            <w:pPr>
              <w:rPr>
                <w:sz w:val="16"/>
                <w:szCs w:val="16"/>
              </w:rPr>
            </w:pPr>
            <w:r w:rsidRPr="0051294D">
              <w:rPr>
                <w:b/>
                <w:sz w:val="16"/>
                <w:szCs w:val="16"/>
              </w:rPr>
              <w:t>Data source</w:t>
            </w:r>
            <w:r w:rsidRPr="0051294D">
              <w:rPr>
                <w:sz w:val="16"/>
                <w:szCs w:val="16"/>
              </w:rPr>
              <w:t xml:space="preserve">: NSC </w:t>
            </w:r>
          </w:p>
        </w:tc>
        <w:tc>
          <w:tcPr>
            <w:tcW w:w="874" w:type="pct"/>
            <w:vMerge w:val="restart"/>
          </w:tcPr>
          <w:p w14:paraId="0150FAA8" w14:textId="77777777" w:rsidR="002129B7" w:rsidRPr="0051294D" w:rsidRDefault="002129B7" w:rsidP="00C658B7">
            <w:pPr>
              <w:rPr>
                <w:iCs/>
                <w:color w:val="000000"/>
                <w:sz w:val="16"/>
                <w:szCs w:val="16"/>
              </w:rPr>
            </w:pPr>
          </w:p>
          <w:p w14:paraId="1AACBAE7" w14:textId="45BD05A0" w:rsidR="002129B7" w:rsidRPr="0051294D" w:rsidRDefault="002129B7" w:rsidP="00C658B7">
            <w:pPr>
              <w:rPr>
                <w:iCs/>
                <w:color w:val="000000"/>
                <w:sz w:val="16"/>
                <w:szCs w:val="16"/>
                <w:lang w:val="en-GB"/>
              </w:rPr>
            </w:pPr>
            <w:r w:rsidRPr="0051294D">
              <w:rPr>
                <w:iCs/>
                <w:sz w:val="16"/>
                <w:szCs w:val="16"/>
                <w:lang w:val="en-GB"/>
              </w:rPr>
              <w:t>M</w:t>
            </w:r>
            <w:r w:rsidR="000F62A6">
              <w:rPr>
                <w:iCs/>
                <w:sz w:val="16"/>
                <w:szCs w:val="16"/>
                <w:lang w:val="en-GB"/>
              </w:rPr>
              <w:t>O</w:t>
            </w:r>
            <w:r w:rsidRPr="0051294D">
              <w:rPr>
                <w:iCs/>
                <w:sz w:val="16"/>
                <w:szCs w:val="16"/>
                <w:lang w:val="en-GB"/>
              </w:rPr>
              <w:t xml:space="preserve">E, Agriculture Food Industry and Melioration (MAFIM), </w:t>
            </w:r>
            <w:r w:rsidR="000F62A6">
              <w:rPr>
                <w:iCs/>
                <w:sz w:val="16"/>
                <w:szCs w:val="16"/>
                <w:lang w:val="en-GB"/>
              </w:rPr>
              <w:t>i</w:t>
            </w:r>
            <w:r w:rsidRPr="0051294D">
              <w:rPr>
                <w:iCs/>
                <w:sz w:val="16"/>
                <w:szCs w:val="16"/>
                <w:lang w:val="en-GB"/>
              </w:rPr>
              <w:t>ndustry, MLSP, M</w:t>
            </w:r>
            <w:r w:rsidR="000F62A6">
              <w:rPr>
                <w:iCs/>
                <w:sz w:val="16"/>
                <w:szCs w:val="16"/>
                <w:lang w:val="en-GB"/>
              </w:rPr>
              <w:t>O</w:t>
            </w:r>
            <w:r w:rsidRPr="0051294D">
              <w:rPr>
                <w:iCs/>
                <w:sz w:val="16"/>
                <w:szCs w:val="16"/>
                <w:lang w:val="en-GB"/>
              </w:rPr>
              <w:t>F</w:t>
            </w:r>
          </w:p>
          <w:p w14:paraId="6F8AE86A" w14:textId="77777777" w:rsidR="002129B7" w:rsidRPr="0051294D" w:rsidRDefault="002129B7" w:rsidP="00C658B7">
            <w:pPr>
              <w:pStyle w:val="Pasus1"/>
              <w:spacing w:before="0" w:after="0"/>
              <w:rPr>
                <w:rFonts w:ascii="Times New Roman" w:eastAsia="Calibri" w:hAnsi="Times New Roman"/>
                <w:sz w:val="16"/>
                <w:szCs w:val="16"/>
              </w:rPr>
            </w:pPr>
            <w:r w:rsidRPr="0051294D">
              <w:rPr>
                <w:rFonts w:ascii="Times New Roman" w:hAnsi="Times New Roman"/>
                <w:iCs/>
                <w:color w:val="000000"/>
                <w:sz w:val="16"/>
                <w:szCs w:val="16"/>
                <w:lang w:val="en-GB"/>
              </w:rPr>
              <w:t>State Agency on Environment Protection and Forestry</w:t>
            </w:r>
            <w:r w:rsidRPr="0051294D">
              <w:rPr>
                <w:rFonts w:ascii="Times New Roman" w:eastAsia="Calibri" w:hAnsi="Times New Roman"/>
                <w:sz w:val="16"/>
                <w:szCs w:val="16"/>
              </w:rPr>
              <w:t xml:space="preserve"> (SAEPF)</w:t>
            </w:r>
          </w:p>
          <w:p w14:paraId="3F030E33" w14:textId="77777777" w:rsidR="002129B7" w:rsidRPr="0051294D" w:rsidRDefault="002129B7" w:rsidP="00C658B7">
            <w:pPr>
              <w:rPr>
                <w:sz w:val="16"/>
                <w:szCs w:val="16"/>
              </w:rPr>
            </w:pPr>
          </w:p>
          <w:p w14:paraId="73449B1B" w14:textId="77777777" w:rsidR="002129B7" w:rsidRPr="0051294D" w:rsidRDefault="002129B7" w:rsidP="00C658B7">
            <w:pPr>
              <w:rPr>
                <w:sz w:val="16"/>
                <w:szCs w:val="16"/>
              </w:rPr>
            </w:pPr>
            <w:r w:rsidRPr="0051294D">
              <w:rPr>
                <w:sz w:val="16"/>
                <w:szCs w:val="16"/>
              </w:rPr>
              <w:t>State Agency on Investment and Export Promotion (SAIEP)</w:t>
            </w:r>
          </w:p>
          <w:p w14:paraId="29FF602F" w14:textId="77777777" w:rsidR="002129B7" w:rsidRPr="0051294D" w:rsidRDefault="002129B7" w:rsidP="00C658B7">
            <w:pPr>
              <w:rPr>
                <w:sz w:val="16"/>
                <w:szCs w:val="16"/>
              </w:rPr>
            </w:pPr>
          </w:p>
          <w:p w14:paraId="4519AAD7" w14:textId="77777777" w:rsidR="002129B7" w:rsidRPr="0051294D" w:rsidRDefault="002129B7" w:rsidP="00C658B7">
            <w:pPr>
              <w:rPr>
                <w:sz w:val="16"/>
                <w:szCs w:val="16"/>
              </w:rPr>
            </w:pPr>
            <w:r w:rsidRPr="0051294D">
              <w:rPr>
                <w:sz w:val="16"/>
                <w:szCs w:val="16"/>
              </w:rPr>
              <w:t xml:space="preserve">NSC </w:t>
            </w:r>
          </w:p>
          <w:p w14:paraId="04BBC3B0" w14:textId="77777777" w:rsidR="002129B7" w:rsidRPr="0051294D" w:rsidRDefault="002129B7" w:rsidP="00C658B7">
            <w:pPr>
              <w:rPr>
                <w:rFonts w:eastAsia="Calibri"/>
                <w:sz w:val="16"/>
                <w:szCs w:val="16"/>
              </w:rPr>
            </w:pPr>
          </w:p>
          <w:p w14:paraId="324EF8A7" w14:textId="572FD231" w:rsidR="002129B7" w:rsidRPr="0051294D" w:rsidRDefault="002129B7" w:rsidP="00C658B7">
            <w:pPr>
              <w:rPr>
                <w:rFonts w:eastAsia="Calibri"/>
                <w:sz w:val="16"/>
                <w:szCs w:val="16"/>
              </w:rPr>
            </w:pPr>
            <w:r w:rsidRPr="0051294D">
              <w:rPr>
                <w:rFonts w:eastAsia="Calibri"/>
                <w:sz w:val="16"/>
                <w:szCs w:val="16"/>
              </w:rPr>
              <w:t>LSG</w:t>
            </w:r>
            <w:r w:rsidR="000F62A6">
              <w:rPr>
                <w:rFonts w:eastAsia="Calibri"/>
                <w:sz w:val="16"/>
                <w:szCs w:val="16"/>
              </w:rPr>
              <w:t>s</w:t>
            </w:r>
            <w:r w:rsidRPr="0051294D">
              <w:rPr>
                <w:rFonts w:eastAsia="Calibri"/>
                <w:sz w:val="16"/>
                <w:szCs w:val="16"/>
              </w:rPr>
              <w:t xml:space="preserve"> </w:t>
            </w:r>
          </w:p>
          <w:p w14:paraId="1AA5DD9C" w14:textId="77777777" w:rsidR="002129B7" w:rsidRPr="0051294D" w:rsidRDefault="002129B7" w:rsidP="00C658B7">
            <w:pPr>
              <w:rPr>
                <w:rFonts w:eastAsia="Calibri"/>
                <w:sz w:val="16"/>
                <w:szCs w:val="16"/>
              </w:rPr>
            </w:pPr>
          </w:p>
          <w:p w14:paraId="66462901" w14:textId="6BA3FC3D" w:rsidR="000F62A6" w:rsidRDefault="002129B7" w:rsidP="00C658B7">
            <w:pPr>
              <w:rPr>
                <w:rFonts w:eastAsia="Calibri"/>
                <w:sz w:val="16"/>
                <w:szCs w:val="16"/>
              </w:rPr>
            </w:pPr>
            <w:r w:rsidRPr="0051294D">
              <w:rPr>
                <w:rFonts w:eastAsia="Calibri"/>
                <w:sz w:val="16"/>
                <w:szCs w:val="16"/>
              </w:rPr>
              <w:t xml:space="preserve">CSOs </w:t>
            </w:r>
          </w:p>
          <w:p w14:paraId="68337353" w14:textId="0D109C96" w:rsidR="002129B7" w:rsidRPr="0051294D" w:rsidRDefault="002129B7" w:rsidP="00C658B7">
            <w:pPr>
              <w:rPr>
                <w:rFonts w:eastAsia="Calibri"/>
                <w:sz w:val="16"/>
                <w:szCs w:val="16"/>
              </w:rPr>
            </w:pPr>
            <w:r w:rsidRPr="0051294D">
              <w:rPr>
                <w:rFonts w:eastAsia="Calibri"/>
                <w:sz w:val="16"/>
                <w:szCs w:val="16"/>
              </w:rPr>
              <w:t xml:space="preserve">Private </w:t>
            </w:r>
            <w:r w:rsidR="000F62A6">
              <w:rPr>
                <w:rFonts w:eastAsia="Calibri"/>
                <w:sz w:val="16"/>
                <w:szCs w:val="16"/>
              </w:rPr>
              <w:t>s</w:t>
            </w:r>
            <w:r w:rsidRPr="0051294D">
              <w:rPr>
                <w:rFonts w:eastAsia="Calibri"/>
                <w:sz w:val="16"/>
                <w:szCs w:val="16"/>
              </w:rPr>
              <w:t>ector</w:t>
            </w:r>
          </w:p>
          <w:p w14:paraId="18DC2633" w14:textId="77777777" w:rsidR="002129B7" w:rsidRPr="0051294D" w:rsidRDefault="002129B7" w:rsidP="00C658B7">
            <w:pPr>
              <w:rPr>
                <w:rFonts w:eastAsia="Calibri"/>
                <w:sz w:val="16"/>
                <w:szCs w:val="16"/>
              </w:rPr>
            </w:pPr>
          </w:p>
          <w:p w14:paraId="50B22D58" w14:textId="25C54C8D" w:rsidR="002129B7" w:rsidRPr="0051294D" w:rsidRDefault="000F62A6" w:rsidP="00C658B7">
            <w:pPr>
              <w:rPr>
                <w:rFonts w:eastAsia="Calibri"/>
                <w:sz w:val="16"/>
                <w:szCs w:val="16"/>
              </w:rPr>
            </w:pPr>
            <w:r>
              <w:rPr>
                <w:rFonts w:eastAsia="Calibri"/>
                <w:sz w:val="16"/>
                <w:szCs w:val="16"/>
              </w:rPr>
              <w:t>Food and Agricu</w:t>
            </w:r>
            <w:r w:rsidR="0035377F">
              <w:rPr>
                <w:rFonts w:eastAsia="Calibri"/>
                <w:sz w:val="16"/>
                <w:szCs w:val="16"/>
              </w:rPr>
              <w:t>l</w:t>
            </w:r>
            <w:r>
              <w:rPr>
                <w:rFonts w:eastAsia="Calibri"/>
                <w:sz w:val="16"/>
                <w:szCs w:val="16"/>
              </w:rPr>
              <w:t>ture Organization (</w:t>
            </w:r>
            <w:r w:rsidR="002129B7" w:rsidRPr="0051294D">
              <w:rPr>
                <w:rFonts w:eastAsia="Calibri"/>
                <w:sz w:val="16"/>
                <w:szCs w:val="16"/>
              </w:rPr>
              <w:t>FAO</w:t>
            </w:r>
            <w:r>
              <w:rPr>
                <w:rFonts w:eastAsia="Calibri"/>
                <w:sz w:val="16"/>
                <w:szCs w:val="16"/>
              </w:rPr>
              <w:t>)</w:t>
            </w:r>
            <w:r w:rsidR="002129B7" w:rsidRPr="0051294D">
              <w:rPr>
                <w:rFonts w:eastAsia="Calibri"/>
                <w:sz w:val="16"/>
                <w:szCs w:val="16"/>
              </w:rPr>
              <w:t>, I</w:t>
            </w:r>
            <w:r>
              <w:rPr>
                <w:rFonts w:eastAsia="Calibri"/>
                <w:sz w:val="16"/>
                <w:szCs w:val="16"/>
              </w:rPr>
              <w:t xml:space="preserve">nternational Labour </w:t>
            </w:r>
            <w:r>
              <w:rPr>
                <w:rFonts w:eastAsia="Calibri"/>
                <w:sz w:val="16"/>
                <w:szCs w:val="16"/>
              </w:rPr>
              <w:lastRenderedPageBreak/>
              <w:t>Organization</w:t>
            </w:r>
            <w:r w:rsidR="002129B7" w:rsidRPr="0051294D">
              <w:rPr>
                <w:rFonts w:eastAsia="Calibri"/>
                <w:sz w:val="16"/>
                <w:szCs w:val="16"/>
              </w:rPr>
              <w:t xml:space="preserve"> UN</w:t>
            </w:r>
            <w:r>
              <w:rPr>
                <w:rFonts w:eastAsia="Calibri"/>
                <w:sz w:val="16"/>
                <w:szCs w:val="16"/>
              </w:rPr>
              <w:t>-</w:t>
            </w:r>
            <w:r w:rsidR="002129B7" w:rsidRPr="0051294D">
              <w:rPr>
                <w:rFonts w:eastAsia="Calibri"/>
                <w:sz w:val="16"/>
                <w:szCs w:val="16"/>
              </w:rPr>
              <w:t xml:space="preserve">Women </w:t>
            </w:r>
            <w:r w:rsidR="00CF295B" w:rsidRPr="004F1645">
              <w:rPr>
                <w:rFonts w:eastAsia="Calibri"/>
                <w:sz w:val="16"/>
                <w:szCs w:val="16"/>
              </w:rPr>
              <w:t xml:space="preserve">United Nations Industrial </w:t>
            </w:r>
            <w:r w:rsidR="004F1645" w:rsidRPr="0035377F">
              <w:rPr>
                <w:rFonts w:eastAsia="Calibri"/>
                <w:sz w:val="16"/>
                <w:szCs w:val="16"/>
              </w:rPr>
              <w:t>Development</w:t>
            </w:r>
            <w:r w:rsidR="00CF295B" w:rsidRPr="004F1645">
              <w:rPr>
                <w:rFonts w:eastAsia="Calibri"/>
                <w:sz w:val="16"/>
                <w:szCs w:val="16"/>
              </w:rPr>
              <w:t xml:space="preserve"> Organization</w:t>
            </w:r>
            <w:r w:rsidR="00CF295B" w:rsidRPr="0051294D">
              <w:rPr>
                <w:rFonts w:eastAsia="Calibri"/>
                <w:sz w:val="16"/>
                <w:szCs w:val="16"/>
              </w:rPr>
              <w:t xml:space="preserve"> </w:t>
            </w:r>
          </w:p>
          <w:p w14:paraId="5E82795C" w14:textId="77777777" w:rsidR="002129B7" w:rsidRPr="0051294D" w:rsidRDefault="002129B7" w:rsidP="00C658B7">
            <w:pPr>
              <w:rPr>
                <w:rFonts w:eastAsia="Calibri"/>
                <w:sz w:val="16"/>
                <w:szCs w:val="16"/>
              </w:rPr>
            </w:pPr>
          </w:p>
          <w:p w14:paraId="4E76A9F2" w14:textId="61CB3BE2" w:rsidR="002129B7" w:rsidRPr="0051294D" w:rsidRDefault="002129B7" w:rsidP="00C658B7">
            <w:pPr>
              <w:rPr>
                <w:rFonts w:eastAsia="Calibri"/>
                <w:sz w:val="16"/>
                <w:szCs w:val="16"/>
              </w:rPr>
            </w:pPr>
            <w:r w:rsidRPr="0051294D">
              <w:rPr>
                <w:rFonts w:eastAsia="Calibri"/>
                <w:sz w:val="16"/>
                <w:szCs w:val="16"/>
              </w:rPr>
              <w:t xml:space="preserve">Development partners: </w:t>
            </w:r>
            <w:r w:rsidR="004F1645" w:rsidRPr="0051294D">
              <w:rPr>
                <w:rFonts w:eastAsia="Calibri"/>
                <w:sz w:val="16"/>
                <w:szCs w:val="16"/>
              </w:rPr>
              <w:t xml:space="preserve">Finland, </w:t>
            </w:r>
            <w:r w:rsidRPr="0051294D">
              <w:rPr>
                <w:rFonts w:eastAsia="Calibri"/>
                <w:sz w:val="16"/>
                <w:szCs w:val="16"/>
              </w:rPr>
              <w:t>Russia</w:t>
            </w:r>
            <w:r w:rsidR="004F1645">
              <w:rPr>
                <w:rFonts w:eastAsia="Calibri"/>
                <w:sz w:val="16"/>
                <w:szCs w:val="16"/>
              </w:rPr>
              <w:t>n Federation</w:t>
            </w:r>
            <w:r w:rsidRPr="0051294D">
              <w:rPr>
                <w:rFonts w:eastAsia="Calibri"/>
                <w:sz w:val="16"/>
                <w:szCs w:val="16"/>
              </w:rPr>
              <w:t xml:space="preserve">, </w:t>
            </w:r>
            <w:r w:rsidR="00CF295B">
              <w:rPr>
                <w:rFonts w:eastAsia="Calibri"/>
                <w:sz w:val="16"/>
                <w:szCs w:val="16"/>
              </w:rPr>
              <w:t xml:space="preserve">international financial institutions – </w:t>
            </w:r>
            <w:r w:rsidRPr="0051294D">
              <w:rPr>
                <w:rFonts w:eastAsia="Calibri"/>
                <w:sz w:val="16"/>
                <w:szCs w:val="16"/>
              </w:rPr>
              <w:t>IFIs (IDB, W</w:t>
            </w:r>
            <w:r w:rsidR="00CF295B">
              <w:rPr>
                <w:rFonts w:eastAsia="Calibri"/>
                <w:sz w:val="16"/>
                <w:szCs w:val="16"/>
              </w:rPr>
              <w:t xml:space="preserve">orld </w:t>
            </w:r>
            <w:r w:rsidRPr="0051294D">
              <w:rPr>
                <w:rFonts w:eastAsia="Calibri"/>
                <w:sz w:val="16"/>
                <w:szCs w:val="16"/>
              </w:rPr>
              <w:t>B</w:t>
            </w:r>
            <w:r w:rsidR="00CF295B">
              <w:rPr>
                <w:rFonts w:eastAsia="Calibri"/>
                <w:sz w:val="16"/>
                <w:szCs w:val="16"/>
              </w:rPr>
              <w:t>ank</w:t>
            </w:r>
            <w:r w:rsidRPr="0051294D">
              <w:rPr>
                <w:rFonts w:eastAsia="Calibri"/>
                <w:sz w:val="16"/>
                <w:szCs w:val="16"/>
              </w:rPr>
              <w:t>, A</w:t>
            </w:r>
            <w:r w:rsidR="00CF295B">
              <w:rPr>
                <w:rFonts w:eastAsia="Calibri"/>
                <w:sz w:val="16"/>
                <w:szCs w:val="16"/>
              </w:rPr>
              <w:t xml:space="preserve">sian </w:t>
            </w:r>
            <w:r w:rsidRPr="0051294D">
              <w:rPr>
                <w:rFonts w:eastAsia="Calibri"/>
                <w:sz w:val="16"/>
                <w:szCs w:val="16"/>
              </w:rPr>
              <w:t>D</w:t>
            </w:r>
            <w:r w:rsidR="00CF295B">
              <w:rPr>
                <w:rFonts w:eastAsia="Calibri"/>
                <w:sz w:val="16"/>
                <w:szCs w:val="16"/>
              </w:rPr>
              <w:t xml:space="preserve">evelopment </w:t>
            </w:r>
            <w:r w:rsidRPr="0051294D">
              <w:rPr>
                <w:rFonts w:eastAsia="Calibri"/>
                <w:sz w:val="16"/>
                <w:szCs w:val="16"/>
              </w:rPr>
              <w:t>B</w:t>
            </w:r>
            <w:r w:rsidR="00CF295B">
              <w:rPr>
                <w:rFonts w:eastAsia="Calibri"/>
                <w:sz w:val="16"/>
                <w:szCs w:val="16"/>
              </w:rPr>
              <w:t>ank</w:t>
            </w:r>
            <w:r w:rsidRPr="0051294D">
              <w:rPr>
                <w:rFonts w:eastAsia="Calibri"/>
                <w:sz w:val="16"/>
                <w:szCs w:val="16"/>
              </w:rPr>
              <w:t>, EBRD)</w:t>
            </w:r>
          </w:p>
          <w:p w14:paraId="3962757E" w14:textId="77777777" w:rsidR="002129B7" w:rsidRPr="0051294D" w:rsidRDefault="002129B7" w:rsidP="00C658B7">
            <w:pPr>
              <w:rPr>
                <w:rFonts w:eastAsia="Calibri"/>
                <w:sz w:val="16"/>
                <w:szCs w:val="16"/>
              </w:rPr>
            </w:pPr>
          </w:p>
          <w:p w14:paraId="11422EAE" w14:textId="77777777" w:rsidR="002129B7" w:rsidRPr="0051294D" w:rsidRDefault="002129B7" w:rsidP="00C658B7">
            <w:pPr>
              <w:pStyle w:val="Pasus1"/>
              <w:jc w:val="both"/>
              <w:rPr>
                <w:rFonts w:ascii="Times New Roman" w:eastAsia="Calibri" w:hAnsi="Times New Roman"/>
                <w:sz w:val="16"/>
                <w:szCs w:val="16"/>
              </w:rPr>
            </w:pPr>
          </w:p>
          <w:p w14:paraId="33057CC3" w14:textId="77777777" w:rsidR="002129B7" w:rsidRPr="0051294D" w:rsidRDefault="002129B7" w:rsidP="00C658B7">
            <w:pPr>
              <w:rPr>
                <w:iCs/>
                <w:color w:val="000000"/>
                <w:sz w:val="16"/>
                <w:szCs w:val="16"/>
              </w:rPr>
            </w:pPr>
          </w:p>
        </w:tc>
        <w:tc>
          <w:tcPr>
            <w:tcW w:w="469" w:type="pct"/>
            <w:tcMar>
              <w:top w:w="15" w:type="dxa"/>
              <w:left w:w="108" w:type="dxa"/>
              <w:bottom w:w="0" w:type="dxa"/>
              <w:right w:w="108" w:type="dxa"/>
            </w:tcMar>
          </w:tcPr>
          <w:p w14:paraId="74901D7A" w14:textId="77777777" w:rsidR="002129B7" w:rsidRPr="0051294D" w:rsidRDefault="002129B7" w:rsidP="00C658B7">
            <w:pPr>
              <w:rPr>
                <w:b/>
                <w:color w:val="000000"/>
                <w:sz w:val="16"/>
                <w:szCs w:val="16"/>
              </w:rPr>
            </w:pPr>
            <w:r w:rsidRPr="0051294D">
              <w:rPr>
                <w:b/>
                <w:color w:val="000000"/>
                <w:sz w:val="16"/>
                <w:szCs w:val="16"/>
              </w:rPr>
              <w:lastRenderedPageBreak/>
              <w:t>Regular:</w:t>
            </w:r>
          </w:p>
          <w:p w14:paraId="57C7CCF3" w14:textId="169E7F1C" w:rsidR="002129B7" w:rsidRPr="0051294D" w:rsidRDefault="002129B7" w:rsidP="00C658B7">
            <w:pPr>
              <w:rPr>
                <w:b/>
                <w:sz w:val="16"/>
                <w:szCs w:val="16"/>
              </w:rPr>
            </w:pPr>
            <w:r w:rsidRPr="0051294D">
              <w:rPr>
                <w:b/>
                <w:sz w:val="16"/>
                <w:szCs w:val="16"/>
              </w:rPr>
              <w:t>4,400</w:t>
            </w:r>
          </w:p>
          <w:p w14:paraId="270E7B64" w14:textId="77777777" w:rsidR="002129B7" w:rsidRPr="0051294D" w:rsidRDefault="002129B7" w:rsidP="00C658B7">
            <w:pPr>
              <w:rPr>
                <w:b/>
                <w:color w:val="000000"/>
                <w:sz w:val="16"/>
                <w:szCs w:val="16"/>
              </w:rPr>
            </w:pPr>
          </w:p>
        </w:tc>
      </w:tr>
      <w:tr w:rsidR="002129B7" w:rsidRPr="0051294D" w14:paraId="269A9088" w14:textId="77777777" w:rsidTr="00FA2849">
        <w:tc>
          <w:tcPr>
            <w:tcW w:w="833" w:type="pct"/>
            <w:vMerge/>
            <w:tcBorders>
              <w:bottom w:val="single" w:sz="4" w:space="0" w:color="auto"/>
            </w:tcBorders>
            <w:tcMar>
              <w:top w:w="72" w:type="dxa"/>
              <w:left w:w="144" w:type="dxa"/>
              <w:bottom w:w="72" w:type="dxa"/>
              <w:right w:w="144" w:type="dxa"/>
            </w:tcMar>
          </w:tcPr>
          <w:p w14:paraId="3594BAA2" w14:textId="77777777" w:rsidR="002129B7" w:rsidRPr="0051294D" w:rsidRDefault="002129B7" w:rsidP="00C658B7">
            <w:pPr>
              <w:rPr>
                <w:iCs/>
                <w:color w:val="000000"/>
                <w:sz w:val="16"/>
                <w:szCs w:val="16"/>
                <w:lang w:val="en-GB"/>
              </w:rPr>
            </w:pPr>
          </w:p>
        </w:tc>
        <w:tc>
          <w:tcPr>
            <w:tcW w:w="1310" w:type="pct"/>
            <w:gridSpan w:val="3"/>
            <w:vMerge/>
            <w:tcBorders>
              <w:bottom w:val="single" w:sz="4" w:space="0" w:color="auto"/>
            </w:tcBorders>
          </w:tcPr>
          <w:p w14:paraId="25C89612" w14:textId="77777777" w:rsidR="002129B7" w:rsidRPr="0051294D" w:rsidRDefault="002129B7" w:rsidP="00C658B7">
            <w:pPr>
              <w:rPr>
                <w:iCs/>
                <w:color w:val="000000"/>
                <w:sz w:val="16"/>
                <w:szCs w:val="16"/>
                <w:lang w:val="en-GB"/>
              </w:rPr>
            </w:pPr>
          </w:p>
        </w:tc>
        <w:tc>
          <w:tcPr>
            <w:tcW w:w="1514" w:type="pct"/>
            <w:gridSpan w:val="3"/>
            <w:vMerge/>
            <w:tcBorders>
              <w:bottom w:val="single" w:sz="4" w:space="0" w:color="auto"/>
            </w:tcBorders>
            <w:tcMar>
              <w:top w:w="72" w:type="dxa"/>
              <w:left w:w="144" w:type="dxa"/>
              <w:bottom w:w="72" w:type="dxa"/>
              <w:right w:w="144" w:type="dxa"/>
            </w:tcMar>
          </w:tcPr>
          <w:p w14:paraId="1B31F361" w14:textId="77777777" w:rsidR="002129B7" w:rsidRPr="0051294D" w:rsidRDefault="002129B7" w:rsidP="00C658B7">
            <w:pPr>
              <w:rPr>
                <w:iCs/>
                <w:color w:val="000000"/>
                <w:sz w:val="16"/>
                <w:szCs w:val="16"/>
                <w:lang w:val="en-GB"/>
              </w:rPr>
            </w:pPr>
          </w:p>
        </w:tc>
        <w:tc>
          <w:tcPr>
            <w:tcW w:w="874" w:type="pct"/>
            <w:vMerge/>
            <w:tcBorders>
              <w:bottom w:val="single" w:sz="4" w:space="0" w:color="auto"/>
            </w:tcBorders>
          </w:tcPr>
          <w:p w14:paraId="6652849C" w14:textId="77777777" w:rsidR="002129B7" w:rsidRPr="0051294D" w:rsidRDefault="002129B7" w:rsidP="00C658B7">
            <w:pPr>
              <w:rPr>
                <w:iCs/>
                <w:color w:val="000000"/>
                <w:sz w:val="16"/>
                <w:szCs w:val="16"/>
                <w:lang w:val="en-GB"/>
              </w:rPr>
            </w:pPr>
          </w:p>
        </w:tc>
        <w:tc>
          <w:tcPr>
            <w:tcW w:w="469" w:type="pct"/>
            <w:tcBorders>
              <w:bottom w:val="single" w:sz="4" w:space="0" w:color="auto"/>
            </w:tcBorders>
            <w:tcMar>
              <w:top w:w="15" w:type="dxa"/>
              <w:left w:w="108" w:type="dxa"/>
              <w:bottom w:w="0" w:type="dxa"/>
              <w:right w:w="108" w:type="dxa"/>
            </w:tcMar>
          </w:tcPr>
          <w:p w14:paraId="06B6539B" w14:textId="77777777" w:rsidR="002129B7" w:rsidRPr="0051294D" w:rsidRDefault="002129B7" w:rsidP="00C658B7">
            <w:pPr>
              <w:rPr>
                <w:b/>
                <w:color w:val="000000"/>
                <w:sz w:val="16"/>
                <w:szCs w:val="16"/>
              </w:rPr>
            </w:pPr>
            <w:r w:rsidRPr="0051294D">
              <w:rPr>
                <w:b/>
                <w:color w:val="000000"/>
                <w:sz w:val="16"/>
                <w:szCs w:val="16"/>
              </w:rPr>
              <w:t>Other:</w:t>
            </w:r>
          </w:p>
          <w:p w14:paraId="1BB2093F" w14:textId="4E2EF3D1" w:rsidR="002129B7" w:rsidRPr="0051294D" w:rsidRDefault="002129B7" w:rsidP="00C658B7">
            <w:pPr>
              <w:rPr>
                <w:b/>
                <w:sz w:val="16"/>
                <w:szCs w:val="16"/>
              </w:rPr>
            </w:pPr>
            <w:r w:rsidRPr="0051294D">
              <w:rPr>
                <w:b/>
                <w:sz w:val="16"/>
                <w:szCs w:val="16"/>
              </w:rPr>
              <w:t>32,192</w:t>
            </w:r>
          </w:p>
          <w:p w14:paraId="1819889C" w14:textId="77777777" w:rsidR="002129B7" w:rsidRPr="0051294D" w:rsidRDefault="002129B7" w:rsidP="00C658B7">
            <w:pPr>
              <w:rPr>
                <w:b/>
                <w:color w:val="000000"/>
                <w:sz w:val="16"/>
                <w:szCs w:val="16"/>
              </w:rPr>
            </w:pPr>
          </w:p>
        </w:tc>
      </w:tr>
      <w:tr w:rsidR="002129B7" w:rsidRPr="0051294D" w14:paraId="3BF296F9" w14:textId="77777777" w:rsidTr="00FA2849">
        <w:tc>
          <w:tcPr>
            <w:tcW w:w="5000" w:type="pct"/>
            <w:gridSpan w:val="9"/>
            <w:shd w:val="clear" w:color="auto" w:fill="auto"/>
            <w:tcMar>
              <w:top w:w="72" w:type="dxa"/>
              <w:left w:w="144" w:type="dxa"/>
              <w:bottom w:w="72" w:type="dxa"/>
              <w:right w:w="144" w:type="dxa"/>
            </w:tcMar>
          </w:tcPr>
          <w:p w14:paraId="12A76C4E" w14:textId="5E8E0630" w:rsidR="002129B7" w:rsidRPr="0051294D" w:rsidRDefault="001F072B" w:rsidP="00C658B7">
            <w:pPr>
              <w:rPr>
                <w:b/>
                <w:bCs/>
                <w:color w:val="000000"/>
                <w:sz w:val="16"/>
                <w:szCs w:val="16"/>
              </w:rPr>
            </w:pPr>
            <w:r w:rsidRPr="0051294D">
              <w:rPr>
                <w:b/>
                <w:bCs/>
                <w:color w:val="000000"/>
                <w:sz w:val="16"/>
                <w:szCs w:val="16"/>
                <w:lang w:val="en-GB"/>
              </w:rPr>
              <w:t>National priority or goal</w:t>
            </w:r>
            <w:r w:rsidR="002129B7" w:rsidRPr="0051294D">
              <w:rPr>
                <w:b/>
                <w:bCs/>
                <w:color w:val="000000"/>
                <w:sz w:val="16"/>
                <w:szCs w:val="16"/>
                <w:lang w:val="en-GB"/>
              </w:rPr>
              <w:t>:</w:t>
            </w:r>
            <w:r w:rsidR="002129B7" w:rsidRPr="0051294D">
              <w:rPr>
                <w:rFonts w:cs="Calibri"/>
                <w:b/>
                <w:sz w:val="16"/>
                <w:szCs w:val="16"/>
              </w:rPr>
              <w:t xml:space="preserve"> </w:t>
            </w:r>
            <w:r w:rsidR="002129B7" w:rsidRPr="0051294D">
              <w:rPr>
                <w:rFonts w:cs="Calibri"/>
                <w:sz w:val="16"/>
                <w:szCs w:val="16"/>
              </w:rPr>
              <w:t>Environment, climate change, and disaster risk management; SDG: 1,  7, 13, 15</w:t>
            </w:r>
          </w:p>
        </w:tc>
      </w:tr>
      <w:tr w:rsidR="002129B7" w:rsidRPr="0051294D" w14:paraId="7F0BC816" w14:textId="77777777" w:rsidTr="00FA2849">
        <w:tc>
          <w:tcPr>
            <w:tcW w:w="5000" w:type="pct"/>
            <w:gridSpan w:val="9"/>
            <w:shd w:val="clear" w:color="auto" w:fill="auto"/>
            <w:tcMar>
              <w:top w:w="72" w:type="dxa"/>
              <w:left w:w="144" w:type="dxa"/>
              <w:bottom w:w="72" w:type="dxa"/>
              <w:right w:w="144" w:type="dxa"/>
            </w:tcMar>
          </w:tcPr>
          <w:p w14:paraId="64968F7E" w14:textId="1C7DA3A0" w:rsidR="002129B7" w:rsidRPr="0051294D" w:rsidRDefault="002129B7" w:rsidP="00C658B7">
            <w:pPr>
              <w:rPr>
                <w:b/>
                <w:bCs/>
                <w:color w:val="000000"/>
                <w:sz w:val="16"/>
                <w:szCs w:val="16"/>
                <w:lang w:val="en-GB"/>
              </w:rPr>
            </w:pPr>
            <w:r w:rsidRPr="0051294D">
              <w:rPr>
                <w:b/>
                <w:bCs/>
                <w:color w:val="000000"/>
                <w:sz w:val="16"/>
                <w:szCs w:val="16"/>
                <w:lang w:val="en-GB"/>
              </w:rPr>
              <w:t xml:space="preserve">UNDAF </w:t>
            </w:r>
            <w:r w:rsidR="001F072B" w:rsidRPr="0051294D">
              <w:rPr>
                <w:b/>
                <w:bCs/>
                <w:color w:val="000000"/>
                <w:sz w:val="16"/>
                <w:szCs w:val="16"/>
                <w:lang w:val="en-GB"/>
              </w:rPr>
              <w:t>outcome</w:t>
            </w:r>
            <w:r w:rsidRPr="0051294D">
              <w:rPr>
                <w:b/>
                <w:bCs/>
                <w:color w:val="000000"/>
                <w:sz w:val="16"/>
                <w:szCs w:val="16"/>
                <w:lang w:val="en-GB"/>
              </w:rPr>
              <w:t xml:space="preserve"> </w:t>
            </w:r>
            <w:r w:rsidRPr="0051294D">
              <w:rPr>
                <w:rFonts w:cs="Calibri"/>
                <w:b/>
                <w:sz w:val="16"/>
                <w:szCs w:val="16"/>
              </w:rPr>
              <w:t>3</w:t>
            </w:r>
            <w:r w:rsidR="001F072B">
              <w:rPr>
                <w:rFonts w:cs="Calibri"/>
                <w:b/>
                <w:sz w:val="16"/>
                <w:szCs w:val="16"/>
              </w:rPr>
              <w:t>.</w:t>
            </w:r>
            <w:r w:rsidRPr="0051294D">
              <w:rPr>
                <w:rFonts w:cs="Calibri"/>
                <w:b/>
                <w:sz w:val="16"/>
                <w:szCs w:val="16"/>
              </w:rPr>
              <w:t xml:space="preserve"> </w:t>
            </w:r>
            <w:r w:rsidRPr="0051294D">
              <w:rPr>
                <w:color w:val="222A35"/>
                <w:sz w:val="16"/>
                <w:szCs w:val="16"/>
              </w:rPr>
              <w:t>By 2022, communities and institutions are more resilient to climate and disaster risks and are engaged in sustainable and inclusive natural resource management and risk-informed development</w:t>
            </w:r>
            <w:r w:rsidR="001F072B">
              <w:rPr>
                <w:color w:val="222A35"/>
                <w:sz w:val="16"/>
                <w:szCs w:val="16"/>
              </w:rPr>
              <w:t>.</w:t>
            </w:r>
          </w:p>
        </w:tc>
      </w:tr>
      <w:tr w:rsidR="002129B7" w:rsidRPr="0051294D" w14:paraId="0392321F" w14:textId="77777777" w:rsidTr="00FA2849">
        <w:tc>
          <w:tcPr>
            <w:tcW w:w="5000" w:type="pct"/>
            <w:gridSpan w:val="9"/>
            <w:shd w:val="clear" w:color="auto" w:fill="auto"/>
            <w:tcMar>
              <w:top w:w="72" w:type="dxa"/>
              <w:left w:w="144" w:type="dxa"/>
              <w:bottom w:w="72" w:type="dxa"/>
              <w:right w:w="144" w:type="dxa"/>
            </w:tcMar>
          </w:tcPr>
          <w:p w14:paraId="0207E2BE" w14:textId="3FBB6C76" w:rsidR="002129B7" w:rsidRPr="001F072B" w:rsidRDefault="001F072B" w:rsidP="00C658B7">
            <w:pPr>
              <w:rPr>
                <w:b/>
                <w:sz w:val="16"/>
                <w:szCs w:val="16"/>
              </w:rPr>
            </w:pPr>
            <w:r w:rsidRPr="001F072B">
              <w:rPr>
                <w:b/>
                <w:bCs/>
                <w:color w:val="000000"/>
                <w:sz w:val="16"/>
                <w:szCs w:val="16"/>
                <w:lang w:val="en-GB"/>
              </w:rPr>
              <w:t>Related strategic plan outcome</w:t>
            </w:r>
            <w:r w:rsidR="002129B7" w:rsidRPr="001F072B">
              <w:rPr>
                <w:b/>
                <w:bCs/>
                <w:color w:val="000000"/>
                <w:sz w:val="16"/>
                <w:szCs w:val="16"/>
                <w:lang w:val="en-GB"/>
              </w:rPr>
              <w:t xml:space="preserve"> </w:t>
            </w:r>
            <w:r w:rsidR="002129B7" w:rsidRPr="006D773C">
              <w:rPr>
                <w:b/>
                <w:bCs/>
                <w:color w:val="000000"/>
                <w:sz w:val="16"/>
                <w:szCs w:val="16"/>
                <w:lang w:val="en-GB"/>
              </w:rPr>
              <w:t>5.</w:t>
            </w:r>
          </w:p>
        </w:tc>
      </w:tr>
      <w:tr w:rsidR="002129B7" w:rsidRPr="0051294D" w14:paraId="43A80C16" w14:textId="77777777" w:rsidTr="00FA2849">
        <w:tc>
          <w:tcPr>
            <w:tcW w:w="1169" w:type="pct"/>
            <w:gridSpan w:val="3"/>
            <w:tcMar>
              <w:top w:w="72" w:type="dxa"/>
              <w:left w:w="144" w:type="dxa"/>
              <w:bottom w:w="72" w:type="dxa"/>
              <w:right w:w="144" w:type="dxa"/>
            </w:tcMar>
          </w:tcPr>
          <w:p w14:paraId="6D83B9C7" w14:textId="5AD0639F" w:rsidR="002129B7" w:rsidRPr="0051294D" w:rsidRDefault="002129B7" w:rsidP="00C658B7">
            <w:pPr>
              <w:rPr>
                <w:b/>
                <w:sz w:val="16"/>
                <w:szCs w:val="16"/>
              </w:rPr>
            </w:pPr>
            <w:r w:rsidRPr="0051294D">
              <w:rPr>
                <w:b/>
                <w:sz w:val="16"/>
                <w:szCs w:val="16"/>
              </w:rPr>
              <w:t>3.1. Presence of approved, funded policy/strategy/plan for adaptation to adverse impacts of climate resilience and low greenhouse gas emissions development in a manner that does not threaten food production  (13.2.1)</w:t>
            </w:r>
          </w:p>
          <w:p w14:paraId="717AED58" w14:textId="3D96F733" w:rsidR="002129B7" w:rsidRPr="0051294D" w:rsidRDefault="002129B7" w:rsidP="00C658B7">
            <w:pPr>
              <w:rPr>
                <w:sz w:val="16"/>
                <w:szCs w:val="16"/>
              </w:rPr>
            </w:pPr>
            <w:r w:rsidRPr="006D773C">
              <w:rPr>
                <w:i/>
                <w:sz w:val="16"/>
                <w:szCs w:val="16"/>
              </w:rPr>
              <w:t>Baseline:</w:t>
            </w:r>
            <w:r w:rsidRPr="006D773C">
              <w:rPr>
                <w:sz w:val="16"/>
                <w:szCs w:val="16"/>
              </w:rPr>
              <w:t xml:space="preserve"> </w:t>
            </w:r>
            <w:r w:rsidRPr="0051294D">
              <w:rPr>
                <w:sz w:val="16"/>
                <w:szCs w:val="16"/>
              </w:rPr>
              <w:t>No</w:t>
            </w:r>
          </w:p>
          <w:p w14:paraId="13F03219" w14:textId="77777777" w:rsidR="002129B7" w:rsidRPr="0051294D" w:rsidRDefault="002129B7" w:rsidP="00C658B7">
            <w:pPr>
              <w:rPr>
                <w:sz w:val="16"/>
                <w:szCs w:val="16"/>
              </w:rPr>
            </w:pPr>
            <w:r w:rsidRPr="006D773C">
              <w:rPr>
                <w:i/>
                <w:sz w:val="16"/>
                <w:szCs w:val="16"/>
              </w:rPr>
              <w:t>Target:</w:t>
            </w:r>
            <w:r w:rsidRPr="006D773C">
              <w:rPr>
                <w:sz w:val="16"/>
                <w:szCs w:val="16"/>
              </w:rPr>
              <w:t xml:space="preserve"> </w:t>
            </w:r>
            <w:r w:rsidRPr="0051294D">
              <w:rPr>
                <w:sz w:val="16"/>
                <w:szCs w:val="16"/>
              </w:rPr>
              <w:t xml:space="preserve">Yes </w:t>
            </w:r>
          </w:p>
          <w:p w14:paraId="00BE9691" w14:textId="77777777" w:rsidR="002129B7" w:rsidRPr="0051294D" w:rsidRDefault="002129B7" w:rsidP="00C658B7">
            <w:pPr>
              <w:rPr>
                <w:b/>
                <w:sz w:val="16"/>
                <w:szCs w:val="16"/>
              </w:rPr>
            </w:pPr>
          </w:p>
          <w:p w14:paraId="2AA2F5F8" w14:textId="77777777" w:rsidR="002129B7" w:rsidRPr="0051294D" w:rsidRDefault="002129B7" w:rsidP="00C658B7">
            <w:pPr>
              <w:rPr>
                <w:b/>
                <w:sz w:val="16"/>
                <w:szCs w:val="16"/>
              </w:rPr>
            </w:pPr>
            <w:r w:rsidRPr="0051294D">
              <w:rPr>
                <w:b/>
                <w:sz w:val="16"/>
                <w:szCs w:val="16"/>
              </w:rPr>
              <w:lastRenderedPageBreak/>
              <w:t>3.2. Degree of integrated water resource management implementation (scale 0-100) (6.5.1)</w:t>
            </w:r>
          </w:p>
          <w:p w14:paraId="48C2F4E6" w14:textId="77777777" w:rsidR="002129B7" w:rsidRPr="0051294D" w:rsidRDefault="002129B7" w:rsidP="00C658B7">
            <w:pPr>
              <w:rPr>
                <w:sz w:val="16"/>
                <w:szCs w:val="16"/>
              </w:rPr>
            </w:pPr>
            <w:r w:rsidRPr="006D773C">
              <w:rPr>
                <w:i/>
                <w:sz w:val="16"/>
                <w:szCs w:val="16"/>
              </w:rPr>
              <w:t>Baseline:</w:t>
            </w:r>
            <w:r w:rsidRPr="0051294D">
              <w:rPr>
                <w:sz w:val="16"/>
                <w:szCs w:val="16"/>
              </w:rPr>
              <w:t xml:space="preserve"> 6%</w:t>
            </w:r>
            <w:r w:rsidRPr="0051294D">
              <w:rPr>
                <w:sz w:val="16"/>
                <w:szCs w:val="16"/>
              </w:rPr>
              <w:tab/>
            </w:r>
          </w:p>
          <w:p w14:paraId="7A39FDAC" w14:textId="77777777" w:rsidR="002129B7" w:rsidRPr="0051294D" w:rsidRDefault="002129B7" w:rsidP="00C658B7">
            <w:pPr>
              <w:rPr>
                <w:sz w:val="16"/>
                <w:szCs w:val="16"/>
              </w:rPr>
            </w:pPr>
            <w:r w:rsidRPr="006D773C">
              <w:rPr>
                <w:i/>
                <w:sz w:val="16"/>
                <w:szCs w:val="16"/>
              </w:rPr>
              <w:t>Target:</w:t>
            </w:r>
            <w:r w:rsidRPr="006D773C">
              <w:rPr>
                <w:sz w:val="16"/>
                <w:szCs w:val="16"/>
              </w:rPr>
              <w:t xml:space="preserve"> </w:t>
            </w:r>
            <w:r w:rsidRPr="0051294D">
              <w:rPr>
                <w:sz w:val="16"/>
                <w:szCs w:val="16"/>
              </w:rPr>
              <w:t xml:space="preserve">15% </w:t>
            </w:r>
          </w:p>
          <w:p w14:paraId="1DC5970A" w14:textId="77777777" w:rsidR="002129B7" w:rsidRPr="0051294D" w:rsidRDefault="002129B7" w:rsidP="00C658B7">
            <w:pPr>
              <w:rPr>
                <w:b/>
                <w:sz w:val="16"/>
                <w:szCs w:val="16"/>
              </w:rPr>
            </w:pPr>
          </w:p>
          <w:p w14:paraId="40400F4F" w14:textId="1E19875F" w:rsidR="002129B7" w:rsidRPr="0051294D" w:rsidRDefault="002129B7" w:rsidP="00C658B7">
            <w:pPr>
              <w:rPr>
                <w:b/>
                <w:sz w:val="16"/>
                <w:szCs w:val="16"/>
              </w:rPr>
            </w:pPr>
            <w:r w:rsidRPr="0051294D">
              <w:rPr>
                <w:b/>
                <w:sz w:val="16"/>
                <w:szCs w:val="16"/>
              </w:rPr>
              <w:t>3.3. National and local disaster risk reduction strategies adopted and financed</w:t>
            </w:r>
            <w:r w:rsidR="001F072B">
              <w:rPr>
                <w:b/>
                <w:sz w:val="16"/>
                <w:szCs w:val="16"/>
              </w:rPr>
              <w:t>,</w:t>
            </w:r>
            <w:r w:rsidRPr="0051294D">
              <w:rPr>
                <w:b/>
                <w:sz w:val="16"/>
                <w:szCs w:val="16"/>
              </w:rPr>
              <w:t xml:space="preserve"> and proportion of local governments that adopt and implement local disaster risk reduction strategies in line with Sendai Framework for Disaster Risk Reduction</w:t>
            </w:r>
            <w:r w:rsidR="001F072B">
              <w:rPr>
                <w:b/>
                <w:sz w:val="16"/>
                <w:szCs w:val="16"/>
              </w:rPr>
              <w:t>,</w:t>
            </w:r>
            <w:r w:rsidRPr="0051294D">
              <w:rPr>
                <w:b/>
                <w:sz w:val="16"/>
                <w:szCs w:val="16"/>
              </w:rPr>
              <w:t xml:space="preserve"> 2015-2030 (11.b.1, 11b.2)</w:t>
            </w:r>
          </w:p>
          <w:p w14:paraId="749817C6" w14:textId="4B6BD3D8" w:rsidR="002129B7" w:rsidRPr="0051294D" w:rsidRDefault="002129B7" w:rsidP="00C658B7">
            <w:pPr>
              <w:rPr>
                <w:sz w:val="16"/>
                <w:szCs w:val="16"/>
              </w:rPr>
            </w:pPr>
            <w:r w:rsidRPr="00DB7C3B">
              <w:rPr>
                <w:i/>
                <w:sz w:val="16"/>
                <w:szCs w:val="16"/>
              </w:rPr>
              <w:t>Baseline:</w:t>
            </w:r>
            <w:r w:rsidRPr="0051294D">
              <w:rPr>
                <w:sz w:val="16"/>
                <w:szCs w:val="16"/>
              </w:rPr>
              <w:tab/>
              <w:t xml:space="preserve">No </w:t>
            </w:r>
            <w:r w:rsidR="001F072B">
              <w:rPr>
                <w:sz w:val="16"/>
                <w:szCs w:val="16"/>
              </w:rPr>
              <w:t>(0%)</w:t>
            </w:r>
          </w:p>
          <w:p w14:paraId="09D4EB1D" w14:textId="3BEE98E1" w:rsidR="002129B7" w:rsidRPr="0051294D" w:rsidRDefault="002129B7" w:rsidP="00C658B7">
            <w:pPr>
              <w:rPr>
                <w:sz w:val="16"/>
                <w:szCs w:val="16"/>
              </w:rPr>
            </w:pPr>
            <w:r w:rsidRPr="00DB7C3B">
              <w:rPr>
                <w:i/>
                <w:sz w:val="16"/>
                <w:szCs w:val="16"/>
              </w:rPr>
              <w:t>Target:</w:t>
            </w:r>
            <w:r w:rsidRPr="00DB7C3B">
              <w:rPr>
                <w:sz w:val="16"/>
                <w:szCs w:val="16"/>
              </w:rPr>
              <w:t xml:space="preserve"> </w:t>
            </w:r>
            <w:r w:rsidRPr="0051294D">
              <w:rPr>
                <w:sz w:val="16"/>
                <w:szCs w:val="16"/>
              </w:rPr>
              <w:t>Yes</w:t>
            </w:r>
            <w:r w:rsidR="001F072B">
              <w:rPr>
                <w:sz w:val="16"/>
                <w:szCs w:val="16"/>
              </w:rPr>
              <w:t xml:space="preserve"> (</w:t>
            </w:r>
            <w:r w:rsidR="001F072B" w:rsidRPr="00DD4C62">
              <w:rPr>
                <w:sz w:val="16"/>
                <w:szCs w:val="16"/>
              </w:rPr>
              <w:t>10%</w:t>
            </w:r>
            <w:r w:rsidR="001F072B">
              <w:rPr>
                <w:sz w:val="16"/>
                <w:szCs w:val="16"/>
              </w:rPr>
              <w:t>)</w:t>
            </w:r>
          </w:p>
          <w:p w14:paraId="0AB82D53" w14:textId="77777777" w:rsidR="002129B7" w:rsidRPr="0051294D" w:rsidRDefault="002129B7" w:rsidP="00C658B7">
            <w:pPr>
              <w:rPr>
                <w:sz w:val="16"/>
                <w:szCs w:val="16"/>
              </w:rPr>
            </w:pPr>
          </w:p>
          <w:p w14:paraId="56AF7BA7" w14:textId="79ADA70A" w:rsidR="002129B7" w:rsidRPr="0051294D" w:rsidRDefault="002129B7" w:rsidP="00C658B7">
            <w:pPr>
              <w:autoSpaceDE w:val="0"/>
              <w:autoSpaceDN w:val="0"/>
              <w:adjustRightInd w:val="0"/>
              <w:rPr>
                <w:b/>
                <w:sz w:val="16"/>
                <w:szCs w:val="16"/>
              </w:rPr>
            </w:pPr>
            <w:r w:rsidRPr="0051294D">
              <w:rPr>
                <w:b/>
                <w:sz w:val="16"/>
                <w:szCs w:val="16"/>
              </w:rPr>
              <w:t>3.4</w:t>
            </w:r>
            <w:r w:rsidR="001F072B">
              <w:rPr>
                <w:b/>
                <w:sz w:val="16"/>
                <w:szCs w:val="16"/>
              </w:rPr>
              <w:t>.</w:t>
            </w:r>
            <w:r w:rsidRPr="0051294D">
              <w:rPr>
                <w:b/>
                <w:sz w:val="16"/>
                <w:szCs w:val="16"/>
              </w:rPr>
              <w:t xml:space="preserve"> Coverage by protected areas of important sites for mountain biodiversity (15.4.1)</w:t>
            </w:r>
          </w:p>
          <w:p w14:paraId="25279FD8" w14:textId="77777777" w:rsidR="002129B7" w:rsidRPr="0051294D" w:rsidRDefault="002129B7" w:rsidP="00C658B7">
            <w:pPr>
              <w:rPr>
                <w:sz w:val="16"/>
                <w:szCs w:val="16"/>
              </w:rPr>
            </w:pPr>
            <w:r w:rsidRPr="00DB7C3B">
              <w:rPr>
                <w:i/>
                <w:sz w:val="16"/>
                <w:szCs w:val="16"/>
              </w:rPr>
              <w:t>Baseline:</w:t>
            </w:r>
            <w:r w:rsidRPr="0051294D">
              <w:rPr>
                <w:sz w:val="16"/>
                <w:szCs w:val="16"/>
              </w:rPr>
              <w:t xml:space="preserve"> 6.2%</w:t>
            </w:r>
            <w:r w:rsidRPr="0051294D">
              <w:rPr>
                <w:sz w:val="16"/>
                <w:szCs w:val="16"/>
              </w:rPr>
              <w:tab/>
            </w:r>
          </w:p>
          <w:p w14:paraId="7C2BE3B4" w14:textId="77777777" w:rsidR="002129B7" w:rsidRPr="0051294D" w:rsidRDefault="002129B7" w:rsidP="00C658B7">
            <w:pPr>
              <w:rPr>
                <w:sz w:val="16"/>
                <w:szCs w:val="16"/>
              </w:rPr>
            </w:pPr>
            <w:r w:rsidRPr="00DB7C3B">
              <w:rPr>
                <w:i/>
                <w:sz w:val="16"/>
                <w:szCs w:val="16"/>
              </w:rPr>
              <w:t>Target:</w:t>
            </w:r>
            <w:r w:rsidRPr="00DB7C3B">
              <w:rPr>
                <w:sz w:val="16"/>
                <w:szCs w:val="16"/>
              </w:rPr>
              <w:t xml:space="preserve"> </w:t>
            </w:r>
            <w:r w:rsidRPr="0051294D">
              <w:rPr>
                <w:sz w:val="16"/>
                <w:szCs w:val="16"/>
              </w:rPr>
              <w:t xml:space="preserve">10.5% </w:t>
            </w:r>
          </w:p>
          <w:p w14:paraId="3ACB601C" w14:textId="77777777" w:rsidR="002129B7" w:rsidRPr="0051294D" w:rsidRDefault="002129B7" w:rsidP="00C658B7">
            <w:pPr>
              <w:autoSpaceDE w:val="0"/>
              <w:autoSpaceDN w:val="0"/>
              <w:adjustRightInd w:val="0"/>
              <w:rPr>
                <w:sz w:val="16"/>
                <w:szCs w:val="16"/>
              </w:rPr>
            </w:pPr>
          </w:p>
          <w:p w14:paraId="2732E56B" w14:textId="34DFFA4E" w:rsidR="002129B7" w:rsidRPr="0051294D" w:rsidRDefault="002129B7" w:rsidP="00C658B7">
            <w:pPr>
              <w:rPr>
                <w:b/>
                <w:sz w:val="16"/>
                <w:szCs w:val="16"/>
              </w:rPr>
            </w:pPr>
            <w:r w:rsidRPr="0051294D">
              <w:rPr>
                <w:b/>
                <w:sz w:val="16"/>
                <w:szCs w:val="16"/>
              </w:rPr>
              <w:t>3.5</w:t>
            </w:r>
            <w:r w:rsidR="001F072B">
              <w:rPr>
                <w:b/>
                <w:sz w:val="16"/>
                <w:szCs w:val="16"/>
              </w:rPr>
              <w:t>.</w:t>
            </w:r>
            <w:r w:rsidRPr="0051294D">
              <w:rPr>
                <w:b/>
                <w:sz w:val="16"/>
                <w:szCs w:val="16"/>
              </w:rPr>
              <w:t xml:space="preserve"> Proportion of local administrative units with established</w:t>
            </w:r>
            <w:r w:rsidR="001F072B">
              <w:rPr>
                <w:b/>
                <w:sz w:val="16"/>
                <w:szCs w:val="16"/>
              </w:rPr>
              <w:t>,</w:t>
            </w:r>
            <w:r w:rsidRPr="0051294D">
              <w:rPr>
                <w:b/>
                <w:sz w:val="16"/>
                <w:szCs w:val="16"/>
              </w:rPr>
              <w:t xml:space="preserve"> operational policies and procedures for participation of local communities in water and sanitation management (6.b.1)</w:t>
            </w:r>
          </w:p>
          <w:p w14:paraId="66980C24" w14:textId="68DDDC27" w:rsidR="002129B7" w:rsidRPr="0051294D" w:rsidRDefault="002129B7" w:rsidP="00C658B7">
            <w:pPr>
              <w:rPr>
                <w:sz w:val="16"/>
                <w:szCs w:val="16"/>
              </w:rPr>
            </w:pPr>
            <w:r w:rsidRPr="00DB7C3B">
              <w:rPr>
                <w:i/>
                <w:sz w:val="16"/>
                <w:szCs w:val="16"/>
              </w:rPr>
              <w:t>Baseline:</w:t>
            </w:r>
            <w:r w:rsidRPr="00DB7C3B">
              <w:rPr>
                <w:sz w:val="16"/>
                <w:szCs w:val="16"/>
              </w:rPr>
              <w:t xml:space="preserve"> </w:t>
            </w:r>
            <w:r w:rsidRPr="0051294D">
              <w:rPr>
                <w:sz w:val="16"/>
                <w:szCs w:val="16"/>
              </w:rPr>
              <w:t>Water</w:t>
            </w:r>
            <w:r w:rsidR="00226E3B">
              <w:rPr>
                <w:sz w:val="16"/>
                <w:szCs w:val="16"/>
              </w:rPr>
              <w:t>,</w:t>
            </w:r>
            <w:r w:rsidRPr="0051294D">
              <w:rPr>
                <w:sz w:val="16"/>
                <w:szCs w:val="16"/>
              </w:rPr>
              <w:t xml:space="preserve"> 89.1%; </w:t>
            </w:r>
            <w:r w:rsidR="00226E3B">
              <w:rPr>
                <w:sz w:val="16"/>
                <w:szCs w:val="16"/>
              </w:rPr>
              <w:t>s</w:t>
            </w:r>
            <w:r w:rsidRPr="0051294D">
              <w:rPr>
                <w:sz w:val="16"/>
                <w:szCs w:val="16"/>
              </w:rPr>
              <w:t>anitation</w:t>
            </w:r>
            <w:r w:rsidR="00226E3B">
              <w:rPr>
                <w:sz w:val="16"/>
                <w:szCs w:val="16"/>
              </w:rPr>
              <w:t>,</w:t>
            </w:r>
            <w:r w:rsidRPr="0051294D">
              <w:rPr>
                <w:sz w:val="16"/>
                <w:szCs w:val="16"/>
              </w:rPr>
              <w:t xml:space="preserve"> 28.6%</w:t>
            </w:r>
          </w:p>
          <w:p w14:paraId="7216ABD9" w14:textId="0411B233" w:rsidR="002129B7" w:rsidRPr="0051294D" w:rsidRDefault="002129B7" w:rsidP="00C658B7">
            <w:pPr>
              <w:rPr>
                <w:sz w:val="16"/>
                <w:szCs w:val="16"/>
              </w:rPr>
            </w:pPr>
            <w:r w:rsidRPr="00DB7C3B">
              <w:rPr>
                <w:i/>
                <w:sz w:val="16"/>
                <w:szCs w:val="16"/>
              </w:rPr>
              <w:t>Target:</w:t>
            </w:r>
            <w:r w:rsidRPr="00DB7C3B">
              <w:rPr>
                <w:sz w:val="16"/>
                <w:szCs w:val="16"/>
              </w:rPr>
              <w:t xml:space="preserve"> </w:t>
            </w:r>
            <w:r w:rsidRPr="0051294D">
              <w:rPr>
                <w:sz w:val="16"/>
                <w:szCs w:val="16"/>
              </w:rPr>
              <w:t>Water</w:t>
            </w:r>
            <w:r w:rsidR="00226E3B">
              <w:rPr>
                <w:sz w:val="16"/>
                <w:szCs w:val="16"/>
              </w:rPr>
              <w:t>,</w:t>
            </w:r>
            <w:r w:rsidRPr="0051294D">
              <w:rPr>
                <w:sz w:val="16"/>
                <w:szCs w:val="16"/>
              </w:rPr>
              <w:t xml:space="preserve"> 100%; </w:t>
            </w:r>
            <w:r w:rsidR="00226E3B">
              <w:rPr>
                <w:sz w:val="16"/>
                <w:szCs w:val="16"/>
              </w:rPr>
              <w:t>s</w:t>
            </w:r>
            <w:r w:rsidRPr="0051294D">
              <w:rPr>
                <w:sz w:val="16"/>
                <w:szCs w:val="16"/>
              </w:rPr>
              <w:t>anitation</w:t>
            </w:r>
            <w:r w:rsidR="00226E3B">
              <w:rPr>
                <w:sz w:val="16"/>
                <w:szCs w:val="16"/>
              </w:rPr>
              <w:t>,</w:t>
            </w:r>
            <w:r w:rsidRPr="0051294D">
              <w:rPr>
                <w:sz w:val="16"/>
                <w:szCs w:val="16"/>
              </w:rPr>
              <w:t xml:space="preserve"> 38%</w:t>
            </w:r>
          </w:p>
          <w:p w14:paraId="6ACB9DD0" w14:textId="77777777" w:rsidR="002129B7" w:rsidRPr="0051294D" w:rsidRDefault="002129B7" w:rsidP="00C658B7">
            <w:pPr>
              <w:ind w:firstLine="221"/>
              <w:rPr>
                <w:sz w:val="16"/>
                <w:szCs w:val="16"/>
              </w:rPr>
            </w:pPr>
          </w:p>
          <w:p w14:paraId="207229AD" w14:textId="043784D1" w:rsidR="002129B7" w:rsidRPr="0051294D" w:rsidRDefault="002129B7" w:rsidP="00C658B7">
            <w:pPr>
              <w:rPr>
                <w:b/>
                <w:sz w:val="16"/>
                <w:szCs w:val="16"/>
              </w:rPr>
            </w:pPr>
            <w:r w:rsidRPr="0051294D">
              <w:rPr>
                <w:b/>
                <w:sz w:val="16"/>
                <w:szCs w:val="16"/>
              </w:rPr>
              <w:t xml:space="preserve">3.6 Renewable energy share in total final energy consumption (7.2.1) </w:t>
            </w:r>
          </w:p>
          <w:p w14:paraId="56B5A817" w14:textId="77777777" w:rsidR="002129B7" w:rsidRPr="0051294D" w:rsidRDefault="002129B7" w:rsidP="00C658B7">
            <w:pPr>
              <w:rPr>
                <w:sz w:val="16"/>
                <w:szCs w:val="16"/>
              </w:rPr>
            </w:pPr>
            <w:r w:rsidRPr="001C0544">
              <w:rPr>
                <w:i/>
                <w:sz w:val="16"/>
                <w:szCs w:val="16"/>
              </w:rPr>
              <w:t>Baseline:</w:t>
            </w:r>
            <w:r w:rsidRPr="0051294D">
              <w:rPr>
                <w:sz w:val="16"/>
                <w:szCs w:val="16"/>
              </w:rPr>
              <w:t xml:space="preserve"> 2.1%</w:t>
            </w:r>
          </w:p>
          <w:p w14:paraId="11FE56D2" w14:textId="77777777" w:rsidR="002129B7" w:rsidRPr="0051294D" w:rsidRDefault="002129B7" w:rsidP="00C658B7">
            <w:pPr>
              <w:rPr>
                <w:sz w:val="16"/>
                <w:szCs w:val="16"/>
              </w:rPr>
            </w:pPr>
            <w:r w:rsidRPr="001C0544">
              <w:rPr>
                <w:i/>
                <w:sz w:val="16"/>
                <w:szCs w:val="16"/>
              </w:rPr>
              <w:t>Target:</w:t>
            </w:r>
            <w:r w:rsidRPr="001C0544">
              <w:rPr>
                <w:sz w:val="16"/>
                <w:szCs w:val="16"/>
              </w:rPr>
              <w:t xml:space="preserve"> </w:t>
            </w:r>
            <w:r w:rsidRPr="0051294D">
              <w:rPr>
                <w:sz w:val="16"/>
                <w:szCs w:val="16"/>
              </w:rPr>
              <w:t xml:space="preserve">10% </w:t>
            </w:r>
          </w:p>
          <w:p w14:paraId="65556F4F" w14:textId="77777777" w:rsidR="002129B7" w:rsidRPr="0051294D" w:rsidRDefault="002129B7" w:rsidP="00C658B7">
            <w:pPr>
              <w:autoSpaceDE w:val="0"/>
              <w:autoSpaceDN w:val="0"/>
              <w:adjustRightInd w:val="0"/>
              <w:rPr>
                <w:sz w:val="16"/>
                <w:szCs w:val="16"/>
              </w:rPr>
            </w:pPr>
          </w:p>
          <w:p w14:paraId="199C0C4F" w14:textId="77777777" w:rsidR="002129B7" w:rsidRPr="0051294D" w:rsidRDefault="002129B7" w:rsidP="00C658B7">
            <w:pPr>
              <w:autoSpaceDE w:val="0"/>
              <w:autoSpaceDN w:val="0"/>
              <w:adjustRightInd w:val="0"/>
              <w:rPr>
                <w:b/>
                <w:sz w:val="16"/>
                <w:szCs w:val="16"/>
              </w:rPr>
            </w:pPr>
            <w:r w:rsidRPr="0051294D">
              <w:rPr>
                <w:b/>
                <w:sz w:val="16"/>
                <w:szCs w:val="16"/>
              </w:rPr>
              <w:t xml:space="preserve">3.7 Progress towards sustainable forest management (15.2.1) </w:t>
            </w:r>
          </w:p>
          <w:p w14:paraId="1290E7AD" w14:textId="77777777" w:rsidR="002129B7" w:rsidRPr="0051294D" w:rsidRDefault="002129B7" w:rsidP="00C658B7">
            <w:pPr>
              <w:rPr>
                <w:sz w:val="16"/>
                <w:szCs w:val="16"/>
              </w:rPr>
            </w:pPr>
            <w:r w:rsidRPr="001C0544">
              <w:rPr>
                <w:i/>
                <w:sz w:val="16"/>
                <w:szCs w:val="16"/>
              </w:rPr>
              <w:t>Baseline:</w:t>
            </w:r>
            <w:r w:rsidRPr="0051294D">
              <w:rPr>
                <w:sz w:val="16"/>
                <w:szCs w:val="16"/>
              </w:rPr>
              <w:t xml:space="preserve"> No</w:t>
            </w:r>
            <w:r w:rsidRPr="0051294D">
              <w:rPr>
                <w:sz w:val="16"/>
                <w:szCs w:val="16"/>
              </w:rPr>
              <w:tab/>
            </w:r>
          </w:p>
          <w:p w14:paraId="5C149B6E" w14:textId="77777777" w:rsidR="002129B7" w:rsidRPr="0051294D" w:rsidRDefault="002129B7" w:rsidP="00C658B7">
            <w:pPr>
              <w:rPr>
                <w:sz w:val="16"/>
                <w:szCs w:val="16"/>
              </w:rPr>
            </w:pPr>
            <w:r w:rsidRPr="001C0544">
              <w:rPr>
                <w:i/>
                <w:sz w:val="16"/>
                <w:szCs w:val="16"/>
              </w:rPr>
              <w:t>Target:</w:t>
            </w:r>
            <w:r w:rsidRPr="001C0544">
              <w:rPr>
                <w:sz w:val="16"/>
                <w:szCs w:val="16"/>
              </w:rPr>
              <w:t xml:space="preserve"> </w:t>
            </w:r>
            <w:r w:rsidRPr="00226E3B">
              <w:rPr>
                <w:sz w:val="16"/>
                <w:szCs w:val="16"/>
              </w:rPr>
              <w:t>Y</w:t>
            </w:r>
            <w:r w:rsidRPr="0051294D">
              <w:rPr>
                <w:sz w:val="16"/>
                <w:szCs w:val="16"/>
              </w:rPr>
              <w:t xml:space="preserve">es </w:t>
            </w:r>
          </w:p>
          <w:p w14:paraId="1D9BC506" w14:textId="77777777" w:rsidR="002129B7" w:rsidRPr="0051294D" w:rsidRDefault="002129B7" w:rsidP="00C658B7">
            <w:pPr>
              <w:rPr>
                <w:b/>
                <w:sz w:val="18"/>
                <w:szCs w:val="18"/>
              </w:rPr>
            </w:pPr>
          </w:p>
          <w:p w14:paraId="7BE22688" w14:textId="77777777" w:rsidR="002129B7" w:rsidRPr="0051294D" w:rsidRDefault="002129B7" w:rsidP="00C658B7">
            <w:pPr>
              <w:rPr>
                <w:bCs/>
                <w:color w:val="000000"/>
                <w:sz w:val="18"/>
                <w:szCs w:val="18"/>
                <w:lang w:val="en-GB"/>
              </w:rPr>
            </w:pPr>
          </w:p>
        </w:tc>
        <w:tc>
          <w:tcPr>
            <w:tcW w:w="1013" w:type="pct"/>
            <w:gridSpan w:val="2"/>
          </w:tcPr>
          <w:p w14:paraId="024E272C" w14:textId="4149F717" w:rsidR="00226E3B" w:rsidRDefault="002129B7" w:rsidP="00C658B7">
            <w:pPr>
              <w:rPr>
                <w:rFonts w:eastAsia="Calibri"/>
                <w:sz w:val="16"/>
                <w:szCs w:val="16"/>
              </w:rPr>
            </w:pPr>
            <w:r w:rsidRPr="0051294D">
              <w:rPr>
                <w:rFonts w:cs="Calibri"/>
                <w:sz w:val="16"/>
                <w:szCs w:val="16"/>
              </w:rPr>
              <w:lastRenderedPageBreak/>
              <w:t>3.1, 3.4, 3.7</w:t>
            </w:r>
            <w:r w:rsidR="00226E3B">
              <w:rPr>
                <w:rFonts w:cs="Calibri"/>
                <w:sz w:val="16"/>
                <w:szCs w:val="16"/>
              </w:rPr>
              <w:t xml:space="preserve">. </w:t>
            </w:r>
            <w:r w:rsidRPr="0051294D">
              <w:rPr>
                <w:rFonts w:eastAsia="Calibri"/>
                <w:sz w:val="16"/>
                <w:szCs w:val="16"/>
              </w:rPr>
              <w:t>SAEPF</w:t>
            </w:r>
          </w:p>
          <w:p w14:paraId="2DED27D1" w14:textId="5D2F752F" w:rsidR="002129B7" w:rsidRPr="0051294D" w:rsidRDefault="002129B7" w:rsidP="00C658B7">
            <w:pPr>
              <w:rPr>
                <w:sz w:val="16"/>
                <w:szCs w:val="16"/>
              </w:rPr>
            </w:pPr>
            <w:r w:rsidRPr="0051294D">
              <w:rPr>
                <w:sz w:val="16"/>
                <w:szCs w:val="16"/>
              </w:rPr>
              <w:t>Annually</w:t>
            </w:r>
          </w:p>
          <w:p w14:paraId="7E1D52DD" w14:textId="77777777" w:rsidR="002129B7" w:rsidRPr="0051294D" w:rsidRDefault="002129B7" w:rsidP="00C658B7">
            <w:pPr>
              <w:rPr>
                <w:sz w:val="16"/>
                <w:szCs w:val="16"/>
              </w:rPr>
            </w:pPr>
          </w:p>
          <w:p w14:paraId="4600F59A" w14:textId="656BFB1A" w:rsidR="002129B7" w:rsidRPr="0051294D" w:rsidRDefault="002129B7" w:rsidP="00C658B7">
            <w:pPr>
              <w:rPr>
                <w:rFonts w:cs="Calibri"/>
                <w:sz w:val="16"/>
                <w:szCs w:val="16"/>
              </w:rPr>
            </w:pPr>
            <w:r w:rsidRPr="0051294D">
              <w:rPr>
                <w:rFonts w:cs="Calibri"/>
                <w:sz w:val="16"/>
                <w:szCs w:val="16"/>
              </w:rPr>
              <w:t>3.2</w:t>
            </w:r>
            <w:r w:rsidR="00226E3B">
              <w:rPr>
                <w:rFonts w:cs="Calibri"/>
                <w:sz w:val="16"/>
                <w:szCs w:val="16"/>
              </w:rPr>
              <w:t xml:space="preserve">. </w:t>
            </w:r>
            <w:r w:rsidRPr="0051294D">
              <w:rPr>
                <w:rFonts w:cs="Calibri"/>
                <w:sz w:val="16"/>
                <w:szCs w:val="16"/>
              </w:rPr>
              <w:t xml:space="preserve">MAFIM </w:t>
            </w:r>
          </w:p>
          <w:p w14:paraId="2DDADE9A" w14:textId="77777777" w:rsidR="002129B7" w:rsidRPr="0051294D" w:rsidRDefault="002129B7" w:rsidP="00C658B7">
            <w:pPr>
              <w:rPr>
                <w:sz w:val="16"/>
                <w:szCs w:val="16"/>
              </w:rPr>
            </w:pPr>
          </w:p>
          <w:p w14:paraId="27776569" w14:textId="18F83AE1" w:rsidR="00226E3B" w:rsidRDefault="002129B7" w:rsidP="00C658B7">
            <w:pPr>
              <w:rPr>
                <w:sz w:val="16"/>
                <w:szCs w:val="16"/>
              </w:rPr>
            </w:pPr>
            <w:r w:rsidRPr="0051294D">
              <w:rPr>
                <w:sz w:val="16"/>
                <w:szCs w:val="16"/>
              </w:rPr>
              <w:t>3.3</w:t>
            </w:r>
            <w:r w:rsidR="00226E3B">
              <w:rPr>
                <w:sz w:val="16"/>
                <w:szCs w:val="16"/>
              </w:rPr>
              <w:t xml:space="preserve">. </w:t>
            </w:r>
            <w:r w:rsidRPr="0051294D">
              <w:rPr>
                <w:sz w:val="16"/>
                <w:szCs w:val="16"/>
              </w:rPr>
              <w:t>MES</w:t>
            </w:r>
          </w:p>
          <w:p w14:paraId="409A82A0" w14:textId="05F7835D" w:rsidR="002129B7" w:rsidRPr="0051294D" w:rsidRDefault="002129B7" w:rsidP="00C658B7">
            <w:pPr>
              <w:rPr>
                <w:sz w:val="16"/>
                <w:szCs w:val="16"/>
              </w:rPr>
            </w:pPr>
            <w:r w:rsidRPr="0051294D">
              <w:rPr>
                <w:sz w:val="16"/>
                <w:szCs w:val="16"/>
              </w:rPr>
              <w:t>Annually</w:t>
            </w:r>
          </w:p>
          <w:p w14:paraId="02921550" w14:textId="77777777" w:rsidR="002129B7" w:rsidRPr="0051294D" w:rsidRDefault="002129B7" w:rsidP="00C658B7">
            <w:pPr>
              <w:rPr>
                <w:sz w:val="16"/>
                <w:szCs w:val="16"/>
              </w:rPr>
            </w:pPr>
          </w:p>
          <w:p w14:paraId="70A97FE3" w14:textId="03772E0D" w:rsidR="00226E3B" w:rsidRDefault="002129B7" w:rsidP="00C658B7">
            <w:pPr>
              <w:rPr>
                <w:sz w:val="16"/>
                <w:szCs w:val="16"/>
              </w:rPr>
            </w:pPr>
            <w:r w:rsidRPr="0051294D">
              <w:rPr>
                <w:sz w:val="16"/>
                <w:szCs w:val="16"/>
              </w:rPr>
              <w:t>3.5</w:t>
            </w:r>
            <w:r w:rsidR="00226E3B">
              <w:rPr>
                <w:sz w:val="16"/>
                <w:szCs w:val="16"/>
              </w:rPr>
              <w:t>.</w:t>
            </w:r>
            <w:r w:rsidRPr="0051294D">
              <w:rPr>
                <w:sz w:val="16"/>
                <w:szCs w:val="16"/>
              </w:rPr>
              <w:t xml:space="preserve"> DDDWSS</w:t>
            </w:r>
          </w:p>
          <w:p w14:paraId="394841BB" w14:textId="0E2E6318" w:rsidR="002129B7" w:rsidRPr="0051294D" w:rsidRDefault="002129B7" w:rsidP="00C658B7">
            <w:pPr>
              <w:rPr>
                <w:sz w:val="16"/>
                <w:szCs w:val="16"/>
              </w:rPr>
            </w:pPr>
            <w:r w:rsidRPr="0051294D">
              <w:rPr>
                <w:sz w:val="16"/>
                <w:szCs w:val="16"/>
              </w:rPr>
              <w:t>Annually</w:t>
            </w:r>
          </w:p>
          <w:p w14:paraId="240E6819" w14:textId="77777777" w:rsidR="002129B7" w:rsidRPr="0051294D" w:rsidRDefault="002129B7" w:rsidP="00C658B7">
            <w:pPr>
              <w:rPr>
                <w:sz w:val="16"/>
                <w:szCs w:val="16"/>
              </w:rPr>
            </w:pPr>
          </w:p>
          <w:p w14:paraId="3A2920F5" w14:textId="249C564E" w:rsidR="00226E3B" w:rsidRDefault="002129B7" w:rsidP="00C658B7">
            <w:pPr>
              <w:rPr>
                <w:sz w:val="16"/>
                <w:szCs w:val="16"/>
              </w:rPr>
            </w:pPr>
            <w:r w:rsidRPr="0051294D">
              <w:rPr>
                <w:sz w:val="16"/>
                <w:szCs w:val="16"/>
              </w:rPr>
              <w:t>3.6</w:t>
            </w:r>
            <w:r w:rsidR="00226E3B">
              <w:rPr>
                <w:sz w:val="16"/>
                <w:szCs w:val="16"/>
              </w:rPr>
              <w:t>.</w:t>
            </w:r>
            <w:r w:rsidRPr="0051294D">
              <w:rPr>
                <w:sz w:val="16"/>
                <w:szCs w:val="16"/>
              </w:rPr>
              <w:t xml:space="preserve"> SCIESM</w:t>
            </w:r>
          </w:p>
          <w:p w14:paraId="57BC444C" w14:textId="1CA7A5DC" w:rsidR="002129B7" w:rsidRPr="0051294D" w:rsidRDefault="002129B7" w:rsidP="00C658B7">
            <w:pPr>
              <w:rPr>
                <w:sz w:val="16"/>
                <w:szCs w:val="16"/>
              </w:rPr>
            </w:pPr>
            <w:r w:rsidRPr="0051294D">
              <w:rPr>
                <w:sz w:val="16"/>
                <w:szCs w:val="16"/>
              </w:rPr>
              <w:t>Annually</w:t>
            </w:r>
          </w:p>
          <w:p w14:paraId="6C9500CE" w14:textId="77777777" w:rsidR="002129B7" w:rsidRPr="0051294D" w:rsidRDefault="002129B7" w:rsidP="00C658B7">
            <w:pPr>
              <w:rPr>
                <w:b/>
                <w:bCs/>
                <w:color w:val="000000"/>
                <w:sz w:val="16"/>
                <w:szCs w:val="16"/>
                <w:lang w:val="en-GB"/>
              </w:rPr>
            </w:pPr>
          </w:p>
        </w:tc>
        <w:tc>
          <w:tcPr>
            <w:tcW w:w="1474" w:type="pct"/>
            <w:gridSpan w:val="2"/>
            <w:tcMar>
              <w:top w:w="72" w:type="dxa"/>
              <w:left w:w="144" w:type="dxa"/>
              <w:bottom w:w="72" w:type="dxa"/>
              <w:right w:w="144" w:type="dxa"/>
            </w:tcMar>
          </w:tcPr>
          <w:p w14:paraId="2B4CDFF0" w14:textId="171E5C67" w:rsidR="002129B7" w:rsidRPr="0051294D" w:rsidRDefault="002129B7" w:rsidP="00C658B7">
            <w:pPr>
              <w:rPr>
                <w:b/>
                <w:sz w:val="16"/>
                <w:szCs w:val="16"/>
              </w:rPr>
            </w:pPr>
            <w:r w:rsidRPr="0051294D">
              <w:rPr>
                <w:b/>
                <w:sz w:val="16"/>
                <w:szCs w:val="16"/>
              </w:rPr>
              <w:lastRenderedPageBreak/>
              <w:t>Output 3.1</w:t>
            </w:r>
            <w:r w:rsidR="00226E3B">
              <w:rPr>
                <w:b/>
                <w:sz w:val="16"/>
                <w:szCs w:val="16"/>
              </w:rPr>
              <w:t>.</w:t>
            </w:r>
            <w:r w:rsidRPr="0051294D">
              <w:rPr>
                <w:b/>
                <w:sz w:val="16"/>
                <w:szCs w:val="16"/>
              </w:rPr>
              <w:t xml:space="preserve"> Policy, legal and institutional systems enhanced to apply innovative climate change mitigation and adaptation practices across the country. (13)</w:t>
            </w:r>
          </w:p>
          <w:p w14:paraId="3F37D2D4" w14:textId="5980F46B" w:rsidR="002129B7" w:rsidRPr="0051294D" w:rsidRDefault="002129B7" w:rsidP="00C658B7">
            <w:pPr>
              <w:rPr>
                <w:sz w:val="16"/>
                <w:szCs w:val="16"/>
              </w:rPr>
            </w:pPr>
            <w:r w:rsidRPr="0051294D">
              <w:rPr>
                <w:b/>
                <w:iCs/>
                <w:color w:val="000000"/>
                <w:sz w:val="16"/>
                <w:szCs w:val="16"/>
                <w:lang w:val="en-GB"/>
              </w:rPr>
              <w:t>Indicator 3.1.1</w:t>
            </w:r>
            <w:r w:rsidR="00226E3B">
              <w:rPr>
                <w:b/>
                <w:iCs/>
                <w:color w:val="000000"/>
                <w:sz w:val="16"/>
                <w:szCs w:val="16"/>
                <w:lang w:val="en-GB"/>
              </w:rPr>
              <w:t>.</w:t>
            </w:r>
            <w:r w:rsidRPr="0051294D">
              <w:rPr>
                <w:iCs/>
                <w:color w:val="000000"/>
                <w:sz w:val="16"/>
                <w:szCs w:val="16"/>
                <w:lang w:val="en-GB"/>
              </w:rPr>
              <w:t xml:space="preserve"> Number</w:t>
            </w:r>
            <w:r w:rsidRPr="0051294D">
              <w:rPr>
                <w:sz w:val="16"/>
                <w:szCs w:val="16"/>
              </w:rPr>
              <w:t xml:space="preserve"> of </w:t>
            </w:r>
            <w:r w:rsidR="00226E3B">
              <w:rPr>
                <w:sz w:val="16"/>
                <w:szCs w:val="16"/>
              </w:rPr>
              <w:t>n</w:t>
            </w:r>
            <w:r w:rsidRPr="0051294D">
              <w:rPr>
                <w:sz w:val="16"/>
                <w:szCs w:val="16"/>
              </w:rPr>
              <w:t xml:space="preserve">ational </w:t>
            </w:r>
            <w:r w:rsidR="00226E3B">
              <w:rPr>
                <w:sz w:val="16"/>
                <w:szCs w:val="16"/>
              </w:rPr>
              <w:t>a</w:t>
            </w:r>
            <w:r w:rsidRPr="0051294D">
              <w:rPr>
                <w:sz w:val="16"/>
                <w:szCs w:val="16"/>
              </w:rPr>
              <w:t xml:space="preserve">daptation and </w:t>
            </w:r>
            <w:r w:rsidR="00226E3B">
              <w:rPr>
                <w:sz w:val="16"/>
                <w:szCs w:val="16"/>
              </w:rPr>
              <w:t>l</w:t>
            </w:r>
            <w:r w:rsidRPr="0051294D">
              <w:rPr>
                <w:sz w:val="16"/>
                <w:szCs w:val="16"/>
              </w:rPr>
              <w:t>ow-</w:t>
            </w:r>
            <w:r w:rsidR="00226E3B">
              <w:rPr>
                <w:sz w:val="16"/>
                <w:szCs w:val="16"/>
              </w:rPr>
              <w:t>c</w:t>
            </w:r>
            <w:r w:rsidRPr="0051294D">
              <w:rPr>
                <w:sz w:val="16"/>
                <w:szCs w:val="16"/>
              </w:rPr>
              <w:t xml:space="preserve">arbon </w:t>
            </w:r>
            <w:r w:rsidR="00226E3B">
              <w:rPr>
                <w:sz w:val="16"/>
                <w:szCs w:val="16"/>
              </w:rPr>
              <w:t>d</w:t>
            </w:r>
            <w:r w:rsidRPr="0051294D">
              <w:rPr>
                <w:sz w:val="16"/>
                <w:szCs w:val="16"/>
              </w:rPr>
              <w:t>evelopment policies and regulatory documents developed and approved to promote climate resilience and low</w:t>
            </w:r>
            <w:r w:rsidR="00226E3B">
              <w:rPr>
                <w:sz w:val="16"/>
                <w:szCs w:val="16"/>
              </w:rPr>
              <w:t>-</w:t>
            </w:r>
            <w:r w:rsidRPr="0051294D">
              <w:rPr>
                <w:sz w:val="16"/>
                <w:szCs w:val="16"/>
              </w:rPr>
              <w:t>carbon</w:t>
            </w:r>
            <w:r w:rsidR="00226E3B">
              <w:rPr>
                <w:sz w:val="16"/>
                <w:szCs w:val="16"/>
              </w:rPr>
              <w:t>/</w:t>
            </w:r>
            <w:r w:rsidRPr="0051294D">
              <w:rPr>
                <w:sz w:val="16"/>
                <w:szCs w:val="16"/>
              </w:rPr>
              <w:t xml:space="preserve">green economy development. </w:t>
            </w:r>
          </w:p>
          <w:p w14:paraId="5B9FE448" w14:textId="77777777" w:rsidR="002129B7" w:rsidRPr="0051294D" w:rsidRDefault="002129B7" w:rsidP="00C658B7">
            <w:pPr>
              <w:pStyle w:val="ListParagraph"/>
              <w:ind w:left="0"/>
              <w:rPr>
                <w:sz w:val="16"/>
                <w:szCs w:val="16"/>
              </w:rPr>
            </w:pPr>
            <w:r w:rsidRPr="0051294D">
              <w:rPr>
                <w:b/>
                <w:sz w:val="16"/>
                <w:szCs w:val="16"/>
              </w:rPr>
              <w:t xml:space="preserve">Baseline: </w:t>
            </w:r>
            <w:r w:rsidRPr="0051294D">
              <w:rPr>
                <w:sz w:val="16"/>
                <w:szCs w:val="16"/>
              </w:rPr>
              <w:t>0</w:t>
            </w:r>
          </w:p>
          <w:p w14:paraId="786FA189" w14:textId="77777777" w:rsidR="00226E3B" w:rsidRDefault="002129B7" w:rsidP="00C658B7">
            <w:pPr>
              <w:pStyle w:val="ListParagraph"/>
              <w:ind w:left="0"/>
              <w:rPr>
                <w:sz w:val="16"/>
                <w:szCs w:val="16"/>
              </w:rPr>
            </w:pPr>
            <w:r w:rsidRPr="0051294D">
              <w:rPr>
                <w:b/>
                <w:sz w:val="16"/>
                <w:szCs w:val="16"/>
              </w:rPr>
              <w:t xml:space="preserve">Target: </w:t>
            </w:r>
            <w:r w:rsidRPr="0051294D">
              <w:rPr>
                <w:sz w:val="16"/>
                <w:szCs w:val="16"/>
              </w:rPr>
              <w:t xml:space="preserve">2 </w:t>
            </w:r>
          </w:p>
          <w:p w14:paraId="2005931F" w14:textId="5271F277" w:rsidR="002129B7" w:rsidRPr="0051294D" w:rsidRDefault="002129B7" w:rsidP="00C658B7">
            <w:pPr>
              <w:pStyle w:val="ListParagraph"/>
              <w:ind w:left="0"/>
              <w:rPr>
                <w:sz w:val="16"/>
                <w:szCs w:val="16"/>
              </w:rPr>
            </w:pPr>
            <w:r w:rsidRPr="0051294D">
              <w:rPr>
                <w:b/>
                <w:sz w:val="16"/>
                <w:szCs w:val="16"/>
              </w:rPr>
              <w:t>Data source</w:t>
            </w:r>
            <w:r w:rsidRPr="0051294D">
              <w:rPr>
                <w:sz w:val="16"/>
                <w:szCs w:val="16"/>
              </w:rPr>
              <w:t>: Government</w:t>
            </w:r>
          </w:p>
          <w:p w14:paraId="10E9D47F" w14:textId="432D83DD" w:rsidR="002129B7" w:rsidRPr="0051294D" w:rsidRDefault="002129B7" w:rsidP="00C658B7">
            <w:pPr>
              <w:rPr>
                <w:sz w:val="16"/>
                <w:szCs w:val="16"/>
              </w:rPr>
            </w:pPr>
            <w:r w:rsidRPr="0051294D">
              <w:rPr>
                <w:b/>
                <w:iCs/>
                <w:color w:val="000000"/>
                <w:sz w:val="16"/>
                <w:szCs w:val="16"/>
                <w:lang w:val="en-GB"/>
              </w:rPr>
              <w:lastRenderedPageBreak/>
              <w:t>Indicator 3.1.2</w:t>
            </w:r>
            <w:r w:rsidR="00226E3B">
              <w:rPr>
                <w:b/>
                <w:iCs/>
                <w:color w:val="000000"/>
                <w:sz w:val="16"/>
                <w:szCs w:val="16"/>
                <w:lang w:val="en-GB"/>
              </w:rPr>
              <w:t>.</w:t>
            </w:r>
            <w:r w:rsidRPr="0051294D">
              <w:rPr>
                <w:iCs/>
                <w:color w:val="000000"/>
                <w:sz w:val="16"/>
                <w:szCs w:val="16"/>
                <w:lang w:val="en-GB"/>
              </w:rPr>
              <w:t xml:space="preserve"> Number of</w:t>
            </w:r>
            <w:r w:rsidRPr="0051294D">
              <w:rPr>
                <w:sz w:val="16"/>
                <w:szCs w:val="16"/>
              </w:rPr>
              <w:t xml:space="preserve"> climate change adaptation practices designed and applied in specific sectors. </w:t>
            </w:r>
          </w:p>
          <w:p w14:paraId="4EA3D985" w14:textId="44288AB4" w:rsidR="00AA10F2" w:rsidRDefault="002129B7" w:rsidP="00C658B7">
            <w:pPr>
              <w:pStyle w:val="ListParagraph"/>
              <w:ind w:left="0"/>
              <w:rPr>
                <w:sz w:val="16"/>
                <w:szCs w:val="16"/>
              </w:rPr>
            </w:pPr>
            <w:r w:rsidRPr="0051294D">
              <w:rPr>
                <w:b/>
                <w:sz w:val="16"/>
                <w:szCs w:val="16"/>
              </w:rPr>
              <w:t>Baseline</w:t>
            </w:r>
            <w:r w:rsidR="00AA10F2">
              <w:rPr>
                <w:b/>
                <w:sz w:val="16"/>
                <w:szCs w:val="16"/>
              </w:rPr>
              <w:t>:</w:t>
            </w:r>
            <w:r w:rsidRPr="0051294D">
              <w:rPr>
                <w:sz w:val="16"/>
                <w:szCs w:val="16"/>
              </w:rPr>
              <w:t xml:space="preserve"> 0; </w:t>
            </w:r>
            <w:r w:rsidRPr="0051294D">
              <w:rPr>
                <w:b/>
                <w:sz w:val="16"/>
                <w:szCs w:val="16"/>
              </w:rPr>
              <w:t xml:space="preserve">Target: </w:t>
            </w:r>
            <w:r w:rsidRPr="0051294D">
              <w:rPr>
                <w:sz w:val="16"/>
                <w:szCs w:val="16"/>
              </w:rPr>
              <w:t xml:space="preserve">3. </w:t>
            </w:r>
          </w:p>
          <w:p w14:paraId="7589C381" w14:textId="57D2D78B" w:rsidR="002129B7" w:rsidRPr="0051294D" w:rsidRDefault="002129B7" w:rsidP="00C658B7">
            <w:pPr>
              <w:pStyle w:val="ListParagraph"/>
              <w:ind w:left="0"/>
              <w:rPr>
                <w:rFonts w:eastAsia="Calibri"/>
                <w:sz w:val="16"/>
                <w:szCs w:val="16"/>
              </w:rPr>
            </w:pPr>
            <w:r w:rsidRPr="0051294D">
              <w:rPr>
                <w:b/>
                <w:sz w:val="16"/>
                <w:szCs w:val="16"/>
              </w:rPr>
              <w:t>Data source</w:t>
            </w:r>
            <w:r w:rsidRPr="0051294D">
              <w:rPr>
                <w:sz w:val="16"/>
                <w:szCs w:val="16"/>
              </w:rPr>
              <w:t xml:space="preserve">: </w:t>
            </w:r>
            <w:r w:rsidRPr="0051294D">
              <w:rPr>
                <w:iCs/>
                <w:color w:val="000000"/>
                <w:sz w:val="16"/>
                <w:szCs w:val="16"/>
                <w:lang w:val="en-GB"/>
              </w:rPr>
              <w:t xml:space="preserve">SAEPF </w:t>
            </w:r>
          </w:p>
          <w:p w14:paraId="411E34FB" w14:textId="77777777" w:rsidR="002129B7" w:rsidRPr="0051294D" w:rsidRDefault="002129B7" w:rsidP="00C658B7">
            <w:pPr>
              <w:rPr>
                <w:b/>
                <w:iCs/>
                <w:color w:val="000000"/>
                <w:sz w:val="16"/>
                <w:szCs w:val="16"/>
                <w:lang w:val="en-GB"/>
              </w:rPr>
            </w:pPr>
          </w:p>
          <w:p w14:paraId="3EE36A9C" w14:textId="67AEAFC6" w:rsidR="002129B7" w:rsidRPr="0051294D" w:rsidRDefault="002129B7" w:rsidP="00C658B7">
            <w:pPr>
              <w:rPr>
                <w:b/>
                <w:iCs/>
                <w:color w:val="000000"/>
                <w:sz w:val="16"/>
                <w:szCs w:val="16"/>
                <w:lang w:val="en-GB"/>
              </w:rPr>
            </w:pPr>
            <w:r w:rsidRPr="0051294D">
              <w:rPr>
                <w:b/>
                <w:iCs/>
                <w:color w:val="000000"/>
                <w:sz w:val="16"/>
                <w:szCs w:val="16"/>
                <w:lang w:val="en-GB"/>
              </w:rPr>
              <w:t>Output 3.2</w:t>
            </w:r>
            <w:r w:rsidR="00AA10F2">
              <w:rPr>
                <w:b/>
                <w:iCs/>
                <w:color w:val="000000"/>
                <w:sz w:val="16"/>
                <w:szCs w:val="16"/>
                <w:lang w:val="en-GB"/>
              </w:rPr>
              <w:t>.</w:t>
            </w:r>
            <w:r w:rsidRPr="0051294D">
              <w:rPr>
                <w:b/>
                <w:sz w:val="16"/>
                <w:szCs w:val="16"/>
              </w:rPr>
              <w:t xml:space="preserve"> National and subnational governments have improved capacities to adopt and implement gender-responsive disaster risk reduction strategies. (11, 13)</w:t>
            </w:r>
          </w:p>
          <w:p w14:paraId="357DABF4" w14:textId="5A2A6D19" w:rsidR="002129B7" w:rsidRPr="0051294D" w:rsidRDefault="002129B7" w:rsidP="00C658B7">
            <w:pPr>
              <w:rPr>
                <w:sz w:val="16"/>
                <w:szCs w:val="16"/>
              </w:rPr>
            </w:pPr>
            <w:r w:rsidRPr="0051294D">
              <w:rPr>
                <w:b/>
                <w:iCs/>
                <w:color w:val="000000"/>
                <w:sz w:val="16"/>
                <w:szCs w:val="16"/>
                <w:lang w:val="en-GB"/>
              </w:rPr>
              <w:t>Indicator 3.2.1</w:t>
            </w:r>
            <w:r w:rsidR="00AA10F2">
              <w:rPr>
                <w:b/>
                <w:iCs/>
                <w:color w:val="000000"/>
                <w:sz w:val="16"/>
                <w:szCs w:val="16"/>
                <w:lang w:val="en-GB"/>
              </w:rPr>
              <w:t>.</w:t>
            </w:r>
            <w:r w:rsidRPr="0051294D">
              <w:rPr>
                <w:sz w:val="16"/>
                <w:szCs w:val="16"/>
              </w:rPr>
              <w:t xml:space="preserve"> Number of new disaster risk reduction plans,</w:t>
            </w:r>
            <w:r w:rsidRPr="0051294D">
              <w:rPr>
                <w:rStyle w:val="formatdata"/>
                <w:color w:val="0000FF"/>
                <w:sz w:val="16"/>
                <w:szCs w:val="16"/>
              </w:rPr>
              <w:t xml:space="preserve"> </w:t>
            </w:r>
            <w:r w:rsidRPr="0051294D">
              <w:rPr>
                <w:sz w:val="16"/>
                <w:szCs w:val="16"/>
              </w:rPr>
              <w:t>including number of gender-responsive plans</w:t>
            </w:r>
          </w:p>
          <w:p w14:paraId="313A7BD8" w14:textId="77777777" w:rsidR="002129B7" w:rsidRPr="0051294D" w:rsidRDefault="002129B7" w:rsidP="00C658B7">
            <w:pPr>
              <w:rPr>
                <w:sz w:val="16"/>
                <w:szCs w:val="16"/>
              </w:rPr>
            </w:pPr>
            <w:r w:rsidRPr="0051294D">
              <w:rPr>
                <w:b/>
                <w:sz w:val="16"/>
                <w:szCs w:val="16"/>
              </w:rPr>
              <w:t xml:space="preserve">Baseline </w:t>
            </w:r>
            <w:r w:rsidRPr="0051294D">
              <w:rPr>
                <w:sz w:val="16"/>
                <w:szCs w:val="16"/>
              </w:rPr>
              <w:t xml:space="preserve">(2016): 1, 0 gender-responsive </w:t>
            </w:r>
          </w:p>
          <w:p w14:paraId="25DE3F2D" w14:textId="339A2DF9" w:rsidR="00AA10F2" w:rsidRDefault="002129B7" w:rsidP="00C658B7">
            <w:pPr>
              <w:rPr>
                <w:sz w:val="16"/>
                <w:szCs w:val="16"/>
              </w:rPr>
            </w:pPr>
            <w:r w:rsidRPr="0051294D">
              <w:rPr>
                <w:b/>
                <w:sz w:val="16"/>
                <w:szCs w:val="16"/>
              </w:rPr>
              <w:t>Target:</w:t>
            </w:r>
            <w:r w:rsidRPr="0051294D">
              <w:rPr>
                <w:sz w:val="16"/>
                <w:szCs w:val="16"/>
              </w:rPr>
              <w:t>10, all gender</w:t>
            </w:r>
            <w:r w:rsidR="00AA10F2">
              <w:rPr>
                <w:sz w:val="16"/>
                <w:szCs w:val="16"/>
              </w:rPr>
              <w:t>-</w:t>
            </w:r>
            <w:r w:rsidRPr="0051294D">
              <w:rPr>
                <w:sz w:val="16"/>
                <w:szCs w:val="16"/>
              </w:rPr>
              <w:t>responsive</w:t>
            </w:r>
          </w:p>
          <w:p w14:paraId="2BADDCE5" w14:textId="3CE28AA4" w:rsidR="002129B7" w:rsidRPr="0051294D" w:rsidRDefault="002129B7" w:rsidP="00C658B7">
            <w:pPr>
              <w:rPr>
                <w:b/>
                <w:sz w:val="16"/>
                <w:szCs w:val="16"/>
              </w:rPr>
            </w:pPr>
            <w:r w:rsidRPr="0051294D">
              <w:rPr>
                <w:b/>
                <w:sz w:val="16"/>
                <w:szCs w:val="16"/>
                <w:lang w:eastAsia="uz-Cyrl-UZ"/>
              </w:rPr>
              <w:t>Data source</w:t>
            </w:r>
            <w:r w:rsidRPr="0051294D">
              <w:rPr>
                <w:sz w:val="16"/>
                <w:szCs w:val="16"/>
                <w:lang w:eastAsia="uz-Cyrl-UZ"/>
              </w:rPr>
              <w:t>: MES</w:t>
            </w:r>
          </w:p>
          <w:p w14:paraId="48000559" w14:textId="59ED7F9B" w:rsidR="002129B7" w:rsidRPr="0051294D" w:rsidRDefault="002129B7" w:rsidP="00C658B7">
            <w:pPr>
              <w:rPr>
                <w:sz w:val="16"/>
                <w:szCs w:val="16"/>
              </w:rPr>
            </w:pPr>
            <w:r w:rsidRPr="0051294D">
              <w:rPr>
                <w:b/>
                <w:iCs/>
                <w:color w:val="000000"/>
                <w:sz w:val="16"/>
                <w:szCs w:val="16"/>
                <w:lang w:val="en-GB"/>
              </w:rPr>
              <w:t>Indicator 3.2.2</w:t>
            </w:r>
            <w:r w:rsidR="00AA10F2">
              <w:rPr>
                <w:b/>
                <w:iCs/>
                <w:color w:val="000000"/>
                <w:sz w:val="16"/>
                <w:szCs w:val="16"/>
                <w:lang w:val="en-GB"/>
              </w:rPr>
              <w:t>.</w:t>
            </w:r>
            <w:r w:rsidRPr="0051294D">
              <w:rPr>
                <w:iCs/>
                <w:color w:val="000000"/>
                <w:sz w:val="16"/>
                <w:szCs w:val="16"/>
                <w:lang w:val="en-GB"/>
              </w:rPr>
              <w:t xml:space="preserve"> Number </w:t>
            </w:r>
            <w:r w:rsidRPr="0051294D">
              <w:rPr>
                <w:sz w:val="16"/>
                <w:szCs w:val="16"/>
              </w:rPr>
              <w:t xml:space="preserve">of communities benefiting from gender-responsive disaster risk reduction plans </w:t>
            </w:r>
          </w:p>
          <w:p w14:paraId="74750783" w14:textId="074548D6" w:rsidR="00AA10F2" w:rsidRDefault="002129B7" w:rsidP="00C658B7">
            <w:pPr>
              <w:pStyle w:val="ListParagraph"/>
              <w:ind w:left="0"/>
              <w:rPr>
                <w:sz w:val="16"/>
                <w:szCs w:val="16"/>
              </w:rPr>
            </w:pPr>
            <w:r w:rsidRPr="0051294D">
              <w:rPr>
                <w:b/>
                <w:sz w:val="16"/>
                <w:szCs w:val="16"/>
              </w:rPr>
              <w:t xml:space="preserve">Baseline: </w:t>
            </w:r>
            <w:r w:rsidRPr="0051294D">
              <w:rPr>
                <w:sz w:val="16"/>
                <w:szCs w:val="16"/>
              </w:rPr>
              <w:t xml:space="preserve">5; </w:t>
            </w:r>
            <w:r w:rsidRPr="0051294D">
              <w:rPr>
                <w:b/>
                <w:sz w:val="16"/>
                <w:szCs w:val="16"/>
              </w:rPr>
              <w:t xml:space="preserve">Target: </w:t>
            </w:r>
            <w:r w:rsidRPr="0051294D">
              <w:rPr>
                <w:sz w:val="16"/>
                <w:szCs w:val="16"/>
              </w:rPr>
              <w:t>20</w:t>
            </w:r>
          </w:p>
          <w:p w14:paraId="43D9FE19" w14:textId="03F2DA8C" w:rsidR="002129B7" w:rsidRPr="0051294D" w:rsidRDefault="002129B7" w:rsidP="00C658B7">
            <w:pPr>
              <w:pStyle w:val="ListParagraph"/>
              <w:ind w:left="0"/>
              <w:rPr>
                <w:sz w:val="16"/>
                <w:szCs w:val="16"/>
              </w:rPr>
            </w:pPr>
            <w:r w:rsidRPr="0051294D">
              <w:rPr>
                <w:b/>
                <w:sz w:val="16"/>
                <w:szCs w:val="16"/>
              </w:rPr>
              <w:t>Data source</w:t>
            </w:r>
            <w:r w:rsidRPr="0051294D">
              <w:rPr>
                <w:sz w:val="16"/>
                <w:szCs w:val="16"/>
              </w:rPr>
              <w:t xml:space="preserve">: MES </w:t>
            </w:r>
          </w:p>
          <w:p w14:paraId="1CF5EBF6" w14:textId="77777777" w:rsidR="002129B7" w:rsidRPr="0051294D" w:rsidRDefault="002129B7" w:rsidP="00C658B7">
            <w:pPr>
              <w:pStyle w:val="ListParagraph"/>
              <w:ind w:left="0"/>
              <w:rPr>
                <w:sz w:val="16"/>
                <w:szCs w:val="16"/>
              </w:rPr>
            </w:pPr>
          </w:p>
          <w:p w14:paraId="2169FEE8" w14:textId="0807DFF6" w:rsidR="002129B7" w:rsidRPr="0051294D" w:rsidRDefault="002129B7" w:rsidP="00C658B7">
            <w:pPr>
              <w:rPr>
                <w:b/>
                <w:iCs/>
                <w:color w:val="000000"/>
                <w:sz w:val="16"/>
                <w:szCs w:val="16"/>
              </w:rPr>
            </w:pPr>
            <w:r w:rsidRPr="00AC6896">
              <w:rPr>
                <w:b/>
                <w:iCs/>
                <w:color w:val="000000"/>
                <w:sz w:val="16"/>
                <w:szCs w:val="16"/>
                <w:lang w:val="en-GB"/>
              </w:rPr>
              <w:t>Output 3.3</w:t>
            </w:r>
            <w:r w:rsidR="00AA10F2">
              <w:rPr>
                <w:b/>
                <w:iCs/>
                <w:color w:val="000000"/>
                <w:sz w:val="16"/>
                <w:szCs w:val="16"/>
                <w:lang w:val="en-GB"/>
              </w:rPr>
              <w:t>.</w:t>
            </w:r>
            <w:r w:rsidRPr="0051294D">
              <w:rPr>
                <w:b/>
                <w:iCs/>
                <w:color w:val="000000"/>
                <w:sz w:val="16"/>
                <w:szCs w:val="16"/>
                <w:lang w:val="en-GB"/>
              </w:rPr>
              <w:t xml:space="preserve"> Innovative and smart </w:t>
            </w:r>
            <w:r w:rsidRPr="0051294D">
              <w:rPr>
                <w:b/>
                <w:iCs/>
                <w:color w:val="000000"/>
                <w:sz w:val="16"/>
                <w:szCs w:val="16"/>
              </w:rPr>
              <w:t>solutions developed at national and sub-national levels for sustainable management of natural resources, ecosystem services, chemicals and waste</w:t>
            </w:r>
            <w:r w:rsidR="00AA10F2">
              <w:rPr>
                <w:b/>
                <w:iCs/>
                <w:color w:val="000000"/>
                <w:sz w:val="16"/>
                <w:szCs w:val="16"/>
              </w:rPr>
              <w:t>,</w:t>
            </w:r>
            <w:r w:rsidRPr="0051294D">
              <w:rPr>
                <w:b/>
                <w:sz w:val="16"/>
                <w:szCs w:val="16"/>
              </w:rPr>
              <w:t xml:space="preserve"> for better livelihoods and employment</w:t>
            </w:r>
            <w:r w:rsidR="00AA10F2">
              <w:rPr>
                <w:b/>
                <w:sz w:val="16"/>
                <w:szCs w:val="16"/>
              </w:rPr>
              <w:t>,</w:t>
            </w:r>
            <w:r w:rsidRPr="0051294D">
              <w:rPr>
                <w:rFonts w:cs="Arial"/>
                <w:b/>
                <w:sz w:val="16"/>
                <w:szCs w:val="16"/>
              </w:rPr>
              <w:t xml:space="preserve"> with the focus on women and youth</w:t>
            </w:r>
            <w:r w:rsidRPr="0051294D">
              <w:rPr>
                <w:b/>
                <w:iCs/>
                <w:color w:val="000000"/>
                <w:sz w:val="16"/>
                <w:szCs w:val="16"/>
              </w:rPr>
              <w:t>. (15)</w:t>
            </w:r>
          </w:p>
          <w:p w14:paraId="7A64C925" w14:textId="0D0D29CF" w:rsidR="002129B7" w:rsidRPr="0051294D" w:rsidRDefault="002129B7" w:rsidP="00C658B7">
            <w:pPr>
              <w:rPr>
                <w:sz w:val="16"/>
                <w:szCs w:val="16"/>
              </w:rPr>
            </w:pPr>
            <w:r w:rsidRPr="0051294D">
              <w:rPr>
                <w:b/>
                <w:iCs/>
                <w:color w:val="000000"/>
                <w:sz w:val="16"/>
                <w:szCs w:val="16"/>
                <w:lang w:val="en-GB"/>
              </w:rPr>
              <w:t>Indicator 3.3.1</w:t>
            </w:r>
            <w:r w:rsidR="00AA10F2">
              <w:rPr>
                <w:b/>
                <w:iCs/>
                <w:color w:val="000000"/>
                <w:sz w:val="16"/>
                <w:szCs w:val="16"/>
                <w:lang w:val="en-GB"/>
              </w:rPr>
              <w:t>.</w:t>
            </w:r>
            <w:r w:rsidRPr="0051294D">
              <w:rPr>
                <w:iCs/>
                <w:color w:val="000000"/>
                <w:sz w:val="16"/>
                <w:szCs w:val="16"/>
                <w:lang w:val="en-GB"/>
              </w:rPr>
              <w:t xml:space="preserve"> </w:t>
            </w:r>
            <w:r w:rsidRPr="0051294D">
              <w:rPr>
                <w:sz w:val="16"/>
                <w:szCs w:val="16"/>
              </w:rPr>
              <w:t xml:space="preserve">Number of tons of </w:t>
            </w:r>
            <w:r w:rsidR="00AA10F2">
              <w:rPr>
                <w:sz w:val="16"/>
                <w:szCs w:val="16"/>
              </w:rPr>
              <w:t>i</w:t>
            </w:r>
            <w:r w:rsidRPr="0051294D">
              <w:rPr>
                <w:sz w:val="16"/>
                <w:szCs w:val="16"/>
              </w:rPr>
              <w:t xml:space="preserve">dentified </w:t>
            </w:r>
            <w:r w:rsidR="00185A04">
              <w:rPr>
                <w:sz w:val="16"/>
                <w:szCs w:val="16"/>
              </w:rPr>
              <w:t>persistent organic pollutant</w:t>
            </w:r>
            <w:r w:rsidR="00185A04" w:rsidRPr="0051294D">
              <w:rPr>
                <w:sz w:val="16"/>
                <w:szCs w:val="16"/>
              </w:rPr>
              <w:t xml:space="preserve">s </w:t>
            </w:r>
            <w:r w:rsidRPr="0051294D">
              <w:rPr>
                <w:sz w:val="16"/>
                <w:szCs w:val="16"/>
              </w:rPr>
              <w:t>decreased in an environmentally sound manner.</w:t>
            </w:r>
          </w:p>
          <w:p w14:paraId="0785797F" w14:textId="156200E4" w:rsidR="002129B7" w:rsidRPr="00493806" w:rsidRDefault="002129B7" w:rsidP="00C658B7">
            <w:pPr>
              <w:pStyle w:val="ListParagraph"/>
              <w:ind w:left="0"/>
              <w:rPr>
                <w:sz w:val="16"/>
                <w:szCs w:val="16"/>
                <w:lang w:val="fr-FR"/>
              </w:rPr>
            </w:pPr>
            <w:r w:rsidRPr="00493806">
              <w:rPr>
                <w:b/>
                <w:sz w:val="16"/>
                <w:szCs w:val="16"/>
                <w:lang w:val="fr-FR"/>
              </w:rPr>
              <w:t>Baseline:</w:t>
            </w:r>
            <w:r w:rsidRPr="00493806">
              <w:rPr>
                <w:sz w:val="16"/>
                <w:szCs w:val="16"/>
                <w:lang w:val="fr-FR"/>
              </w:rPr>
              <w:t xml:space="preserve"> 30</w:t>
            </w:r>
            <w:r w:rsidR="00B95B74" w:rsidRPr="00493806">
              <w:rPr>
                <w:sz w:val="16"/>
                <w:szCs w:val="16"/>
                <w:lang w:val="fr-FR"/>
              </w:rPr>
              <w:t xml:space="preserve"> tonnes</w:t>
            </w:r>
          </w:p>
          <w:p w14:paraId="246DAA1E" w14:textId="6E9AF193" w:rsidR="00185A04" w:rsidRPr="00493806" w:rsidRDefault="002129B7" w:rsidP="00C658B7">
            <w:pPr>
              <w:pStyle w:val="ListParagraph"/>
              <w:ind w:left="0"/>
              <w:rPr>
                <w:sz w:val="16"/>
                <w:szCs w:val="16"/>
                <w:lang w:val="fr-FR"/>
              </w:rPr>
            </w:pPr>
            <w:r w:rsidRPr="00493806">
              <w:rPr>
                <w:b/>
                <w:sz w:val="16"/>
                <w:szCs w:val="16"/>
                <w:lang w:val="fr-FR"/>
              </w:rPr>
              <w:t xml:space="preserve">Target: </w:t>
            </w:r>
            <w:r w:rsidRPr="00493806">
              <w:rPr>
                <w:sz w:val="16"/>
                <w:szCs w:val="16"/>
                <w:lang w:val="fr-FR"/>
              </w:rPr>
              <w:t>50</w:t>
            </w:r>
            <w:r w:rsidR="006E0E81" w:rsidRPr="00493806">
              <w:rPr>
                <w:sz w:val="16"/>
                <w:szCs w:val="16"/>
                <w:lang w:val="fr-FR"/>
              </w:rPr>
              <w:t xml:space="preserve"> </w:t>
            </w:r>
            <w:r w:rsidRPr="00493806">
              <w:rPr>
                <w:sz w:val="16"/>
                <w:szCs w:val="16"/>
                <w:lang w:val="fr-FR"/>
              </w:rPr>
              <w:t>t</w:t>
            </w:r>
            <w:r w:rsidR="006E0E81" w:rsidRPr="00493806">
              <w:rPr>
                <w:sz w:val="16"/>
                <w:szCs w:val="16"/>
                <w:lang w:val="fr-FR"/>
              </w:rPr>
              <w:t>onnes</w:t>
            </w:r>
            <w:r w:rsidRPr="00493806">
              <w:rPr>
                <w:sz w:val="16"/>
                <w:szCs w:val="16"/>
                <w:lang w:val="fr-FR"/>
              </w:rPr>
              <w:t xml:space="preserve"> </w:t>
            </w:r>
          </w:p>
          <w:p w14:paraId="2692A3BA" w14:textId="07D228A3" w:rsidR="002129B7" w:rsidRPr="00493806" w:rsidRDefault="002129B7" w:rsidP="00C658B7">
            <w:pPr>
              <w:pStyle w:val="ListParagraph"/>
              <w:ind w:left="0"/>
              <w:rPr>
                <w:b/>
                <w:iCs/>
                <w:color w:val="000000"/>
                <w:sz w:val="16"/>
                <w:szCs w:val="16"/>
                <w:u w:val="single"/>
                <w:lang w:val="fr-FR"/>
              </w:rPr>
            </w:pPr>
            <w:r w:rsidRPr="00493806">
              <w:rPr>
                <w:b/>
                <w:sz w:val="16"/>
                <w:szCs w:val="16"/>
                <w:lang w:val="fr-FR"/>
              </w:rPr>
              <w:t>Data source</w:t>
            </w:r>
            <w:r w:rsidRPr="00493806">
              <w:rPr>
                <w:sz w:val="16"/>
                <w:szCs w:val="16"/>
                <w:lang w:val="fr-FR"/>
              </w:rPr>
              <w:t>: NSC</w:t>
            </w:r>
          </w:p>
          <w:p w14:paraId="629FDEF3" w14:textId="5B7CDF42" w:rsidR="002129B7" w:rsidRPr="0051294D" w:rsidRDefault="002129B7" w:rsidP="00C658B7">
            <w:pPr>
              <w:rPr>
                <w:sz w:val="16"/>
                <w:szCs w:val="16"/>
              </w:rPr>
            </w:pPr>
            <w:r w:rsidRPr="0051294D">
              <w:rPr>
                <w:b/>
                <w:sz w:val="16"/>
                <w:szCs w:val="16"/>
              </w:rPr>
              <w:t>Indicator 3.3.2</w:t>
            </w:r>
            <w:r w:rsidR="00185A04">
              <w:rPr>
                <w:b/>
                <w:sz w:val="16"/>
                <w:szCs w:val="16"/>
              </w:rPr>
              <w:t>.</w:t>
            </w:r>
            <w:r w:rsidRPr="0051294D">
              <w:rPr>
                <w:b/>
                <w:sz w:val="16"/>
                <w:szCs w:val="16"/>
              </w:rPr>
              <w:t xml:space="preserve"> </w:t>
            </w:r>
            <w:r w:rsidRPr="0051294D">
              <w:rPr>
                <w:sz w:val="16"/>
                <w:szCs w:val="16"/>
              </w:rPr>
              <w:t>Number of jobs and livelihoods created through management of natural resources, ecosystem services, chemicals and waste, by sex, rural</w:t>
            </w:r>
            <w:r w:rsidR="00185A04">
              <w:rPr>
                <w:sz w:val="16"/>
                <w:szCs w:val="16"/>
              </w:rPr>
              <w:t>,</w:t>
            </w:r>
            <w:r w:rsidRPr="0051294D">
              <w:rPr>
                <w:sz w:val="16"/>
                <w:szCs w:val="16"/>
              </w:rPr>
              <w:t xml:space="preserve"> and urban (</w:t>
            </w:r>
            <w:r w:rsidR="00185A04">
              <w:rPr>
                <w:sz w:val="16"/>
                <w:szCs w:val="16"/>
              </w:rPr>
              <w:t xml:space="preserve">IRRF </w:t>
            </w:r>
            <w:r w:rsidRPr="0051294D">
              <w:rPr>
                <w:bCs/>
                <w:sz w:val="16"/>
                <w:szCs w:val="16"/>
              </w:rPr>
              <w:t>1.3.2)</w:t>
            </w:r>
            <w:r w:rsidRPr="0051294D">
              <w:rPr>
                <w:b/>
                <w:sz w:val="16"/>
                <w:szCs w:val="16"/>
              </w:rPr>
              <w:t>.</w:t>
            </w:r>
          </w:p>
          <w:p w14:paraId="2A38FBF3" w14:textId="1CDA0029" w:rsidR="002129B7" w:rsidRPr="0051294D" w:rsidRDefault="002129B7" w:rsidP="00C658B7">
            <w:pPr>
              <w:pStyle w:val="ListParagraph"/>
              <w:ind w:left="0"/>
              <w:rPr>
                <w:sz w:val="16"/>
                <w:szCs w:val="16"/>
              </w:rPr>
            </w:pPr>
            <w:r w:rsidRPr="0051294D">
              <w:rPr>
                <w:b/>
                <w:sz w:val="16"/>
                <w:szCs w:val="16"/>
              </w:rPr>
              <w:t>Baseline:</w:t>
            </w:r>
            <w:r w:rsidRPr="0051294D">
              <w:rPr>
                <w:sz w:val="16"/>
                <w:szCs w:val="16"/>
              </w:rPr>
              <w:t xml:space="preserve"> 5,000;</w:t>
            </w:r>
            <w:r w:rsidR="00F74A8C">
              <w:rPr>
                <w:sz w:val="16"/>
                <w:szCs w:val="16"/>
              </w:rPr>
              <w:t xml:space="preserve"> </w:t>
            </w:r>
            <w:r w:rsidRPr="0051294D">
              <w:rPr>
                <w:sz w:val="16"/>
                <w:szCs w:val="16"/>
              </w:rPr>
              <w:t>including 750 women; 1,750 youth, 1,750 rural; 750 urban</w:t>
            </w:r>
          </w:p>
          <w:p w14:paraId="240F0517" w14:textId="3FB02E89" w:rsidR="00185A04" w:rsidRDefault="002129B7" w:rsidP="00C658B7">
            <w:pPr>
              <w:pStyle w:val="ListParagraph"/>
              <w:ind w:left="0"/>
              <w:rPr>
                <w:sz w:val="16"/>
                <w:szCs w:val="16"/>
              </w:rPr>
            </w:pPr>
            <w:r w:rsidRPr="0051294D">
              <w:rPr>
                <w:b/>
                <w:sz w:val="16"/>
                <w:szCs w:val="16"/>
              </w:rPr>
              <w:t xml:space="preserve">Target: </w:t>
            </w:r>
            <w:r w:rsidR="00185A04">
              <w:rPr>
                <w:sz w:val="16"/>
                <w:szCs w:val="16"/>
              </w:rPr>
              <w:t>A</w:t>
            </w:r>
            <w:r w:rsidRPr="0051294D">
              <w:rPr>
                <w:sz w:val="16"/>
                <w:szCs w:val="16"/>
              </w:rPr>
              <w:t>dditional</w:t>
            </w:r>
            <w:r w:rsidRPr="0051294D">
              <w:rPr>
                <w:b/>
                <w:sz w:val="16"/>
                <w:szCs w:val="16"/>
              </w:rPr>
              <w:t xml:space="preserve"> </w:t>
            </w:r>
            <w:r w:rsidRPr="0051294D">
              <w:rPr>
                <w:sz w:val="16"/>
                <w:szCs w:val="16"/>
              </w:rPr>
              <w:t>2,500, including 500 women; 750</w:t>
            </w:r>
            <w:r w:rsidR="00185A04">
              <w:rPr>
                <w:sz w:val="16"/>
                <w:szCs w:val="16"/>
              </w:rPr>
              <w:t> </w:t>
            </w:r>
            <w:r w:rsidRPr="0051294D">
              <w:rPr>
                <w:sz w:val="16"/>
                <w:szCs w:val="16"/>
              </w:rPr>
              <w:t>youth; 750 rural, 500</w:t>
            </w:r>
            <w:r w:rsidR="00185A04">
              <w:rPr>
                <w:sz w:val="16"/>
                <w:szCs w:val="16"/>
              </w:rPr>
              <w:t> </w:t>
            </w:r>
            <w:r w:rsidRPr="0051294D">
              <w:rPr>
                <w:sz w:val="16"/>
                <w:szCs w:val="16"/>
              </w:rPr>
              <w:t xml:space="preserve">urban; </w:t>
            </w:r>
          </w:p>
          <w:p w14:paraId="672673CA" w14:textId="25A41D91" w:rsidR="002129B7" w:rsidRPr="0051294D" w:rsidRDefault="002129B7" w:rsidP="00C658B7">
            <w:pPr>
              <w:pStyle w:val="ListParagraph"/>
              <w:ind w:left="0"/>
              <w:rPr>
                <w:sz w:val="16"/>
                <w:szCs w:val="16"/>
              </w:rPr>
            </w:pPr>
            <w:r w:rsidRPr="0051294D">
              <w:rPr>
                <w:b/>
                <w:sz w:val="16"/>
                <w:szCs w:val="16"/>
              </w:rPr>
              <w:t>Data source</w:t>
            </w:r>
            <w:r w:rsidRPr="0051294D">
              <w:rPr>
                <w:sz w:val="16"/>
                <w:szCs w:val="16"/>
              </w:rPr>
              <w:t>: UNDP annual reporting</w:t>
            </w:r>
          </w:p>
          <w:p w14:paraId="4934F668" w14:textId="15233337" w:rsidR="002129B7" w:rsidRPr="0051294D" w:rsidRDefault="002129B7" w:rsidP="00C658B7">
            <w:pPr>
              <w:pStyle w:val="ListParagraph"/>
              <w:ind w:left="0"/>
              <w:rPr>
                <w:b/>
                <w:sz w:val="16"/>
                <w:szCs w:val="16"/>
              </w:rPr>
            </w:pPr>
            <w:r w:rsidRPr="0051294D">
              <w:rPr>
                <w:b/>
                <w:sz w:val="16"/>
                <w:szCs w:val="16"/>
              </w:rPr>
              <w:t>Indicator 3.3.3</w:t>
            </w:r>
            <w:r w:rsidR="00185A04">
              <w:rPr>
                <w:b/>
                <w:sz w:val="16"/>
                <w:szCs w:val="16"/>
              </w:rPr>
              <w:t>.</w:t>
            </w:r>
            <w:r w:rsidRPr="0051294D">
              <w:rPr>
                <w:b/>
                <w:sz w:val="16"/>
                <w:szCs w:val="16"/>
              </w:rPr>
              <w:t xml:space="preserve"> </w:t>
            </w:r>
            <w:r w:rsidRPr="0051294D">
              <w:rPr>
                <w:sz w:val="16"/>
                <w:szCs w:val="16"/>
              </w:rPr>
              <w:t xml:space="preserve">Number of hectares of </w:t>
            </w:r>
            <w:r w:rsidR="00185A04">
              <w:rPr>
                <w:sz w:val="16"/>
                <w:szCs w:val="16"/>
              </w:rPr>
              <w:t xml:space="preserve">sustainably managed </w:t>
            </w:r>
            <w:r w:rsidRPr="0051294D">
              <w:rPr>
                <w:sz w:val="16"/>
                <w:szCs w:val="16"/>
              </w:rPr>
              <w:t xml:space="preserve">protected areas </w:t>
            </w:r>
          </w:p>
          <w:p w14:paraId="0FDDCE73" w14:textId="575C2CDB" w:rsidR="002129B7" w:rsidRPr="0051294D" w:rsidRDefault="002129B7" w:rsidP="00C658B7">
            <w:pPr>
              <w:rPr>
                <w:sz w:val="16"/>
                <w:szCs w:val="16"/>
              </w:rPr>
            </w:pPr>
            <w:r w:rsidRPr="0051294D">
              <w:rPr>
                <w:b/>
                <w:sz w:val="16"/>
                <w:szCs w:val="16"/>
              </w:rPr>
              <w:t>Baseline:</w:t>
            </w:r>
            <w:r w:rsidRPr="0051294D">
              <w:rPr>
                <w:sz w:val="16"/>
                <w:szCs w:val="16"/>
              </w:rPr>
              <w:t xml:space="preserve"> 1,441,230.6 Ha </w:t>
            </w:r>
            <w:r w:rsidRPr="0051294D">
              <w:rPr>
                <w:b/>
                <w:sz w:val="16"/>
                <w:szCs w:val="16"/>
              </w:rPr>
              <w:t xml:space="preserve">Target: </w:t>
            </w:r>
            <w:r w:rsidRPr="0051294D">
              <w:rPr>
                <w:sz w:val="16"/>
                <w:szCs w:val="16"/>
              </w:rPr>
              <w:t xml:space="preserve">1,528,553.5 Ha </w:t>
            </w:r>
            <w:r w:rsidRPr="0051294D">
              <w:rPr>
                <w:b/>
                <w:sz w:val="16"/>
                <w:szCs w:val="16"/>
              </w:rPr>
              <w:t>Data source</w:t>
            </w:r>
            <w:r w:rsidRPr="0051294D">
              <w:rPr>
                <w:sz w:val="16"/>
                <w:szCs w:val="16"/>
              </w:rPr>
              <w:t>: Government.</w:t>
            </w:r>
          </w:p>
          <w:p w14:paraId="4B45BD03" w14:textId="77777777" w:rsidR="002129B7" w:rsidRPr="0051294D" w:rsidRDefault="002129B7" w:rsidP="00C658B7">
            <w:pPr>
              <w:rPr>
                <w:sz w:val="16"/>
                <w:szCs w:val="16"/>
              </w:rPr>
            </w:pPr>
          </w:p>
          <w:p w14:paraId="4D70EE83" w14:textId="6CA8278B" w:rsidR="002129B7" w:rsidRPr="0051294D" w:rsidRDefault="002129B7" w:rsidP="00C658B7">
            <w:pPr>
              <w:rPr>
                <w:b/>
                <w:iCs/>
                <w:color w:val="000000"/>
                <w:sz w:val="16"/>
                <w:szCs w:val="16"/>
                <w:u w:val="single"/>
                <w:lang w:val="en-GB"/>
              </w:rPr>
            </w:pPr>
            <w:r w:rsidRPr="0051294D">
              <w:rPr>
                <w:rFonts w:cs="Arial"/>
                <w:b/>
                <w:sz w:val="16"/>
                <w:szCs w:val="16"/>
              </w:rPr>
              <w:t>Output 3.4</w:t>
            </w:r>
            <w:r w:rsidR="00185A04">
              <w:rPr>
                <w:rFonts w:cs="Arial"/>
                <w:b/>
                <w:sz w:val="16"/>
                <w:szCs w:val="16"/>
              </w:rPr>
              <w:t>.</w:t>
            </w:r>
            <w:r w:rsidRPr="0051294D">
              <w:rPr>
                <w:rFonts w:cs="Arial"/>
                <w:b/>
                <w:sz w:val="16"/>
                <w:szCs w:val="16"/>
              </w:rPr>
              <w:t xml:space="preserve"> Improved adaptive capacities and on-farm water efficiency, and integrated resilience to climate change </w:t>
            </w:r>
            <w:r w:rsidR="009E2B51">
              <w:rPr>
                <w:rFonts w:cs="Arial"/>
                <w:b/>
                <w:sz w:val="16"/>
                <w:szCs w:val="16"/>
              </w:rPr>
              <w:t>in</w:t>
            </w:r>
            <w:r w:rsidR="009E2B51" w:rsidRPr="0051294D">
              <w:rPr>
                <w:rFonts w:cs="Arial"/>
                <w:b/>
                <w:sz w:val="16"/>
                <w:szCs w:val="16"/>
              </w:rPr>
              <w:t xml:space="preserve"> </w:t>
            </w:r>
            <w:r w:rsidRPr="0051294D">
              <w:rPr>
                <w:rFonts w:cs="Arial"/>
                <w:b/>
                <w:sz w:val="16"/>
                <w:szCs w:val="16"/>
              </w:rPr>
              <w:t>vulnerable farming communities</w:t>
            </w:r>
            <w:r w:rsidR="009E2B51">
              <w:rPr>
                <w:rFonts w:cs="Arial"/>
                <w:b/>
                <w:sz w:val="16"/>
                <w:szCs w:val="16"/>
              </w:rPr>
              <w:t>,</w:t>
            </w:r>
            <w:r w:rsidRPr="0051294D">
              <w:rPr>
                <w:rFonts w:cs="Arial"/>
                <w:b/>
                <w:sz w:val="16"/>
                <w:szCs w:val="16"/>
              </w:rPr>
              <w:t xml:space="preserve"> focus</w:t>
            </w:r>
            <w:r w:rsidR="009E2B51">
              <w:rPr>
                <w:rFonts w:cs="Arial"/>
                <w:b/>
                <w:sz w:val="16"/>
                <w:szCs w:val="16"/>
              </w:rPr>
              <w:t>ed</w:t>
            </w:r>
            <w:r w:rsidRPr="0051294D">
              <w:rPr>
                <w:rFonts w:cs="Arial"/>
                <w:b/>
                <w:sz w:val="16"/>
                <w:szCs w:val="16"/>
              </w:rPr>
              <w:t xml:space="preserve"> on women and women-led households. (1, 2, 13)</w:t>
            </w:r>
          </w:p>
          <w:p w14:paraId="007AE9F1" w14:textId="33255E50" w:rsidR="002129B7" w:rsidRPr="0051294D" w:rsidRDefault="002129B7" w:rsidP="00C658B7">
            <w:pPr>
              <w:rPr>
                <w:sz w:val="16"/>
                <w:szCs w:val="16"/>
              </w:rPr>
            </w:pPr>
            <w:r w:rsidRPr="0051294D">
              <w:rPr>
                <w:b/>
                <w:iCs/>
                <w:color w:val="000000"/>
                <w:sz w:val="16"/>
                <w:szCs w:val="16"/>
                <w:lang w:val="en-GB"/>
              </w:rPr>
              <w:lastRenderedPageBreak/>
              <w:t>Indicator 3.4.1</w:t>
            </w:r>
            <w:r w:rsidR="009E2B51">
              <w:rPr>
                <w:b/>
                <w:iCs/>
                <w:color w:val="000000"/>
                <w:sz w:val="16"/>
                <w:szCs w:val="16"/>
                <w:lang w:val="en-GB"/>
              </w:rPr>
              <w:t>.</w:t>
            </w:r>
            <w:r w:rsidRPr="0051294D">
              <w:rPr>
                <w:b/>
                <w:iCs/>
                <w:color w:val="000000"/>
                <w:sz w:val="16"/>
                <w:szCs w:val="16"/>
                <w:lang w:val="en-GB"/>
              </w:rPr>
              <w:t xml:space="preserve"> </w:t>
            </w:r>
            <w:r w:rsidRPr="0051294D">
              <w:rPr>
                <w:iCs/>
                <w:color w:val="000000"/>
                <w:sz w:val="16"/>
                <w:szCs w:val="16"/>
                <w:lang w:val="en-GB"/>
              </w:rPr>
              <w:t xml:space="preserve">Number of communities with adaptive plans approved  </w:t>
            </w:r>
          </w:p>
          <w:p w14:paraId="066D6792" w14:textId="77777777" w:rsidR="002129B7" w:rsidRPr="0051294D" w:rsidRDefault="002129B7" w:rsidP="00C658B7">
            <w:pPr>
              <w:pStyle w:val="ListParagraph"/>
              <w:ind w:left="0"/>
              <w:rPr>
                <w:sz w:val="16"/>
                <w:szCs w:val="16"/>
              </w:rPr>
            </w:pPr>
            <w:r w:rsidRPr="0051294D">
              <w:rPr>
                <w:b/>
                <w:sz w:val="16"/>
                <w:szCs w:val="16"/>
              </w:rPr>
              <w:t xml:space="preserve">Baseline: </w:t>
            </w:r>
            <w:r w:rsidRPr="0051294D">
              <w:rPr>
                <w:sz w:val="16"/>
                <w:szCs w:val="16"/>
              </w:rPr>
              <w:t xml:space="preserve">0; </w:t>
            </w:r>
            <w:r w:rsidRPr="0051294D">
              <w:rPr>
                <w:b/>
                <w:sz w:val="16"/>
                <w:szCs w:val="16"/>
              </w:rPr>
              <w:t xml:space="preserve">Target: </w:t>
            </w:r>
            <w:r w:rsidRPr="0051294D">
              <w:rPr>
                <w:sz w:val="16"/>
                <w:szCs w:val="16"/>
              </w:rPr>
              <w:t>40</w:t>
            </w:r>
            <w:r w:rsidRPr="0051294D">
              <w:rPr>
                <w:b/>
                <w:sz w:val="16"/>
                <w:szCs w:val="16"/>
              </w:rPr>
              <w:t xml:space="preserve"> Data source</w:t>
            </w:r>
            <w:r w:rsidRPr="0051294D">
              <w:rPr>
                <w:sz w:val="16"/>
                <w:szCs w:val="16"/>
              </w:rPr>
              <w:t>: MAFIM</w:t>
            </w:r>
          </w:p>
          <w:p w14:paraId="2E2AF52D" w14:textId="3B9FF449" w:rsidR="002129B7" w:rsidRPr="0051294D" w:rsidRDefault="002129B7" w:rsidP="00C658B7">
            <w:pPr>
              <w:rPr>
                <w:sz w:val="16"/>
                <w:szCs w:val="16"/>
              </w:rPr>
            </w:pPr>
            <w:r w:rsidRPr="0051294D">
              <w:rPr>
                <w:b/>
                <w:iCs/>
                <w:color w:val="000000"/>
                <w:sz w:val="16"/>
                <w:szCs w:val="16"/>
                <w:lang w:val="en-GB"/>
              </w:rPr>
              <w:t>Indicator 3.4.2</w:t>
            </w:r>
            <w:r w:rsidR="009E2B51">
              <w:rPr>
                <w:b/>
                <w:iCs/>
                <w:color w:val="000000"/>
                <w:sz w:val="16"/>
                <w:szCs w:val="16"/>
                <w:lang w:val="en-GB"/>
              </w:rPr>
              <w:t>.</w:t>
            </w:r>
            <w:r w:rsidRPr="0051294D">
              <w:rPr>
                <w:b/>
                <w:iCs/>
                <w:color w:val="000000"/>
                <w:sz w:val="16"/>
                <w:szCs w:val="16"/>
                <w:lang w:val="en-GB"/>
              </w:rPr>
              <w:t xml:space="preserve"> </w:t>
            </w:r>
            <w:r w:rsidRPr="0051294D">
              <w:rPr>
                <w:iCs/>
                <w:color w:val="000000"/>
                <w:sz w:val="16"/>
                <w:szCs w:val="16"/>
                <w:lang w:val="en-GB"/>
              </w:rPr>
              <w:t>Share of</w:t>
            </w:r>
            <w:r w:rsidRPr="0051294D">
              <w:rPr>
                <w:b/>
                <w:iCs/>
                <w:color w:val="000000"/>
                <w:sz w:val="16"/>
                <w:szCs w:val="16"/>
                <w:lang w:val="en-GB"/>
              </w:rPr>
              <w:t xml:space="preserve"> </w:t>
            </w:r>
            <w:r w:rsidRPr="0051294D">
              <w:rPr>
                <w:sz w:val="16"/>
                <w:szCs w:val="16"/>
              </w:rPr>
              <w:t xml:space="preserve"> </w:t>
            </w:r>
            <w:r w:rsidRPr="0051294D">
              <w:rPr>
                <w:rFonts w:cs="Arial"/>
                <w:sz w:val="16"/>
                <w:szCs w:val="16"/>
              </w:rPr>
              <w:t>women-led households</w:t>
            </w:r>
            <w:r w:rsidRPr="0051294D">
              <w:rPr>
                <w:rFonts w:cs="Arial"/>
                <w:b/>
                <w:sz w:val="16"/>
                <w:szCs w:val="16"/>
              </w:rPr>
              <w:t xml:space="preserve"> </w:t>
            </w:r>
            <w:r w:rsidRPr="0051294D">
              <w:rPr>
                <w:rFonts w:cs="Arial"/>
                <w:sz w:val="16"/>
                <w:szCs w:val="16"/>
              </w:rPr>
              <w:t>with on-farm water efficiency</w:t>
            </w:r>
          </w:p>
          <w:p w14:paraId="410C99F8" w14:textId="77777777" w:rsidR="002129B7" w:rsidRPr="0051294D" w:rsidRDefault="002129B7" w:rsidP="00C658B7">
            <w:pPr>
              <w:pStyle w:val="ListParagraph"/>
              <w:ind w:left="0"/>
              <w:rPr>
                <w:sz w:val="16"/>
                <w:szCs w:val="16"/>
              </w:rPr>
            </w:pPr>
            <w:r w:rsidRPr="0051294D">
              <w:rPr>
                <w:b/>
                <w:sz w:val="16"/>
                <w:szCs w:val="16"/>
              </w:rPr>
              <w:t xml:space="preserve">Baseline: </w:t>
            </w:r>
            <w:r w:rsidRPr="0051294D">
              <w:rPr>
                <w:sz w:val="16"/>
                <w:szCs w:val="16"/>
              </w:rPr>
              <w:t xml:space="preserve">0; </w:t>
            </w:r>
            <w:r w:rsidRPr="0051294D">
              <w:rPr>
                <w:b/>
                <w:sz w:val="16"/>
                <w:szCs w:val="16"/>
              </w:rPr>
              <w:t>Target:</w:t>
            </w:r>
            <w:r w:rsidRPr="0051294D">
              <w:rPr>
                <w:sz w:val="16"/>
                <w:szCs w:val="16"/>
              </w:rPr>
              <w:t xml:space="preserve">25% </w:t>
            </w:r>
            <w:r w:rsidRPr="0051294D">
              <w:rPr>
                <w:b/>
                <w:sz w:val="16"/>
                <w:szCs w:val="16"/>
              </w:rPr>
              <w:t>Data source</w:t>
            </w:r>
            <w:r w:rsidRPr="0051294D">
              <w:rPr>
                <w:sz w:val="16"/>
                <w:szCs w:val="16"/>
              </w:rPr>
              <w:t>: MAFIM</w:t>
            </w:r>
          </w:p>
          <w:p w14:paraId="1B7B98BF" w14:textId="026B6A77" w:rsidR="002129B7" w:rsidRPr="0051294D" w:rsidRDefault="002129B7" w:rsidP="00C658B7">
            <w:pPr>
              <w:rPr>
                <w:sz w:val="16"/>
                <w:szCs w:val="16"/>
              </w:rPr>
            </w:pPr>
            <w:r w:rsidRPr="0051294D">
              <w:rPr>
                <w:b/>
                <w:iCs/>
                <w:color w:val="000000"/>
                <w:sz w:val="16"/>
                <w:szCs w:val="16"/>
                <w:lang w:val="en-GB"/>
              </w:rPr>
              <w:t>Indicator 3.4.3</w:t>
            </w:r>
            <w:r w:rsidR="009E2B51">
              <w:rPr>
                <w:b/>
                <w:iCs/>
                <w:color w:val="000000"/>
                <w:sz w:val="16"/>
                <w:szCs w:val="16"/>
                <w:lang w:val="en-GB"/>
              </w:rPr>
              <w:t>.</w:t>
            </w:r>
            <w:r w:rsidRPr="0051294D">
              <w:rPr>
                <w:b/>
                <w:iCs/>
                <w:color w:val="000000"/>
                <w:sz w:val="16"/>
                <w:szCs w:val="16"/>
                <w:lang w:val="en-GB"/>
              </w:rPr>
              <w:t xml:space="preserve"> </w:t>
            </w:r>
            <w:r w:rsidRPr="0051294D">
              <w:rPr>
                <w:iCs/>
                <w:color w:val="000000"/>
                <w:sz w:val="16"/>
                <w:szCs w:val="16"/>
                <w:lang w:val="en-GB"/>
              </w:rPr>
              <w:t>Reduction of on-farm water losses in target areas</w:t>
            </w:r>
          </w:p>
          <w:p w14:paraId="4AE45379" w14:textId="77777777" w:rsidR="009E2B51" w:rsidRDefault="002129B7" w:rsidP="00C658B7">
            <w:pPr>
              <w:pStyle w:val="ListParagraph"/>
              <w:ind w:left="0"/>
              <w:rPr>
                <w:sz w:val="16"/>
                <w:szCs w:val="16"/>
              </w:rPr>
            </w:pPr>
            <w:r w:rsidRPr="0051294D">
              <w:rPr>
                <w:b/>
                <w:sz w:val="16"/>
                <w:szCs w:val="16"/>
              </w:rPr>
              <w:t xml:space="preserve">Baseline: </w:t>
            </w:r>
            <w:r w:rsidRPr="0051294D">
              <w:rPr>
                <w:sz w:val="16"/>
                <w:szCs w:val="16"/>
              </w:rPr>
              <w:t xml:space="preserve">40%; </w:t>
            </w:r>
          </w:p>
          <w:p w14:paraId="6F9FAADB" w14:textId="45B85010" w:rsidR="002129B7" w:rsidRPr="0051294D" w:rsidRDefault="002129B7" w:rsidP="00C658B7">
            <w:pPr>
              <w:pStyle w:val="ListParagraph"/>
              <w:ind w:left="0"/>
              <w:rPr>
                <w:sz w:val="16"/>
                <w:szCs w:val="16"/>
              </w:rPr>
            </w:pPr>
            <w:r w:rsidRPr="0051294D">
              <w:rPr>
                <w:b/>
                <w:sz w:val="16"/>
                <w:szCs w:val="16"/>
              </w:rPr>
              <w:t>Target:</w:t>
            </w:r>
            <w:r w:rsidRPr="0051294D">
              <w:rPr>
                <w:sz w:val="16"/>
                <w:szCs w:val="16"/>
              </w:rPr>
              <w:t xml:space="preserve"> 20% </w:t>
            </w:r>
            <w:r w:rsidRPr="0051294D">
              <w:rPr>
                <w:b/>
                <w:sz w:val="16"/>
                <w:szCs w:val="16"/>
              </w:rPr>
              <w:t>Data source</w:t>
            </w:r>
            <w:r w:rsidRPr="0051294D">
              <w:rPr>
                <w:sz w:val="16"/>
                <w:szCs w:val="16"/>
              </w:rPr>
              <w:t>: MAFIM</w:t>
            </w:r>
          </w:p>
          <w:p w14:paraId="5B6A7ABC" w14:textId="1C85AA3B" w:rsidR="002129B7" w:rsidRPr="0051294D" w:rsidRDefault="002129B7" w:rsidP="00C658B7">
            <w:pPr>
              <w:rPr>
                <w:sz w:val="16"/>
                <w:szCs w:val="16"/>
              </w:rPr>
            </w:pPr>
            <w:r w:rsidRPr="0051294D">
              <w:rPr>
                <w:b/>
                <w:iCs/>
                <w:color w:val="000000"/>
                <w:sz w:val="16"/>
                <w:szCs w:val="16"/>
                <w:lang w:val="en-GB"/>
              </w:rPr>
              <w:t>Indicator 3.4.4</w:t>
            </w:r>
            <w:r w:rsidR="009E2B51">
              <w:rPr>
                <w:b/>
                <w:iCs/>
                <w:color w:val="000000"/>
                <w:sz w:val="16"/>
                <w:szCs w:val="16"/>
                <w:lang w:val="en-GB"/>
              </w:rPr>
              <w:t>.</w:t>
            </w:r>
            <w:r w:rsidRPr="0051294D">
              <w:rPr>
                <w:b/>
                <w:iCs/>
                <w:color w:val="000000"/>
                <w:sz w:val="16"/>
                <w:szCs w:val="16"/>
                <w:lang w:val="en-GB"/>
              </w:rPr>
              <w:t xml:space="preserve"> </w:t>
            </w:r>
            <w:r w:rsidR="009E2B51">
              <w:rPr>
                <w:iCs/>
                <w:color w:val="000000"/>
                <w:sz w:val="16"/>
                <w:szCs w:val="16"/>
                <w:lang w:val="en-GB"/>
              </w:rPr>
              <w:t>Percentage</w:t>
            </w:r>
            <w:r w:rsidR="009E2B51" w:rsidRPr="0051294D">
              <w:rPr>
                <w:iCs/>
                <w:color w:val="000000"/>
                <w:sz w:val="16"/>
                <w:szCs w:val="16"/>
                <w:lang w:val="en-GB"/>
              </w:rPr>
              <w:t xml:space="preserve"> </w:t>
            </w:r>
            <w:r w:rsidRPr="0051294D">
              <w:rPr>
                <w:iCs/>
                <w:color w:val="000000"/>
                <w:sz w:val="16"/>
                <w:szCs w:val="16"/>
                <w:lang w:val="en-GB"/>
              </w:rPr>
              <w:t>of households in target areas benefiting from water</w:t>
            </w:r>
            <w:r w:rsidR="009E2B51">
              <w:rPr>
                <w:iCs/>
                <w:color w:val="000000"/>
                <w:sz w:val="16"/>
                <w:szCs w:val="16"/>
                <w:lang w:val="en-GB"/>
              </w:rPr>
              <w:t>-</w:t>
            </w:r>
            <w:r w:rsidRPr="0051294D">
              <w:rPr>
                <w:iCs/>
                <w:color w:val="000000"/>
                <w:sz w:val="16"/>
                <w:szCs w:val="16"/>
                <w:lang w:val="en-GB"/>
              </w:rPr>
              <w:t>efficient techniques</w:t>
            </w:r>
          </w:p>
          <w:p w14:paraId="1EF35CC9" w14:textId="77777777" w:rsidR="002129B7" w:rsidRPr="0051294D" w:rsidRDefault="002129B7" w:rsidP="00C658B7">
            <w:pPr>
              <w:pStyle w:val="ListParagraph"/>
              <w:ind w:left="0"/>
              <w:rPr>
                <w:sz w:val="16"/>
                <w:szCs w:val="16"/>
              </w:rPr>
            </w:pPr>
            <w:r w:rsidRPr="0051294D">
              <w:rPr>
                <w:b/>
                <w:sz w:val="16"/>
                <w:szCs w:val="16"/>
              </w:rPr>
              <w:t xml:space="preserve">Baseline: </w:t>
            </w:r>
            <w:r w:rsidRPr="0051294D">
              <w:rPr>
                <w:sz w:val="16"/>
                <w:szCs w:val="16"/>
              </w:rPr>
              <w:t xml:space="preserve">5%; </w:t>
            </w:r>
            <w:r w:rsidRPr="0051294D">
              <w:rPr>
                <w:b/>
                <w:sz w:val="16"/>
                <w:szCs w:val="16"/>
              </w:rPr>
              <w:t>Target:</w:t>
            </w:r>
            <w:r w:rsidRPr="0051294D">
              <w:rPr>
                <w:sz w:val="16"/>
                <w:szCs w:val="16"/>
              </w:rPr>
              <w:t xml:space="preserve"> 45% </w:t>
            </w:r>
            <w:r w:rsidRPr="0051294D">
              <w:rPr>
                <w:b/>
                <w:sz w:val="16"/>
                <w:szCs w:val="16"/>
              </w:rPr>
              <w:t>Data source</w:t>
            </w:r>
            <w:r w:rsidRPr="0051294D">
              <w:rPr>
                <w:sz w:val="16"/>
                <w:szCs w:val="16"/>
              </w:rPr>
              <w:t>: MAFIM</w:t>
            </w:r>
          </w:p>
        </w:tc>
        <w:tc>
          <w:tcPr>
            <w:tcW w:w="874" w:type="pct"/>
          </w:tcPr>
          <w:p w14:paraId="793B405E" w14:textId="77777777" w:rsidR="002129B7" w:rsidRPr="0051294D" w:rsidRDefault="002129B7" w:rsidP="00C658B7">
            <w:pPr>
              <w:pStyle w:val="Pasus1"/>
              <w:rPr>
                <w:rFonts w:ascii="Times New Roman" w:eastAsia="Calibri" w:hAnsi="Times New Roman"/>
                <w:sz w:val="16"/>
                <w:szCs w:val="16"/>
              </w:rPr>
            </w:pPr>
            <w:r w:rsidRPr="0051294D">
              <w:rPr>
                <w:rFonts w:ascii="Times New Roman" w:eastAsia="Calibri" w:hAnsi="Times New Roman"/>
                <w:sz w:val="16"/>
                <w:szCs w:val="16"/>
              </w:rPr>
              <w:lastRenderedPageBreak/>
              <w:t xml:space="preserve">Parliament </w:t>
            </w:r>
          </w:p>
          <w:p w14:paraId="71213C93" w14:textId="77777777" w:rsidR="002129B7" w:rsidRPr="0051294D" w:rsidRDefault="002129B7" w:rsidP="00C658B7">
            <w:pPr>
              <w:pStyle w:val="Pasus1"/>
              <w:rPr>
                <w:rFonts w:ascii="Times New Roman" w:eastAsia="Calibri" w:hAnsi="Times New Roman"/>
                <w:sz w:val="16"/>
                <w:szCs w:val="16"/>
              </w:rPr>
            </w:pPr>
            <w:r w:rsidRPr="0051294D">
              <w:rPr>
                <w:rFonts w:ascii="Times New Roman" w:eastAsia="Calibri" w:hAnsi="Times New Roman"/>
                <w:sz w:val="16"/>
                <w:szCs w:val="16"/>
              </w:rPr>
              <w:t>OPM</w:t>
            </w:r>
          </w:p>
          <w:p w14:paraId="231DB8EF" w14:textId="77777777" w:rsidR="002129B7" w:rsidRPr="0051294D" w:rsidRDefault="002129B7" w:rsidP="00C658B7">
            <w:pPr>
              <w:pStyle w:val="Default"/>
              <w:rPr>
                <w:rFonts w:ascii="Times New Roman" w:hAnsi="Times New Roman" w:cs="Times New Roman"/>
                <w:color w:val="auto"/>
                <w:sz w:val="16"/>
                <w:szCs w:val="16"/>
              </w:rPr>
            </w:pPr>
            <w:r w:rsidRPr="0051294D">
              <w:rPr>
                <w:rFonts w:ascii="Times New Roman" w:hAnsi="Times New Roman" w:cs="Times New Roman"/>
                <w:color w:val="auto"/>
                <w:sz w:val="16"/>
                <w:szCs w:val="16"/>
              </w:rPr>
              <w:t xml:space="preserve">Commission on Climate Change under the Government of the Kyrgyz Republic </w:t>
            </w:r>
          </w:p>
          <w:p w14:paraId="464C6118" w14:textId="77777777" w:rsidR="002129B7" w:rsidRPr="0051294D" w:rsidRDefault="002129B7" w:rsidP="00C658B7">
            <w:pPr>
              <w:pStyle w:val="Pasus1"/>
              <w:spacing w:before="0" w:after="0"/>
              <w:rPr>
                <w:rFonts w:ascii="Times New Roman" w:eastAsia="Calibri" w:hAnsi="Times New Roman"/>
                <w:sz w:val="16"/>
                <w:szCs w:val="16"/>
              </w:rPr>
            </w:pPr>
          </w:p>
          <w:p w14:paraId="7B35BF5D" w14:textId="6794B0C5" w:rsidR="002129B7" w:rsidRPr="0051294D" w:rsidRDefault="002129B7" w:rsidP="00C658B7">
            <w:pPr>
              <w:pStyle w:val="Pasus1"/>
              <w:spacing w:before="0" w:after="0"/>
              <w:rPr>
                <w:rFonts w:ascii="Times New Roman" w:eastAsia="Calibri" w:hAnsi="Times New Roman"/>
                <w:sz w:val="16"/>
                <w:szCs w:val="16"/>
              </w:rPr>
            </w:pPr>
            <w:r w:rsidRPr="0051294D">
              <w:rPr>
                <w:rFonts w:ascii="Times New Roman" w:eastAsia="Calibri" w:hAnsi="Times New Roman"/>
                <w:sz w:val="16"/>
                <w:szCs w:val="16"/>
              </w:rPr>
              <w:t>M</w:t>
            </w:r>
            <w:r w:rsidR="00CF295B">
              <w:rPr>
                <w:rFonts w:ascii="Times New Roman" w:eastAsia="Calibri" w:hAnsi="Times New Roman"/>
                <w:sz w:val="16"/>
                <w:szCs w:val="16"/>
              </w:rPr>
              <w:t>O</w:t>
            </w:r>
            <w:r w:rsidRPr="0051294D">
              <w:rPr>
                <w:rFonts w:ascii="Times New Roman" w:eastAsia="Calibri" w:hAnsi="Times New Roman"/>
                <w:sz w:val="16"/>
                <w:szCs w:val="16"/>
              </w:rPr>
              <w:t>A, M</w:t>
            </w:r>
            <w:r w:rsidR="00CF295B">
              <w:rPr>
                <w:rFonts w:ascii="Times New Roman" w:eastAsia="Calibri" w:hAnsi="Times New Roman"/>
                <w:sz w:val="16"/>
                <w:szCs w:val="16"/>
              </w:rPr>
              <w:t>O</w:t>
            </w:r>
            <w:r w:rsidRPr="0051294D">
              <w:rPr>
                <w:rFonts w:ascii="Times New Roman" w:eastAsia="Calibri" w:hAnsi="Times New Roman"/>
                <w:sz w:val="16"/>
                <w:szCs w:val="16"/>
              </w:rPr>
              <w:t>E, M</w:t>
            </w:r>
            <w:r w:rsidR="00CF295B">
              <w:rPr>
                <w:rFonts w:ascii="Times New Roman" w:eastAsia="Calibri" w:hAnsi="Times New Roman"/>
                <w:sz w:val="16"/>
                <w:szCs w:val="16"/>
              </w:rPr>
              <w:t>O</w:t>
            </w:r>
            <w:r w:rsidRPr="0051294D">
              <w:rPr>
                <w:rFonts w:ascii="Times New Roman" w:eastAsia="Calibri" w:hAnsi="Times New Roman"/>
                <w:sz w:val="16"/>
                <w:szCs w:val="16"/>
              </w:rPr>
              <w:t xml:space="preserve">F, </w:t>
            </w:r>
            <w:r w:rsidR="004F1645" w:rsidRPr="00471F82">
              <w:rPr>
                <w:rFonts w:ascii="Times New Roman" w:eastAsia="SimSun" w:hAnsi="Times New Roman"/>
                <w:sz w:val="16"/>
                <w:szCs w:val="16"/>
              </w:rPr>
              <w:t>Ministry of Emergency Situations</w:t>
            </w:r>
            <w:r w:rsidR="004F1645">
              <w:rPr>
                <w:rFonts w:ascii="Times New Roman" w:eastAsia="SimSun" w:hAnsi="Times New Roman"/>
                <w:sz w:val="16"/>
                <w:szCs w:val="16"/>
              </w:rPr>
              <w:t xml:space="preserve"> </w:t>
            </w:r>
            <w:r w:rsidR="004F1645" w:rsidRPr="0051294D">
              <w:rPr>
                <w:sz w:val="16"/>
                <w:szCs w:val="16"/>
              </w:rPr>
              <w:t>(</w:t>
            </w:r>
            <w:r w:rsidRPr="004F1645">
              <w:rPr>
                <w:rFonts w:ascii="Times New Roman" w:eastAsia="Calibri" w:hAnsi="Times New Roman"/>
                <w:sz w:val="16"/>
                <w:szCs w:val="16"/>
              </w:rPr>
              <w:t>MES</w:t>
            </w:r>
            <w:r w:rsidR="004F1645">
              <w:rPr>
                <w:rFonts w:ascii="Times New Roman" w:eastAsia="Calibri" w:hAnsi="Times New Roman"/>
                <w:sz w:val="16"/>
                <w:szCs w:val="16"/>
              </w:rPr>
              <w:t>)</w:t>
            </w:r>
          </w:p>
          <w:p w14:paraId="57FB5755" w14:textId="77777777" w:rsidR="002129B7" w:rsidRPr="0051294D" w:rsidRDefault="002129B7" w:rsidP="00C658B7">
            <w:pPr>
              <w:rPr>
                <w:iCs/>
                <w:color w:val="000000"/>
                <w:sz w:val="16"/>
                <w:szCs w:val="16"/>
                <w:lang w:val="en-GB"/>
              </w:rPr>
            </w:pPr>
          </w:p>
          <w:p w14:paraId="60523E28" w14:textId="77777777" w:rsidR="002129B7" w:rsidRPr="0051294D" w:rsidRDefault="002129B7" w:rsidP="00C658B7">
            <w:pPr>
              <w:pStyle w:val="Pasus1"/>
              <w:spacing w:before="0" w:after="0"/>
              <w:rPr>
                <w:rFonts w:ascii="Times New Roman" w:eastAsia="Calibri" w:hAnsi="Times New Roman"/>
                <w:sz w:val="16"/>
                <w:szCs w:val="16"/>
              </w:rPr>
            </w:pPr>
            <w:r w:rsidRPr="0051294D">
              <w:rPr>
                <w:rFonts w:ascii="Times New Roman" w:eastAsia="Calibri" w:hAnsi="Times New Roman"/>
                <w:sz w:val="16"/>
                <w:szCs w:val="16"/>
              </w:rPr>
              <w:t>SAEPF</w:t>
            </w:r>
          </w:p>
          <w:p w14:paraId="4E275C0C" w14:textId="77777777" w:rsidR="002129B7" w:rsidRPr="0051294D" w:rsidRDefault="002129B7" w:rsidP="00C658B7">
            <w:pPr>
              <w:rPr>
                <w:sz w:val="16"/>
                <w:szCs w:val="16"/>
              </w:rPr>
            </w:pPr>
          </w:p>
          <w:p w14:paraId="57031831" w14:textId="2E4DB918" w:rsidR="002129B7" w:rsidRPr="0051294D" w:rsidRDefault="002129B7" w:rsidP="00C658B7">
            <w:pPr>
              <w:rPr>
                <w:sz w:val="16"/>
                <w:szCs w:val="16"/>
              </w:rPr>
            </w:pPr>
            <w:r w:rsidRPr="0051294D">
              <w:rPr>
                <w:sz w:val="16"/>
                <w:szCs w:val="16"/>
              </w:rPr>
              <w:t xml:space="preserve">Department for Development of Drinking Water Supply and Sanitation </w:t>
            </w:r>
            <w:r w:rsidR="004F1645" w:rsidRPr="0051294D">
              <w:rPr>
                <w:sz w:val="16"/>
                <w:szCs w:val="16"/>
              </w:rPr>
              <w:t>(</w:t>
            </w:r>
            <w:r w:rsidRPr="0051294D">
              <w:rPr>
                <w:sz w:val="16"/>
                <w:szCs w:val="16"/>
              </w:rPr>
              <w:t xml:space="preserve">DDDWSS) </w:t>
            </w:r>
          </w:p>
          <w:p w14:paraId="2CC3F5DB" w14:textId="77777777" w:rsidR="002129B7" w:rsidRPr="0051294D" w:rsidRDefault="002129B7" w:rsidP="00C658B7">
            <w:pPr>
              <w:rPr>
                <w:sz w:val="16"/>
                <w:szCs w:val="16"/>
              </w:rPr>
            </w:pPr>
          </w:p>
          <w:p w14:paraId="74BB952B" w14:textId="77777777" w:rsidR="002129B7" w:rsidRPr="0051294D" w:rsidRDefault="002129B7" w:rsidP="00C658B7">
            <w:pPr>
              <w:rPr>
                <w:sz w:val="16"/>
                <w:szCs w:val="16"/>
              </w:rPr>
            </w:pPr>
            <w:r w:rsidRPr="0051294D">
              <w:rPr>
                <w:sz w:val="16"/>
                <w:szCs w:val="16"/>
              </w:rPr>
              <w:t xml:space="preserve">State Agency for Construction, Architecture and Communal Services </w:t>
            </w:r>
          </w:p>
          <w:p w14:paraId="5B567ED1" w14:textId="77777777" w:rsidR="002129B7" w:rsidRPr="0051294D" w:rsidRDefault="002129B7" w:rsidP="00C658B7">
            <w:pPr>
              <w:rPr>
                <w:sz w:val="16"/>
                <w:szCs w:val="16"/>
              </w:rPr>
            </w:pPr>
          </w:p>
          <w:p w14:paraId="204BFCDB" w14:textId="77777777" w:rsidR="002129B7" w:rsidRPr="0051294D" w:rsidRDefault="002129B7" w:rsidP="00C658B7">
            <w:pPr>
              <w:rPr>
                <w:sz w:val="16"/>
                <w:szCs w:val="16"/>
              </w:rPr>
            </w:pPr>
            <w:r w:rsidRPr="0051294D">
              <w:rPr>
                <w:sz w:val="16"/>
                <w:szCs w:val="16"/>
              </w:rPr>
              <w:t xml:space="preserve">State Committee for Industry, Energy and Subsoil Management (SCIESM) </w:t>
            </w:r>
          </w:p>
          <w:p w14:paraId="1E302ABD" w14:textId="77777777" w:rsidR="002129B7" w:rsidRPr="0051294D" w:rsidRDefault="002129B7" w:rsidP="00C658B7">
            <w:pPr>
              <w:rPr>
                <w:sz w:val="16"/>
                <w:szCs w:val="16"/>
              </w:rPr>
            </w:pPr>
          </w:p>
          <w:p w14:paraId="38E44B95" w14:textId="609F824F" w:rsidR="002129B7" w:rsidRPr="0051294D" w:rsidRDefault="002129B7" w:rsidP="00C658B7">
            <w:pPr>
              <w:pStyle w:val="Pasus1"/>
              <w:spacing w:before="0" w:after="0"/>
              <w:rPr>
                <w:rFonts w:ascii="Times New Roman" w:eastAsia="Calibri" w:hAnsi="Times New Roman"/>
                <w:sz w:val="16"/>
                <w:szCs w:val="16"/>
              </w:rPr>
            </w:pPr>
            <w:r w:rsidRPr="0051294D">
              <w:rPr>
                <w:rFonts w:ascii="Times New Roman" w:eastAsia="Calibri" w:hAnsi="Times New Roman"/>
                <w:sz w:val="16"/>
                <w:szCs w:val="16"/>
              </w:rPr>
              <w:t>LSG</w:t>
            </w:r>
            <w:r w:rsidR="000F62A6">
              <w:rPr>
                <w:rFonts w:ascii="Times New Roman" w:eastAsia="Calibri" w:hAnsi="Times New Roman"/>
                <w:sz w:val="16"/>
                <w:szCs w:val="16"/>
              </w:rPr>
              <w:t>s</w:t>
            </w:r>
          </w:p>
          <w:p w14:paraId="29347270" w14:textId="7493941B" w:rsidR="002129B7" w:rsidRPr="0051294D" w:rsidRDefault="002129B7" w:rsidP="00C658B7">
            <w:pPr>
              <w:pStyle w:val="Pasus1"/>
              <w:spacing w:before="0" w:after="0"/>
              <w:rPr>
                <w:rFonts w:ascii="Times New Roman" w:eastAsia="Calibri" w:hAnsi="Times New Roman"/>
                <w:sz w:val="16"/>
                <w:szCs w:val="16"/>
              </w:rPr>
            </w:pPr>
            <w:r w:rsidRPr="0051294D">
              <w:rPr>
                <w:rFonts w:ascii="Times New Roman" w:eastAsia="Calibri" w:hAnsi="Times New Roman"/>
                <w:sz w:val="16"/>
                <w:szCs w:val="16"/>
              </w:rPr>
              <w:t xml:space="preserve">CSOs, </w:t>
            </w:r>
            <w:r w:rsidR="00CF295B">
              <w:rPr>
                <w:rFonts w:ascii="Times New Roman" w:eastAsia="Calibri" w:hAnsi="Times New Roman"/>
                <w:sz w:val="16"/>
                <w:szCs w:val="16"/>
              </w:rPr>
              <w:t>p</w:t>
            </w:r>
            <w:r w:rsidRPr="0051294D">
              <w:rPr>
                <w:rFonts w:ascii="Times New Roman" w:eastAsia="Calibri" w:hAnsi="Times New Roman"/>
                <w:sz w:val="16"/>
                <w:szCs w:val="16"/>
              </w:rPr>
              <w:t xml:space="preserve">rivate </w:t>
            </w:r>
            <w:r w:rsidR="00CF295B">
              <w:rPr>
                <w:rFonts w:ascii="Times New Roman" w:eastAsia="Calibri" w:hAnsi="Times New Roman"/>
                <w:sz w:val="16"/>
                <w:szCs w:val="16"/>
              </w:rPr>
              <w:t>s</w:t>
            </w:r>
            <w:r w:rsidRPr="0051294D">
              <w:rPr>
                <w:rFonts w:ascii="Times New Roman" w:eastAsia="Calibri" w:hAnsi="Times New Roman"/>
                <w:sz w:val="16"/>
                <w:szCs w:val="16"/>
              </w:rPr>
              <w:t>ector</w:t>
            </w:r>
          </w:p>
          <w:p w14:paraId="5C170E53" w14:textId="77777777" w:rsidR="002129B7" w:rsidRPr="0051294D" w:rsidRDefault="002129B7" w:rsidP="00C658B7">
            <w:pPr>
              <w:pStyle w:val="Pasus1"/>
              <w:spacing w:before="0" w:after="0"/>
              <w:rPr>
                <w:rFonts w:ascii="Times New Roman" w:eastAsia="Calibri" w:hAnsi="Times New Roman"/>
                <w:sz w:val="16"/>
                <w:szCs w:val="16"/>
              </w:rPr>
            </w:pPr>
            <w:r w:rsidRPr="0051294D">
              <w:rPr>
                <w:rFonts w:ascii="Times New Roman" w:eastAsia="Calibri" w:hAnsi="Times New Roman"/>
                <w:sz w:val="16"/>
                <w:szCs w:val="16"/>
              </w:rPr>
              <w:t xml:space="preserve"> </w:t>
            </w:r>
          </w:p>
          <w:p w14:paraId="7A7FFB3E" w14:textId="5DBD1686" w:rsidR="002129B7" w:rsidRPr="0051294D" w:rsidRDefault="002129B7" w:rsidP="00AC6896">
            <w:pPr>
              <w:pStyle w:val="Pasus1"/>
              <w:rPr>
                <w:rFonts w:ascii="Times New Roman" w:eastAsia="Calibri" w:hAnsi="Times New Roman" w:cstheme="majorBidi"/>
                <w:b/>
                <w:bCs/>
                <w:color w:val="4F81BD" w:themeColor="accent1"/>
                <w:sz w:val="16"/>
                <w:szCs w:val="16"/>
              </w:rPr>
            </w:pPr>
            <w:r w:rsidRPr="0051294D">
              <w:rPr>
                <w:rFonts w:ascii="Times New Roman" w:eastAsia="Calibri" w:hAnsi="Times New Roman"/>
                <w:sz w:val="16"/>
                <w:szCs w:val="16"/>
              </w:rPr>
              <w:t xml:space="preserve">FAO, </w:t>
            </w:r>
            <w:r w:rsidR="00E538F2">
              <w:rPr>
                <w:rFonts w:ascii="Times New Roman" w:eastAsia="Calibri" w:hAnsi="Times New Roman"/>
                <w:sz w:val="16"/>
                <w:szCs w:val="16"/>
              </w:rPr>
              <w:t>United Nations Office for the Coordination of Humanitarian Affairs</w:t>
            </w:r>
            <w:r w:rsidRPr="0051294D">
              <w:rPr>
                <w:rFonts w:ascii="Times New Roman" w:eastAsia="Calibri" w:hAnsi="Times New Roman"/>
                <w:sz w:val="16"/>
                <w:szCs w:val="16"/>
              </w:rPr>
              <w:t>, W</w:t>
            </w:r>
            <w:r w:rsidR="00CF295B">
              <w:rPr>
                <w:rFonts w:ascii="Times New Roman" w:eastAsia="Calibri" w:hAnsi="Times New Roman"/>
                <w:sz w:val="16"/>
                <w:szCs w:val="16"/>
              </w:rPr>
              <w:t>orld Food Programme</w:t>
            </w:r>
            <w:r w:rsidRPr="0051294D">
              <w:rPr>
                <w:rFonts w:ascii="Times New Roman" w:eastAsia="Calibri" w:hAnsi="Times New Roman"/>
                <w:sz w:val="16"/>
                <w:szCs w:val="16"/>
              </w:rPr>
              <w:t xml:space="preserve">, UNICEF  </w:t>
            </w:r>
          </w:p>
          <w:p w14:paraId="1AD6772E" w14:textId="70552542" w:rsidR="002129B7" w:rsidRPr="0051294D" w:rsidRDefault="002129B7" w:rsidP="00AC6896">
            <w:pPr>
              <w:pStyle w:val="Pasus1"/>
              <w:rPr>
                <w:rFonts w:ascii="Times New Roman" w:eastAsiaTheme="majorEastAsia" w:hAnsi="Times New Roman" w:cstheme="majorBidi"/>
                <w:b/>
                <w:bCs/>
                <w:iCs/>
                <w:color w:val="000000"/>
                <w:sz w:val="16"/>
                <w:szCs w:val="16"/>
              </w:rPr>
            </w:pPr>
            <w:r w:rsidRPr="0051294D">
              <w:rPr>
                <w:rFonts w:ascii="Times New Roman" w:eastAsia="Calibri" w:hAnsi="Times New Roman"/>
                <w:sz w:val="16"/>
                <w:szCs w:val="16"/>
              </w:rPr>
              <w:t>Development partners: Japan, Russia, IFIs (IDB, W</w:t>
            </w:r>
            <w:r w:rsidR="00CF295B">
              <w:rPr>
                <w:rFonts w:ascii="Times New Roman" w:eastAsia="Calibri" w:hAnsi="Times New Roman"/>
                <w:sz w:val="16"/>
                <w:szCs w:val="16"/>
              </w:rPr>
              <w:t xml:space="preserve">orld </w:t>
            </w:r>
            <w:r w:rsidRPr="0051294D">
              <w:rPr>
                <w:rFonts w:ascii="Times New Roman" w:eastAsia="Calibri" w:hAnsi="Times New Roman"/>
                <w:sz w:val="16"/>
                <w:szCs w:val="16"/>
              </w:rPr>
              <w:t>B</w:t>
            </w:r>
            <w:r w:rsidR="00CF295B">
              <w:rPr>
                <w:rFonts w:ascii="Times New Roman" w:eastAsia="Calibri" w:hAnsi="Times New Roman"/>
                <w:sz w:val="16"/>
                <w:szCs w:val="16"/>
              </w:rPr>
              <w:t>ank</w:t>
            </w:r>
            <w:r w:rsidRPr="0051294D">
              <w:rPr>
                <w:rFonts w:ascii="Times New Roman" w:eastAsia="Calibri" w:hAnsi="Times New Roman"/>
                <w:sz w:val="16"/>
                <w:szCs w:val="16"/>
              </w:rPr>
              <w:t xml:space="preserve">, ADB, </w:t>
            </w:r>
            <w:r w:rsidR="007E66ED">
              <w:rPr>
                <w:rFonts w:ascii="Times New Roman" w:eastAsia="Calibri" w:hAnsi="Times New Roman"/>
                <w:sz w:val="16"/>
                <w:szCs w:val="16"/>
              </w:rPr>
              <w:t xml:space="preserve">EBRD) </w:t>
            </w:r>
          </w:p>
        </w:tc>
        <w:tc>
          <w:tcPr>
            <w:tcW w:w="469" w:type="pct"/>
            <w:tcMar>
              <w:top w:w="15" w:type="dxa"/>
              <w:left w:w="108" w:type="dxa"/>
              <w:bottom w:w="0" w:type="dxa"/>
              <w:right w:w="108" w:type="dxa"/>
            </w:tcMar>
          </w:tcPr>
          <w:p w14:paraId="30A6EAB7" w14:textId="77777777" w:rsidR="002129B7" w:rsidRPr="0051294D" w:rsidRDefault="002129B7" w:rsidP="00C658B7">
            <w:pPr>
              <w:rPr>
                <w:b/>
                <w:color w:val="000000"/>
                <w:sz w:val="16"/>
                <w:szCs w:val="16"/>
              </w:rPr>
            </w:pPr>
            <w:r w:rsidRPr="0051294D">
              <w:rPr>
                <w:b/>
                <w:color w:val="000000"/>
                <w:sz w:val="16"/>
                <w:szCs w:val="16"/>
              </w:rPr>
              <w:lastRenderedPageBreak/>
              <w:t>Regular:</w:t>
            </w:r>
          </w:p>
          <w:p w14:paraId="0E874181" w14:textId="403838B6" w:rsidR="002129B7" w:rsidRPr="0051294D" w:rsidRDefault="002129B7" w:rsidP="00C658B7">
            <w:pPr>
              <w:rPr>
                <w:b/>
                <w:sz w:val="16"/>
                <w:szCs w:val="16"/>
              </w:rPr>
            </w:pPr>
            <w:r w:rsidRPr="0051294D">
              <w:rPr>
                <w:b/>
                <w:sz w:val="16"/>
                <w:szCs w:val="16"/>
              </w:rPr>
              <w:t>4,000</w:t>
            </w:r>
          </w:p>
          <w:p w14:paraId="75E8AF3A" w14:textId="77777777" w:rsidR="002129B7" w:rsidRPr="0051294D" w:rsidRDefault="002129B7" w:rsidP="00C658B7">
            <w:pPr>
              <w:rPr>
                <w:b/>
                <w:sz w:val="16"/>
                <w:szCs w:val="16"/>
              </w:rPr>
            </w:pPr>
          </w:p>
          <w:p w14:paraId="7A973B34" w14:textId="77777777" w:rsidR="002129B7" w:rsidRPr="0051294D" w:rsidRDefault="002129B7" w:rsidP="00C658B7">
            <w:pPr>
              <w:rPr>
                <w:b/>
                <w:sz w:val="16"/>
                <w:szCs w:val="16"/>
              </w:rPr>
            </w:pPr>
          </w:p>
          <w:p w14:paraId="16C732E7" w14:textId="77777777" w:rsidR="002129B7" w:rsidRPr="0051294D" w:rsidRDefault="002129B7" w:rsidP="00C658B7">
            <w:pPr>
              <w:rPr>
                <w:b/>
                <w:color w:val="000000"/>
                <w:sz w:val="16"/>
                <w:szCs w:val="16"/>
              </w:rPr>
            </w:pPr>
            <w:r w:rsidRPr="0051294D">
              <w:rPr>
                <w:b/>
                <w:color w:val="000000"/>
                <w:sz w:val="16"/>
                <w:szCs w:val="16"/>
              </w:rPr>
              <w:t>Other:</w:t>
            </w:r>
          </w:p>
          <w:p w14:paraId="72F888E1" w14:textId="764C648E" w:rsidR="002129B7" w:rsidRPr="0051294D" w:rsidRDefault="002129B7" w:rsidP="00C658B7">
            <w:pPr>
              <w:rPr>
                <w:b/>
                <w:color w:val="000000"/>
                <w:sz w:val="16"/>
                <w:szCs w:val="16"/>
              </w:rPr>
            </w:pPr>
            <w:r w:rsidRPr="0051294D">
              <w:rPr>
                <w:b/>
                <w:sz w:val="16"/>
                <w:szCs w:val="16"/>
              </w:rPr>
              <w:t>45,863</w:t>
            </w:r>
          </w:p>
        </w:tc>
      </w:tr>
    </w:tbl>
    <w:p w14:paraId="20E474A5" w14:textId="77777777" w:rsidR="002129B7" w:rsidRPr="00FC10FC" w:rsidRDefault="002129B7" w:rsidP="002129B7">
      <w:pPr>
        <w:rPr>
          <w:lang w:val="en-GB"/>
        </w:rPr>
      </w:pPr>
    </w:p>
    <w:p w14:paraId="0FDB671D" w14:textId="4D4C0569" w:rsidR="002129B7" w:rsidRPr="00E86DAE" w:rsidRDefault="00E86DAE" w:rsidP="00E86DAE">
      <w:pPr>
        <w:autoSpaceDE w:val="0"/>
        <w:autoSpaceDN w:val="0"/>
        <w:adjustRightInd w:val="0"/>
        <w:spacing w:before="120" w:after="120"/>
        <w:ind w:right="1210"/>
        <w:jc w:val="center"/>
        <w:rPr>
          <w:lang w:val="en-GB"/>
        </w:rPr>
      </w:pPr>
      <w:r w:rsidRPr="00E86DAE">
        <w:rPr>
          <w:b/>
          <w:noProof/>
          <w:color w:val="000000"/>
          <w:sz w:val="16"/>
          <w:szCs w:val="16"/>
        </w:rPr>
        <w:drawing>
          <wp:inline distT="0" distB="0" distL="0" distR="0" wp14:anchorId="78787405" wp14:editId="4007CCB7">
            <wp:extent cx="942975" cy="285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42975" cy="28575"/>
                    </a:xfrm>
                    <a:prstGeom prst="rect">
                      <a:avLst/>
                    </a:prstGeom>
                    <a:noFill/>
                    <a:ln>
                      <a:noFill/>
                    </a:ln>
                  </pic:spPr>
                </pic:pic>
              </a:graphicData>
            </a:graphic>
          </wp:inline>
        </w:drawing>
      </w:r>
    </w:p>
    <w:sectPr w:rsidR="002129B7" w:rsidRPr="00E86DAE" w:rsidSect="00C658B7">
      <w:headerReference w:type="even" r:id="rId25"/>
      <w:headerReference w:type="default" r:id="rId26"/>
      <w:footerReference w:type="even" r:id="rId27"/>
      <w:headerReference w:type="first" r:id="rId28"/>
      <w:footerReference w:type="first" r:id="rId29"/>
      <w:pgSz w:w="15840" w:h="12240" w:orient="landscape"/>
      <w:pgMar w:top="1440" w:right="1152" w:bottom="1440" w:left="1152"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B4A404" w14:textId="77777777" w:rsidR="00D608A1" w:rsidRDefault="00D608A1" w:rsidP="00441061">
      <w:r>
        <w:separator/>
      </w:r>
    </w:p>
  </w:endnote>
  <w:endnote w:type="continuationSeparator" w:id="0">
    <w:p w14:paraId="3C8EF820" w14:textId="77777777" w:rsidR="00D608A1" w:rsidRDefault="00D608A1" w:rsidP="00441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TSans-Regular">
    <w:altName w:val="MS Gothic"/>
    <w:panose1 w:val="00000000000000000000"/>
    <w:charset w:val="80"/>
    <w:family w:val="auto"/>
    <w:notTrueType/>
    <w:pitch w:val="default"/>
    <w:sig w:usb0="00000003" w:usb1="08070000" w:usb2="00000010" w:usb3="00000000" w:csb0="0002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76550" w14:textId="61DECE02" w:rsidR="00E112CD" w:rsidRPr="005841A3" w:rsidRDefault="00E112CD">
    <w:pPr>
      <w:pStyle w:val="Footer"/>
      <w:rPr>
        <w:b/>
        <w:sz w:val="17"/>
        <w:szCs w:val="17"/>
      </w:rPr>
    </w:pPr>
    <w:r>
      <w:fldChar w:fldCharType="begin"/>
    </w:r>
    <w:r>
      <w:instrText xml:space="preserve"> PAGE   \* MERGEFORMAT </w:instrText>
    </w:r>
    <w:r>
      <w:fldChar w:fldCharType="separate"/>
    </w:r>
    <w:r w:rsidRPr="00E86DAE">
      <w:rPr>
        <w:b/>
        <w:noProof/>
        <w:sz w:val="17"/>
        <w:szCs w:val="17"/>
      </w:rPr>
      <w:t>2</w:t>
    </w:r>
    <w:r>
      <w:rPr>
        <w:b/>
        <w:noProof/>
        <w:sz w:val="17"/>
        <w:szCs w:val="1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796D4" w14:textId="19E7962A" w:rsidR="00E112CD" w:rsidRPr="00C658B7" w:rsidRDefault="00E112CD" w:rsidP="00C658B7">
    <w:pPr>
      <w:pStyle w:val="Footer"/>
      <w:jc w:val="right"/>
      <w:rPr>
        <w:b/>
        <w:sz w:val="17"/>
        <w:szCs w:val="17"/>
      </w:rPr>
    </w:pPr>
    <w:r>
      <w:fldChar w:fldCharType="begin"/>
    </w:r>
    <w:r>
      <w:instrText xml:space="preserve"> PAGE   \* MERGEFORMAT </w:instrText>
    </w:r>
    <w:r>
      <w:fldChar w:fldCharType="separate"/>
    </w:r>
    <w:r w:rsidRPr="00C658B7">
      <w:rPr>
        <w:b/>
        <w:noProof/>
        <w:sz w:val="17"/>
        <w:szCs w:val="17"/>
      </w:rPr>
      <w:t>9</w:t>
    </w:r>
    <w:r>
      <w:rPr>
        <w:b/>
        <w:noProof/>
        <w:sz w:val="17"/>
        <w:szCs w:val="17"/>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8488249"/>
      <w:docPartObj>
        <w:docPartGallery w:val="Page Numbers (Bottom of Page)"/>
        <w:docPartUnique/>
      </w:docPartObj>
    </w:sdtPr>
    <w:sdtEndPr>
      <w:rPr>
        <w:b/>
        <w:noProof/>
        <w:sz w:val="17"/>
        <w:szCs w:val="17"/>
      </w:rPr>
    </w:sdtEndPr>
    <w:sdtContent>
      <w:p w14:paraId="1FD902C7" w14:textId="7B014900" w:rsidR="00E112CD" w:rsidRPr="00612DA4" w:rsidRDefault="00E112CD" w:rsidP="00C658B7">
        <w:pPr>
          <w:pStyle w:val="Footer"/>
          <w:ind w:hanging="630"/>
          <w:rPr>
            <w:b/>
            <w:sz w:val="17"/>
            <w:szCs w:val="17"/>
          </w:rPr>
        </w:pPr>
        <w:r w:rsidRPr="00612DA4">
          <w:rPr>
            <w:b/>
            <w:sz w:val="17"/>
            <w:szCs w:val="17"/>
          </w:rPr>
          <w:fldChar w:fldCharType="begin"/>
        </w:r>
        <w:r w:rsidRPr="00612DA4">
          <w:rPr>
            <w:b/>
            <w:sz w:val="17"/>
            <w:szCs w:val="17"/>
          </w:rPr>
          <w:instrText xml:space="preserve"> PAGE   \* MERGEFORMAT </w:instrText>
        </w:r>
        <w:r w:rsidRPr="00612DA4">
          <w:rPr>
            <w:b/>
            <w:sz w:val="17"/>
            <w:szCs w:val="17"/>
          </w:rPr>
          <w:fldChar w:fldCharType="separate"/>
        </w:r>
        <w:r w:rsidR="00375734">
          <w:rPr>
            <w:b/>
            <w:noProof/>
            <w:sz w:val="17"/>
            <w:szCs w:val="17"/>
          </w:rPr>
          <w:t>8</w:t>
        </w:r>
        <w:r w:rsidRPr="00612DA4">
          <w:rPr>
            <w:b/>
            <w:noProof/>
            <w:sz w:val="17"/>
            <w:szCs w:val="17"/>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9850276"/>
      <w:docPartObj>
        <w:docPartGallery w:val="Page Numbers (Bottom of Page)"/>
        <w:docPartUnique/>
      </w:docPartObj>
    </w:sdtPr>
    <w:sdtEndPr>
      <w:rPr>
        <w:b/>
        <w:noProof/>
        <w:sz w:val="17"/>
        <w:szCs w:val="17"/>
      </w:rPr>
    </w:sdtEndPr>
    <w:sdtContent>
      <w:p w14:paraId="02703520" w14:textId="0FE53328" w:rsidR="00E112CD" w:rsidRPr="00A66745" w:rsidRDefault="00E112CD" w:rsidP="00C658B7">
        <w:pPr>
          <w:pStyle w:val="Footer"/>
          <w:ind w:right="-630"/>
          <w:jc w:val="right"/>
          <w:rPr>
            <w:b/>
            <w:sz w:val="17"/>
            <w:szCs w:val="17"/>
          </w:rPr>
        </w:pPr>
        <w:r w:rsidRPr="00A66745">
          <w:rPr>
            <w:b/>
            <w:sz w:val="17"/>
            <w:szCs w:val="17"/>
          </w:rPr>
          <w:fldChar w:fldCharType="begin"/>
        </w:r>
        <w:r w:rsidRPr="00A66745">
          <w:rPr>
            <w:b/>
            <w:sz w:val="17"/>
            <w:szCs w:val="17"/>
          </w:rPr>
          <w:instrText xml:space="preserve"> PAGE   \* MERGEFORMAT </w:instrText>
        </w:r>
        <w:r w:rsidRPr="00A66745">
          <w:rPr>
            <w:b/>
            <w:sz w:val="17"/>
            <w:szCs w:val="17"/>
          </w:rPr>
          <w:fldChar w:fldCharType="separate"/>
        </w:r>
        <w:r w:rsidR="00375734">
          <w:rPr>
            <w:b/>
            <w:noProof/>
            <w:sz w:val="17"/>
            <w:szCs w:val="17"/>
          </w:rPr>
          <w:t>13</w:t>
        </w:r>
        <w:r w:rsidRPr="00A66745">
          <w:rPr>
            <w:b/>
            <w:noProof/>
            <w:sz w:val="17"/>
            <w:szCs w:val="17"/>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0093494"/>
      <w:docPartObj>
        <w:docPartGallery w:val="Page Numbers (Bottom of Page)"/>
        <w:docPartUnique/>
      </w:docPartObj>
    </w:sdtPr>
    <w:sdtEndPr>
      <w:rPr>
        <w:b/>
        <w:noProof/>
        <w:sz w:val="17"/>
        <w:szCs w:val="17"/>
      </w:rPr>
    </w:sdtEndPr>
    <w:sdtContent>
      <w:p w14:paraId="448D03C1" w14:textId="14674B8C" w:rsidR="00E112CD" w:rsidRPr="000B54EF" w:rsidRDefault="00E112CD">
        <w:pPr>
          <w:pStyle w:val="Footer"/>
          <w:rPr>
            <w:b/>
            <w:sz w:val="17"/>
            <w:szCs w:val="17"/>
          </w:rPr>
        </w:pPr>
        <w:r w:rsidRPr="000B54EF">
          <w:rPr>
            <w:b/>
            <w:sz w:val="17"/>
            <w:szCs w:val="17"/>
          </w:rPr>
          <w:fldChar w:fldCharType="begin"/>
        </w:r>
        <w:r w:rsidRPr="000B54EF">
          <w:rPr>
            <w:b/>
            <w:sz w:val="17"/>
            <w:szCs w:val="17"/>
          </w:rPr>
          <w:instrText xml:space="preserve"> PAGE   \* MERGEFORMAT </w:instrText>
        </w:r>
        <w:r w:rsidRPr="000B54EF">
          <w:rPr>
            <w:b/>
            <w:sz w:val="17"/>
            <w:szCs w:val="17"/>
          </w:rPr>
          <w:fldChar w:fldCharType="separate"/>
        </w:r>
        <w:r w:rsidR="00375734">
          <w:rPr>
            <w:b/>
            <w:noProof/>
            <w:sz w:val="17"/>
            <w:szCs w:val="17"/>
          </w:rPr>
          <w:t>2</w:t>
        </w:r>
        <w:r w:rsidRPr="000B54EF">
          <w:rPr>
            <w:b/>
            <w:noProof/>
            <w:sz w:val="17"/>
            <w:szCs w:val="17"/>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6619300"/>
      <w:docPartObj>
        <w:docPartGallery w:val="Page Numbers (Bottom of Page)"/>
        <w:docPartUnique/>
      </w:docPartObj>
    </w:sdtPr>
    <w:sdtEndPr>
      <w:rPr>
        <w:b/>
        <w:noProof/>
        <w:sz w:val="17"/>
        <w:szCs w:val="17"/>
      </w:rPr>
    </w:sdtEndPr>
    <w:sdtContent>
      <w:p w14:paraId="69EED288" w14:textId="77E25C3F" w:rsidR="003737CD" w:rsidRPr="00612DA4" w:rsidRDefault="003737CD" w:rsidP="003737CD">
        <w:pPr>
          <w:pStyle w:val="Footer"/>
          <w:rPr>
            <w:b/>
            <w:sz w:val="17"/>
            <w:szCs w:val="17"/>
          </w:rPr>
        </w:pPr>
        <w:r w:rsidRPr="00612DA4">
          <w:rPr>
            <w:b/>
            <w:sz w:val="17"/>
            <w:szCs w:val="17"/>
          </w:rPr>
          <w:fldChar w:fldCharType="begin"/>
        </w:r>
        <w:r w:rsidRPr="00612DA4">
          <w:rPr>
            <w:b/>
            <w:sz w:val="17"/>
            <w:szCs w:val="17"/>
          </w:rPr>
          <w:instrText xml:space="preserve"> PAGE   \* MERGEFORMAT </w:instrText>
        </w:r>
        <w:r w:rsidRPr="00612DA4">
          <w:rPr>
            <w:b/>
            <w:sz w:val="17"/>
            <w:szCs w:val="17"/>
          </w:rPr>
          <w:fldChar w:fldCharType="separate"/>
        </w:r>
        <w:r w:rsidR="00375734">
          <w:rPr>
            <w:b/>
            <w:noProof/>
            <w:sz w:val="17"/>
            <w:szCs w:val="17"/>
          </w:rPr>
          <w:t>14</w:t>
        </w:r>
        <w:r w:rsidRPr="00612DA4">
          <w:rPr>
            <w:b/>
            <w:noProof/>
            <w:sz w:val="17"/>
            <w:szCs w:val="17"/>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sz w:val="17"/>
        <w:szCs w:val="17"/>
      </w:rPr>
      <w:id w:val="1615405108"/>
      <w:docPartObj>
        <w:docPartGallery w:val="Page Numbers (Bottom of Page)"/>
        <w:docPartUnique/>
      </w:docPartObj>
    </w:sdtPr>
    <w:sdtEndPr>
      <w:rPr>
        <w:noProof/>
      </w:rPr>
    </w:sdtEndPr>
    <w:sdtContent>
      <w:p w14:paraId="57580BF0" w14:textId="6B63B342" w:rsidR="00E112CD" w:rsidRPr="00C658B7" w:rsidRDefault="00E112CD">
        <w:pPr>
          <w:pStyle w:val="Footer"/>
          <w:rPr>
            <w:b/>
            <w:sz w:val="17"/>
            <w:szCs w:val="17"/>
          </w:rPr>
        </w:pPr>
        <w:r w:rsidRPr="00C658B7">
          <w:rPr>
            <w:b/>
            <w:sz w:val="17"/>
            <w:szCs w:val="17"/>
          </w:rPr>
          <w:fldChar w:fldCharType="begin"/>
        </w:r>
        <w:r w:rsidRPr="00C658B7">
          <w:rPr>
            <w:b/>
            <w:sz w:val="17"/>
            <w:szCs w:val="17"/>
          </w:rPr>
          <w:instrText xml:space="preserve"> PAGE   \* MERGEFORMAT </w:instrText>
        </w:r>
        <w:r w:rsidRPr="00C658B7">
          <w:rPr>
            <w:b/>
            <w:sz w:val="17"/>
            <w:szCs w:val="17"/>
          </w:rPr>
          <w:fldChar w:fldCharType="separate"/>
        </w:r>
        <w:r w:rsidR="00375734">
          <w:rPr>
            <w:b/>
            <w:noProof/>
            <w:sz w:val="17"/>
            <w:szCs w:val="17"/>
          </w:rPr>
          <w:t>9</w:t>
        </w:r>
        <w:r w:rsidRPr="00C658B7">
          <w:rPr>
            <w:b/>
            <w:noProof/>
            <w:sz w:val="17"/>
            <w:szCs w:val="17"/>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16CEC2" w14:textId="77777777" w:rsidR="00D608A1" w:rsidRDefault="00D608A1" w:rsidP="00441061">
      <w:r>
        <w:separator/>
      </w:r>
    </w:p>
  </w:footnote>
  <w:footnote w:type="continuationSeparator" w:id="0">
    <w:p w14:paraId="79F80A83" w14:textId="77777777" w:rsidR="00D608A1" w:rsidRDefault="00D608A1" w:rsidP="00441061">
      <w:r>
        <w:continuationSeparator/>
      </w:r>
    </w:p>
  </w:footnote>
  <w:footnote w:id="1">
    <w:p w14:paraId="54EA67AE" w14:textId="27DD5A1A" w:rsidR="00E112CD" w:rsidRPr="007F3084" w:rsidRDefault="00E112CD" w:rsidP="00C77EED">
      <w:pPr>
        <w:pStyle w:val="FootnoteText"/>
        <w:ind w:right="-900"/>
        <w:rPr>
          <w:rFonts w:ascii="Times New Roman" w:hAnsi="Times New Roman"/>
          <w:sz w:val="16"/>
          <w:szCs w:val="16"/>
        </w:rPr>
      </w:pPr>
      <w:r w:rsidRPr="00D425DB">
        <w:rPr>
          <w:rStyle w:val="FootnoteReference"/>
          <w:rFonts w:ascii="Times New Roman" w:hAnsi="Times New Roman"/>
          <w:sz w:val="16"/>
          <w:szCs w:val="16"/>
        </w:rPr>
        <w:footnoteRef/>
      </w:r>
      <w:r>
        <w:rPr>
          <w:rFonts w:ascii="Times New Roman" w:hAnsi="Times New Roman"/>
          <w:color w:val="000000"/>
          <w:sz w:val="16"/>
          <w:szCs w:val="16"/>
        </w:rPr>
        <w:t>O</w:t>
      </w:r>
      <w:r w:rsidRPr="007F3084">
        <w:rPr>
          <w:rFonts w:ascii="Times New Roman" w:hAnsi="Times New Roman"/>
          <w:color w:val="000000"/>
          <w:sz w:val="16"/>
          <w:szCs w:val="16"/>
        </w:rPr>
        <w:t>ver half of population is under 25</w:t>
      </w:r>
      <w:r>
        <w:rPr>
          <w:rFonts w:ascii="Times New Roman" w:hAnsi="Times New Roman"/>
          <w:color w:val="000000"/>
          <w:sz w:val="16"/>
          <w:szCs w:val="16"/>
        </w:rPr>
        <w:t xml:space="preserve">. </w:t>
      </w:r>
      <w:r w:rsidRPr="00A722FA">
        <w:rPr>
          <w:rFonts w:ascii="Times New Roman" w:hAnsi="Times New Roman"/>
          <w:sz w:val="16"/>
          <w:szCs w:val="16"/>
        </w:rPr>
        <w:t xml:space="preserve">National Statistical </w:t>
      </w:r>
      <w:r w:rsidRPr="009348B2">
        <w:rPr>
          <w:rFonts w:ascii="Times New Roman" w:hAnsi="Times New Roman"/>
          <w:sz w:val="16"/>
          <w:szCs w:val="16"/>
        </w:rPr>
        <w:t>Committee</w:t>
      </w:r>
    </w:p>
  </w:footnote>
  <w:footnote w:id="2">
    <w:p w14:paraId="3F984FBC" w14:textId="77777777" w:rsidR="00E112CD" w:rsidRPr="00F571AC" w:rsidRDefault="00E112CD" w:rsidP="00C77EED">
      <w:pPr>
        <w:pStyle w:val="FootnoteText"/>
        <w:ind w:right="-900"/>
        <w:rPr>
          <w:rFonts w:ascii="Times New Roman" w:hAnsi="Times New Roman"/>
          <w:sz w:val="16"/>
          <w:szCs w:val="16"/>
        </w:rPr>
      </w:pPr>
      <w:r w:rsidRPr="00F571AC">
        <w:rPr>
          <w:rStyle w:val="FootnoteReference"/>
          <w:rFonts w:ascii="Times New Roman" w:hAnsi="Times New Roman"/>
          <w:sz w:val="16"/>
          <w:szCs w:val="16"/>
        </w:rPr>
        <w:footnoteRef/>
      </w:r>
      <w:r w:rsidRPr="00F571AC">
        <w:rPr>
          <w:rFonts w:ascii="Times New Roman" w:hAnsi="Times New Roman"/>
          <w:sz w:val="16"/>
          <w:szCs w:val="16"/>
        </w:rPr>
        <w:t xml:space="preserve">http://data.worldbank.org/country/kyrgyz-republic </w:t>
      </w:r>
    </w:p>
  </w:footnote>
  <w:footnote w:id="3">
    <w:p w14:paraId="5137AAC0" w14:textId="77777777" w:rsidR="00E112CD" w:rsidRPr="00F571AC" w:rsidRDefault="00E112CD" w:rsidP="00C77EED">
      <w:pPr>
        <w:pStyle w:val="FootnoteText"/>
        <w:ind w:right="-900"/>
        <w:rPr>
          <w:rFonts w:ascii="Times New Roman" w:hAnsi="Times New Roman"/>
          <w:sz w:val="16"/>
          <w:szCs w:val="16"/>
        </w:rPr>
      </w:pPr>
      <w:r w:rsidRPr="00F571AC">
        <w:rPr>
          <w:rStyle w:val="FootnoteReference"/>
          <w:rFonts w:ascii="Times New Roman" w:hAnsi="Times New Roman"/>
          <w:sz w:val="16"/>
          <w:szCs w:val="16"/>
        </w:rPr>
        <w:footnoteRef/>
      </w:r>
      <w:r w:rsidRPr="00F571AC">
        <w:rPr>
          <w:rFonts w:ascii="Times New Roman" w:hAnsi="Times New Roman"/>
          <w:sz w:val="16"/>
          <w:szCs w:val="16"/>
        </w:rPr>
        <w:t xml:space="preserve"> http://hdr.undp.org/sites/all/themes/hdr_theme/country-notes/KGZ.pdf</w:t>
      </w:r>
    </w:p>
  </w:footnote>
  <w:footnote w:id="4">
    <w:p w14:paraId="5F9E5E37" w14:textId="33D98D2B" w:rsidR="00E112CD" w:rsidRPr="007C4258" w:rsidRDefault="00E112CD" w:rsidP="00C77EED">
      <w:pPr>
        <w:pStyle w:val="FootnoteText"/>
        <w:ind w:right="-900"/>
        <w:rPr>
          <w:rFonts w:ascii="Times New Roman" w:hAnsi="Times New Roman"/>
          <w:sz w:val="16"/>
          <w:szCs w:val="16"/>
        </w:rPr>
      </w:pPr>
      <w:r w:rsidRPr="007C4258">
        <w:rPr>
          <w:rStyle w:val="FootnoteReference"/>
          <w:rFonts w:ascii="Times New Roman" w:hAnsi="Times New Roman"/>
          <w:sz w:val="16"/>
          <w:szCs w:val="16"/>
        </w:rPr>
        <w:footnoteRef/>
      </w:r>
      <w:r>
        <w:rPr>
          <w:rFonts w:ascii="Times New Roman" w:hAnsi="Times New Roman"/>
          <w:sz w:val="16"/>
          <w:szCs w:val="16"/>
          <w:lang w:val="en"/>
        </w:rPr>
        <w:t>P</w:t>
      </w:r>
      <w:r w:rsidRPr="007C4258">
        <w:rPr>
          <w:rFonts w:ascii="Times New Roman" w:hAnsi="Times New Roman"/>
          <w:sz w:val="16"/>
          <w:szCs w:val="16"/>
          <w:lang w:val="en"/>
        </w:rPr>
        <w:t xml:space="preserve">arliamentary elections in 2015 </w:t>
      </w:r>
      <w:r>
        <w:rPr>
          <w:rFonts w:ascii="Times New Roman" w:hAnsi="Times New Roman"/>
          <w:sz w:val="16"/>
          <w:szCs w:val="16"/>
          <w:lang w:val="en"/>
        </w:rPr>
        <w:t>were</w:t>
      </w:r>
      <w:r w:rsidRPr="007C4258">
        <w:rPr>
          <w:rFonts w:ascii="Times New Roman" w:hAnsi="Times New Roman"/>
          <w:sz w:val="16"/>
          <w:szCs w:val="16"/>
          <w:lang w:val="en"/>
        </w:rPr>
        <w:t xml:space="preserve"> competitive and provided voters with a range of choice</w:t>
      </w:r>
      <w:r>
        <w:rPr>
          <w:rFonts w:ascii="Times New Roman" w:hAnsi="Times New Roman"/>
          <w:sz w:val="16"/>
          <w:szCs w:val="16"/>
          <w:lang w:val="en"/>
        </w:rPr>
        <w:t>s. Organization for Security and Cooperation in Europe</w:t>
      </w:r>
    </w:p>
  </w:footnote>
  <w:footnote w:id="5">
    <w:p w14:paraId="37840A5A" w14:textId="36C2B48C" w:rsidR="00E112CD" w:rsidRDefault="00E112CD" w:rsidP="00C77EED">
      <w:pPr>
        <w:pStyle w:val="FootnoteText"/>
        <w:ind w:right="-900"/>
      </w:pPr>
      <w:r w:rsidRPr="00D425DB">
        <w:rPr>
          <w:rStyle w:val="FootnoteReference"/>
          <w:rFonts w:ascii="Times New Roman" w:hAnsi="Times New Roman"/>
          <w:sz w:val="16"/>
          <w:szCs w:val="16"/>
        </w:rPr>
        <w:footnoteRef/>
      </w:r>
      <w:r>
        <w:rPr>
          <w:rFonts w:ascii="Times New Roman" w:hAnsi="Times New Roman"/>
          <w:sz w:val="16"/>
          <w:szCs w:val="16"/>
        </w:rPr>
        <w:t>T</w:t>
      </w:r>
      <w:r w:rsidRPr="00967556">
        <w:rPr>
          <w:rFonts w:ascii="Times New Roman" w:hAnsi="Times New Roman"/>
          <w:sz w:val="16"/>
          <w:szCs w:val="16"/>
        </w:rPr>
        <w:t xml:space="preserve">he </w:t>
      </w:r>
      <w:r>
        <w:rPr>
          <w:rFonts w:ascii="Times New Roman" w:hAnsi="Times New Roman"/>
          <w:sz w:val="16"/>
          <w:szCs w:val="16"/>
        </w:rPr>
        <w:t>e</w:t>
      </w:r>
      <w:r w:rsidRPr="00967556">
        <w:rPr>
          <w:rFonts w:ascii="Times New Roman" w:hAnsi="Times New Roman"/>
          <w:sz w:val="16"/>
          <w:szCs w:val="16"/>
        </w:rPr>
        <w:t xml:space="preserve">lectoral </w:t>
      </w:r>
      <w:r>
        <w:rPr>
          <w:rFonts w:ascii="Times New Roman" w:hAnsi="Times New Roman"/>
          <w:sz w:val="16"/>
          <w:szCs w:val="16"/>
        </w:rPr>
        <w:t>l</w:t>
      </w:r>
      <w:r w:rsidRPr="00967556">
        <w:rPr>
          <w:rFonts w:ascii="Times New Roman" w:hAnsi="Times New Roman"/>
          <w:sz w:val="16"/>
          <w:szCs w:val="16"/>
        </w:rPr>
        <w:t xml:space="preserve">aw </w:t>
      </w:r>
      <w:r>
        <w:rPr>
          <w:rFonts w:ascii="Times New Roman" w:hAnsi="Times New Roman"/>
          <w:sz w:val="16"/>
          <w:szCs w:val="16"/>
        </w:rPr>
        <w:t>specifies</w:t>
      </w:r>
      <w:r w:rsidRPr="00967556">
        <w:rPr>
          <w:rFonts w:ascii="Times New Roman" w:hAnsi="Times New Roman"/>
          <w:sz w:val="16"/>
          <w:szCs w:val="16"/>
        </w:rPr>
        <w:t xml:space="preserve"> </w:t>
      </w:r>
      <w:r>
        <w:rPr>
          <w:rFonts w:ascii="Times New Roman" w:hAnsi="Times New Roman"/>
          <w:sz w:val="16"/>
          <w:szCs w:val="16"/>
        </w:rPr>
        <w:t xml:space="preserve">a </w:t>
      </w:r>
      <w:r w:rsidRPr="00967556">
        <w:rPr>
          <w:rFonts w:ascii="Times New Roman" w:hAnsi="Times New Roman"/>
          <w:sz w:val="16"/>
          <w:szCs w:val="16"/>
        </w:rPr>
        <w:t>30 per</w:t>
      </w:r>
      <w:r>
        <w:rPr>
          <w:rFonts w:ascii="Times New Roman" w:hAnsi="Times New Roman"/>
          <w:sz w:val="16"/>
          <w:szCs w:val="16"/>
        </w:rPr>
        <w:t xml:space="preserve"> </w:t>
      </w:r>
      <w:r w:rsidRPr="00967556">
        <w:rPr>
          <w:rFonts w:ascii="Times New Roman" w:hAnsi="Times New Roman"/>
          <w:sz w:val="16"/>
          <w:szCs w:val="16"/>
        </w:rPr>
        <w:t>cent quota for either sex on electoral lists</w:t>
      </w:r>
      <w:r>
        <w:rPr>
          <w:rFonts w:ascii="Times New Roman" w:hAnsi="Times New Roman"/>
          <w:sz w:val="16"/>
          <w:szCs w:val="16"/>
        </w:rPr>
        <w:t>.</w:t>
      </w:r>
    </w:p>
  </w:footnote>
  <w:footnote w:id="6">
    <w:p w14:paraId="5F8E026C" w14:textId="6E377137" w:rsidR="00E112CD" w:rsidRDefault="00E112CD" w:rsidP="00C77EED">
      <w:pPr>
        <w:pStyle w:val="FootnoteText"/>
        <w:ind w:right="-900"/>
      </w:pPr>
      <w:r w:rsidRPr="00D425DB">
        <w:rPr>
          <w:rStyle w:val="FootnoteReference"/>
          <w:rFonts w:ascii="Times New Roman" w:hAnsi="Times New Roman"/>
          <w:sz w:val="16"/>
          <w:szCs w:val="16"/>
        </w:rPr>
        <w:footnoteRef/>
      </w:r>
      <w:r w:rsidRPr="007F082F">
        <w:rPr>
          <w:rFonts w:ascii="Times New Roman" w:hAnsi="Times New Roman"/>
          <w:sz w:val="16"/>
          <w:szCs w:val="16"/>
        </w:rPr>
        <w:t xml:space="preserve">Country </w:t>
      </w:r>
      <w:r>
        <w:rPr>
          <w:rFonts w:ascii="Times New Roman" w:hAnsi="Times New Roman"/>
          <w:sz w:val="16"/>
          <w:szCs w:val="16"/>
        </w:rPr>
        <w:t>c</w:t>
      </w:r>
      <w:r w:rsidRPr="007F082F">
        <w:rPr>
          <w:rFonts w:ascii="Times New Roman" w:hAnsi="Times New Roman"/>
          <w:sz w:val="16"/>
          <w:szCs w:val="16"/>
        </w:rPr>
        <w:t xml:space="preserve">ommon </w:t>
      </w:r>
      <w:r>
        <w:rPr>
          <w:rFonts w:ascii="Times New Roman" w:hAnsi="Times New Roman"/>
          <w:sz w:val="16"/>
          <w:szCs w:val="16"/>
        </w:rPr>
        <w:t>a</w:t>
      </w:r>
      <w:r w:rsidRPr="007F082F">
        <w:rPr>
          <w:rFonts w:ascii="Times New Roman" w:hAnsi="Times New Roman"/>
          <w:sz w:val="16"/>
          <w:szCs w:val="16"/>
        </w:rPr>
        <w:t>ssessment</w:t>
      </w:r>
      <w:r>
        <w:rPr>
          <w:rFonts w:ascii="Times New Roman" w:hAnsi="Times New Roman"/>
          <w:sz w:val="16"/>
          <w:szCs w:val="16"/>
        </w:rPr>
        <w:t>,</w:t>
      </w:r>
      <w:r w:rsidRPr="007F082F">
        <w:rPr>
          <w:rFonts w:ascii="Times New Roman" w:hAnsi="Times New Roman"/>
          <w:sz w:val="16"/>
          <w:szCs w:val="16"/>
        </w:rPr>
        <w:t xml:space="preserve"> 2016</w:t>
      </w:r>
      <w:r>
        <w:t xml:space="preserve"> </w:t>
      </w:r>
    </w:p>
  </w:footnote>
  <w:footnote w:id="7">
    <w:p w14:paraId="65FFE05E" w14:textId="77777777" w:rsidR="00E112CD" w:rsidRDefault="00E112CD" w:rsidP="00C77EED">
      <w:pPr>
        <w:pStyle w:val="FootnoteText"/>
        <w:ind w:right="-900"/>
      </w:pPr>
      <w:r w:rsidRPr="00D425DB">
        <w:rPr>
          <w:rStyle w:val="FootnoteReference"/>
          <w:rFonts w:ascii="Times New Roman" w:hAnsi="Times New Roman"/>
          <w:sz w:val="16"/>
          <w:szCs w:val="16"/>
        </w:rPr>
        <w:footnoteRef/>
      </w:r>
      <w:r w:rsidRPr="00A1709D">
        <w:rPr>
          <w:rFonts w:ascii="Times New Roman" w:hAnsi="Times New Roman"/>
          <w:sz w:val="16"/>
          <w:szCs w:val="16"/>
        </w:rPr>
        <w:t>Ministry of Labo</w:t>
      </w:r>
      <w:r>
        <w:rPr>
          <w:rFonts w:ascii="Times New Roman" w:hAnsi="Times New Roman"/>
          <w:sz w:val="16"/>
          <w:szCs w:val="16"/>
        </w:rPr>
        <w:t>u</w:t>
      </w:r>
      <w:r w:rsidRPr="00A1709D">
        <w:rPr>
          <w:rFonts w:ascii="Times New Roman" w:hAnsi="Times New Roman"/>
          <w:sz w:val="16"/>
          <w:szCs w:val="16"/>
        </w:rPr>
        <w:t>r and Social Development</w:t>
      </w:r>
      <w:r>
        <w:t xml:space="preserve"> </w:t>
      </w:r>
    </w:p>
  </w:footnote>
  <w:footnote w:id="8">
    <w:p w14:paraId="244F6F03" w14:textId="7BBCD933" w:rsidR="00E112CD" w:rsidRDefault="00E112CD" w:rsidP="00C77EED">
      <w:pPr>
        <w:pStyle w:val="FootnoteText"/>
        <w:ind w:right="-900"/>
      </w:pPr>
      <w:r w:rsidRPr="00D425DB">
        <w:rPr>
          <w:rStyle w:val="FootnoteReference"/>
          <w:rFonts w:ascii="Times New Roman" w:hAnsi="Times New Roman"/>
          <w:sz w:val="16"/>
          <w:szCs w:val="16"/>
        </w:rPr>
        <w:footnoteRef/>
      </w:r>
      <w:r>
        <w:rPr>
          <w:rFonts w:ascii="Times New Roman" w:hAnsi="Times New Roman"/>
          <w:sz w:val="16"/>
          <w:szCs w:val="16"/>
        </w:rPr>
        <w:t>Projects implemented under the p</w:t>
      </w:r>
      <w:r w:rsidRPr="006303BF">
        <w:rPr>
          <w:rFonts w:ascii="Times New Roman" w:hAnsi="Times New Roman"/>
          <w:sz w:val="16"/>
          <w:szCs w:val="16"/>
        </w:rPr>
        <w:t xml:space="preserve">eacebuilding </w:t>
      </w:r>
      <w:r>
        <w:rPr>
          <w:rFonts w:ascii="Times New Roman" w:hAnsi="Times New Roman"/>
          <w:sz w:val="16"/>
          <w:szCs w:val="16"/>
        </w:rPr>
        <w:t>p</w:t>
      </w:r>
      <w:r w:rsidRPr="006303BF">
        <w:rPr>
          <w:rFonts w:ascii="Times New Roman" w:hAnsi="Times New Roman"/>
          <w:sz w:val="16"/>
          <w:szCs w:val="16"/>
        </w:rPr>
        <w:t xml:space="preserve">riority </w:t>
      </w:r>
      <w:r>
        <w:rPr>
          <w:rFonts w:ascii="Times New Roman" w:hAnsi="Times New Roman"/>
          <w:sz w:val="16"/>
          <w:szCs w:val="16"/>
        </w:rPr>
        <w:t>p</w:t>
      </w:r>
      <w:r w:rsidRPr="006303BF">
        <w:rPr>
          <w:rFonts w:ascii="Times New Roman" w:hAnsi="Times New Roman"/>
          <w:sz w:val="16"/>
          <w:szCs w:val="16"/>
        </w:rPr>
        <w:t>lan began gaining traction in 2015, including</w:t>
      </w:r>
      <w:r>
        <w:rPr>
          <w:rFonts w:ascii="Times New Roman" w:hAnsi="Times New Roman"/>
          <w:sz w:val="16"/>
          <w:szCs w:val="16"/>
        </w:rPr>
        <w:t xml:space="preserve"> </w:t>
      </w:r>
      <w:r w:rsidRPr="006303BF">
        <w:rPr>
          <w:rFonts w:ascii="Times New Roman" w:hAnsi="Times New Roman"/>
          <w:sz w:val="16"/>
          <w:szCs w:val="16"/>
        </w:rPr>
        <w:t>policy reforms aimed at increasing respect for human rights at the central level</w:t>
      </w:r>
      <w:r>
        <w:rPr>
          <w:rFonts w:ascii="Times New Roman" w:hAnsi="Times New Roman"/>
          <w:sz w:val="16"/>
          <w:szCs w:val="16"/>
        </w:rPr>
        <w:t>,</w:t>
      </w:r>
      <w:r w:rsidRPr="006303BF">
        <w:rPr>
          <w:rFonts w:ascii="Times New Roman" w:hAnsi="Times New Roman"/>
          <w:sz w:val="16"/>
          <w:szCs w:val="16"/>
        </w:rPr>
        <w:t xml:space="preserve"> mirrored by improvements in the capacity of local self-government actors to promote social cohesion and </w:t>
      </w:r>
      <w:r>
        <w:rPr>
          <w:rFonts w:ascii="Times New Roman" w:hAnsi="Times New Roman"/>
          <w:sz w:val="16"/>
          <w:szCs w:val="16"/>
        </w:rPr>
        <w:t>gain</w:t>
      </w:r>
      <w:r w:rsidRPr="006303BF">
        <w:rPr>
          <w:rFonts w:ascii="Times New Roman" w:hAnsi="Times New Roman"/>
          <w:sz w:val="16"/>
          <w:szCs w:val="16"/>
        </w:rPr>
        <w:t xml:space="preserve"> citizens’ trust</w:t>
      </w:r>
      <w:r>
        <w:rPr>
          <w:rFonts w:ascii="Times New Roman" w:hAnsi="Times New Roman"/>
          <w:sz w:val="16"/>
          <w:szCs w:val="16"/>
        </w:rPr>
        <w:t xml:space="preserve">. </w:t>
      </w:r>
      <w:r w:rsidRPr="00EF7DEE">
        <w:rPr>
          <w:rFonts w:ascii="Times New Roman" w:hAnsi="Times New Roman"/>
          <w:sz w:val="16"/>
          <w:szCs w:val="16"/>
        </w:rPr>
        <w:t>Peacebuilding Fund/Report of the Secretary-General</w:t>
      </w:r>
      <w:r>
        <w:t xml:space="preserve"> </w:t>
      </w:r>
    </w:p>
  </w:footnote>
  <w:footnote w:id="9">
    <w:p w14:paraId="1662790B" w14:textId="24FC3FD9" w:rsidR="00E112CD" w:rsidRPr="00184FDF" w:rsidRDefault="00E112CD" w:rsidP="00C77EED">
      <w:pPr>
        <w:pStyle w:val="FootnoteText"/>
        <w:ind w:right="-900"/>
        <w:rPr>
          <w:rFonts w:ascii="Times New Roman" w:hAnsi="Times New Roman"/>
          <w:sz w:val="16"/>
          <w:szCs w:val="16"/>
        </w:rPr>
      </w:pPr>
      <w:r w:rsidRPr="00D425DB">
        <w:rPr>
          <w:rStyle w:val="FootnoteReference"/>
          <w:rFonts w:ascii="Times New Roman" w:hAnsi="Times New Roman"/>
          <w:sz w:val="16"/>
          <w:szCs w:val="16"/>
        </w:rPr>
        <w:footnoteRef/>
      </w:r>
      <w:r w:rsidRPr="00184FDF">
        <w:rPr>
          <w:rFonts w:ascii="Times New Roman" w:hAnsi="Times New Roman"/>
          <w:sz w:val="16"/>
          <w:szCs w:val="16"/>
        </w:rPr>
        <w:t>Civic Freedom Monitor: Kyrgyz Republic</w:t>
      </w:r>
      <w:r>
        <w:rPr>
          <w:rFonts w:ascii="Times New Roman" w:hAnsi="Times New Roman"/>
          <w:sz w:val="16"/>
          <w:szCs w:val="16"/>
        </w:rPr>
        <w:t xml:space="preserve">. </w:t>
      </w:r>
      <w:r w:rsidRPr="00184FDF">
        <w:rPr>
          <w:rFonts w:ascii="Times New Roman" w:hAnsi="Times New Roman"/>
          <w:sz w:val="16"/>
          <w:szCs w:val="16"/>
        </w:rPr>
        <w:t>International Center for No</w:t>
      </w:r>
      <w:r>
        <w:rPr>
          <w:rFonts w:ascii="Times New Roman" w:hAnsi="Times New Roman"/>
          <w:sz w:val="16"/>
          <w:szCs w:val="16"/>
        </w:rPr>
        <w:t>t</w:t>
      </w:r>
      <w:r w:rsidRPr="00184FDF">
        <w:rPr>
          <w:rFonts w:ascii="Times New Roman" w:hAnsi="Times New Roman"/>
          <w:sz w:val="16"/>
          <w:szCs w:val="16"/>
        </w:rPr>
        <w:t>-for-profit Law</w:t>
      </w:r>
    </w:p>
  </w:footnote>
  <w:footnote w:id="10">
    <w:p w14:paraId="5ACA6240" w14:textId="07A12DBE" w:rsidR="00E112CD" w:rsidRDefault="00E112CD" w:rsidP="00C77EED">
      <w:pPr>
        <w:pStyle w:val="FootnoteText"/>
        <w:ind w:right="-900"/>
      </w:pPr>
      <w:r w:rsidRPr="00D425DB">
        <w:rPr>
          <w:rStyle w:val="FootnoteReference"/>
          <w:rFonts w:ascii="Times New Roman" w:hAnsi="Times New Roman"/>
          <w:sz w:val="16"/>
          <w:szCs w:val="16"/>
        </w:rPr>
        <w:footnoteRef/>
      </w:r>
      <w:r>
        <w:rPr>
          <w:rFonts w:ascii="Times New Roman" w:hAnsi="Times New Roman"/>
          <w:sz w:val="16"/>
          <w:szCs w:val="16"/>
        </w:rPr>
        <w:t xml:space="preserve"> </w:t>
      </w:r>
      <w:r w:rsidRPr="000949D6">
        <w:rPr>
          <w:rFonts w:ascii="Times New Roman" w:hAnsi="Times New Roman"/>
          <w:sz w:val="16"/>
          <w:szCs w:val="16"/>
        </w:rPr>
        <w:t xml:space="preserve">HIV infection </w:t>
      </w:r>
      <w:r>
        <w:rPr>
          <w:rFonts w:ascii="Times New Roman" w:hAnsi="Times New Roman"/>
          <w:sz w:val="16"/>
          <w:szCs w:val="16"/>
        </w:rPr>
        <w:t>rates are</w:t>
      </w:r>
      <w:r w:rsidRPr="000949D6">
        <w:rPr>
          <w:rFonts w:ascii="Times New Roman" w:hAnsi="Times New Roman"/>
          <w:sz w:val="16"/>
          <w:szCs w:val="16"/>
        </w:rPr>
        <w:t xml:space="preserve"> still </w:t>
      </w:r>
      <w:r>
        <w:rPr>
          <w:rFonts w:ascii="Times New Roman" w:hAnsi="Times New Roman"/>
          <w:sz w:val="16"/>
          <w:szCs w:val="16"/>
        </w:rPr>
        <w:t>rising</w:t>
      </w:r>
      <w:r w:rsidRPr="000949D6">
        <w:rPr>
          <w:rFonts w:ascii="Times New Roman" w:hAnsi="Times New Roman"/>
          <w:sz w:val="16"/>
          <w:szCs w:val="16"/>
        </w:rPr>
        <w:t>, affecting more women and young people</w:t>
      </w:r>
      <w:r>
        <w:rPr>
          <w:rFonts w:ascii="Times New Roman" w:hAnsi="Times New Roman"/>
          <w:sz w:val="16"/>
          <w:szCs w:val="16"/>
        </w:rPr>
        <w:t>. United Nations Development Assistance Framework, 2018-2022</w:t>
      </w:r>
      <w:r>
        <w:t xml:space="preserve"> </w:t>
      </w:r>
    </w:p>
  </w:footnote>
  <w:footnote w:id="11">
    <w:p w14:paraId="2128277D" w14:textId="5A6E7F62" w:rsidR="00E112CD" w:rsidRPr="00664FAF" w:rsidRDefault="00E112CD" w:rsidP="00C77EED">
      <w:pPr>
        <w:pStyle w:val="FootnoteText"/>
        <w:ind w:right="-900"/>
        <w:rPr>
          <w:rFonts w:ascii="Times New Roman" w:hAnsi="Times New Roman"/>
          <w:sz w:val="16"/>
          <w:szCs w:val="16"/>
        </w:rPr>
      </w:pPr>
      <w:r w:rsidRPr="00D425DB">
        <w:rPr>
          <w:rStyle w:val="FootnoteReference"/>
          <w:rFonts w:ascii="Times New Roman" w:hAnsi="Times New Roman"/>
          <w:sz w:val="16"/>
          <w:szCs w:val="16"/>
        </w:rPr>
        <w:footnoteRef/>
      </w:r>
      <w:r>
        <w:rPr>
          <w:rFonts w:ascii="Times New Roman" w:hAnsi="Times New Roman"/>
          <w:sz w:val="16"/>
          <w:szCs w:val="16"/>
        </w:rPr>
        <w:t>United Nations Development Assistance Framework, 2012-2017, final evaluation</w:t>
      </w:r>
      <w:r w:rsidRPr="00664FAF">
        <w:rPr>
          <w:rFonts w:ascii="Times New Roman" w:hAnsi="Times New Roman"/>
          <w:sz w:val="16"/>
          <w:szCs w:val="16"/>
        </w:rPr>
        <w:t xml:space="preserve"> </w:t>
      </w:r>
    </w:p>
  </w:footnote>
  <w:footnote w:id="12">
    <w:p w14:paraId="73E07ACD" w14:textId="5C19C28C" w:rsidR="00E112CD" w:rsidRPr="00932738" w:rsidRDefault="00E112CD" w:rsidP="00C77EED">
      <w:pPr>
        <w:pStyle w:val="FootnoteText"/>
        <w:ind w:right="-900"/>
        <w:rPr>
          <w:rFonts w:ascii="Times New Roman" w:hAnsi="Times New Roman"/>
          <w:sz w:val="16"/>
          <w:szCs w:val="16"/>
        </w:rPr>
      </w:pPr>
      <w:r w:rsidRPr="00D425DB">
        <w:rPr>
          <w:rStyle w:val="FootnoteReference"/>
          <w:rFonts w:ascii="Times New Roman" w:hAnsi="Times New Roman"/>
          <w:sz w:val="16"/>
          <w:szCs w:val="16"/>
        </w:rPr>
        <w:footnoteRef/>
      </w:r>
      <w:r w:rsidRPr="00932738">
        <w:rPr>
          <w:rFonts w:ascii="Times New Roman" w:hAnsi="Times New Roman"/>
          <w:sz w:val="16"/>
          <w:szCs w:val="16"/>
        </w:rPr>
        <w:t xml:space="preserve">Assessment </w:t>
      </w:r>
      <w:r>
        <w:rPr>
          <w:rFonts w:ascii="Times New Roman" w:hAnsi="Times New Roman"/>
          <w:sz w:val="16"/>
          <w:szCs w:val="16"/>
        </w:rPr>
        <w:t>of</w:t>
      </w:r>
      <w:r w:rsidRPr="00932738">
        <w:rPr>
          <w:rFonts w:ascii="Times New Roman" w:hAnsi="Times New Roman"/>
          <w:sz w:val="16"/>
          <w:szCs w:val="16"/>
        </w:rPr>
        <w:t xml:space="preserve"> </w:t>
      </w:r>
      <w:r>
        <w:rPr>
          <w:rFonts w:ascii="Times New Roman" w:hAnsi="Times New Roman"/>
          <w:sz w:val="16"/>
          <w:szCs w:val="16"/>
        </w:rPr>
        <w:t>d</w:t>
      </w:r>
      <w:r w:rsidRPr="00932738">
        <w:rPr>
          <w:rFonts w:ascii="Times New Roman" w:hAnsi="Times New Roman"/>
          <w:sz w:val="16"/>
          <w:szCs w:val="16"/>
        </w:rPr>
        <w:t xml:space="preserve">evelopment </w:t>
      </w:r>
      <w:r>
        <w:rPr>
          <w:rFonts w:ascii="Times New Roman" w:hAnsi="Times New Roman"/>
          <w:sz w:val="16"/>
          <w:szCs w:val="16"/>
        </w:rPr>
        <w:t>r</w:t>
      </w:r>
      <w:r w:rsidRPr="00932738">
        <w:rPr>
          <w:rFonts w:ascii="Times New Roman" w:hAnsi="Times New Roman"/>
          <w:sz w:val="16"/>
          <w:szCs w:val="16"/>
        </w:rPr>
        <w:t>esults</w:t>
      </w:r>
      <w:r>
        <w:rPr>
          <w:rFonts w:ascii="Times New Roman" w:hAnsi="Times New Roman"/>
          <w:sz w:val="16"/>
          <w:szCs w:val="16"/>
        </w:rPr>
        <w:t>,</w:t>
      </w:r>
      <w:r w:rsidRPr="00932738">
        <w:rPr>
          <w:rFonts w:ascii="Times New Roman" w:hAnsi="Times New Roman"/>
          <w:sz w:val="16"/>
          <w:szCs w:val="16"/>
        </w:rPr>
        <w:t xml:space="preserve"> </w:t>
      </w:r>
      <w:r>
        <w:rPr>
          <w:rFonts w:ascii="Times New Roman" w:hAnsi="Times New Roman"/>
          <w:sz w:val="16"/>
          <w:szCs w:val="16"/>
        </w:rPr>
        <w:t>2017</w:t>
      </w:r>
    </w:p>
  </w:footnote>
  <w:footnote w:id="13">
    <w:p w14:paraId="5E8F27E5" w14:textId="2D19EA2F" w:rsidR="00E112CD" w:rsidRPr="00CE4F98" w:rsidRDefault="00E112CD" w:rsidP="00C77EED">
      <w:pPr>
        <w:autoSpaceDE w:val="0"/>
        <w:autoSpaceDN w:val="0"/>
        <w:adjustRightInd w:val="0"/>
        <w:ind w:right="-900"/>
        <w:rPr>
          <w:sz w:val="16"/>
          <w:szCs w:val="16"/>
        </w:rPr>
      </w:pPr>
      <w:r w:rsidRPr="00D425DB">
        <w:rPr>
          <w:rStyle w:val="FootnoteReference"/>
          <w:sz w:val="16"/>
          <w:szCs w:val="16"/>
        </w:rPr>
        <w:footnoteRef/>
      </w:r>
      <w:r w:rsidRPr="00CE4F98">
        <w:rPr>
          <w:sz w:val="16"/>
          <w:szCs w:val="16"/>
        </w:rPr>
        <w:t>Anna Matveeva, “Divided we fall … or rise? Tajikistan–Kyrgyzstan border dilemma”</w:t>
      </w:r>
      <w:r>
        <w:rPr>
          <w:sz w:val="16"/>
          <w:szCs w:val="16"/>
        </w:rPr>
        <w:t>.</w:t>
      </w:r>
      <w:r w:rsidRPr="00CE4F98">
        <w:rPr>
          <w:sz w:val="16"/>
          <w:szCs w:val="16"/>
        </w:rPr>
        <w:t xml:space="preserve"> </w:t>
      </w:r>
      <w:r w:rsidRPr="005F7144">
        <w:rPr>
          <w:iCs/>
          <w:sz w:val="16"/>
          <w:szCs w:val="16"/>
        </w:rPr>
        <w:t xml:space="preserve">Cambridge Journal of </w:t>
      </w:r>
      <w:r w:rsidRPr="00EF7DEE">
        <w:rPr>
          <w:iCs/>
          <w:sz w:val="16"/>
          <w:szCs w:val="16"/>
        </w:rPr>
        <w:t>Eurasian</w:t>
      </w:r>
      <w:r w:rsidRPr="00D425DB">
        <w:rPr>
          <w:iCs/>
          <w:sz w:val="16"/>
          <w:szCs w:val="16"/>
        </w:rPr>
        <w:t xml:space="preserve"> </w:t>
      </w:r>
      <w:r w:rsidRPr="00EF7DEE">
        <w:rPr>
          <w:iCs/>
          <w:sz w:val="16"/>
          <w:szCs w:val="16"/>
        </w:rPr>
        <w:t>Studies</w:t>
      </w:r>
      <w:r w:rsidRPr="005F7144">
        <w:rPr>
          <w:sz w:val="16"/>
          <w:szCs w:val="16"/>
        </w:rPr>
        <w:t>,</w:t>
      </w:r>
      <w:r w:rsidRPr="00CE4F98">
        <w:rPr>
          <w:sz w:val="16"/>
          <w:szCs w:val="16"/>
        </w:rPr>
        <w:t xml:space="preserve"> 2017, 1: #94D4RC, h</w:t>
      </w:r>
      <w:r>
        <w:rPr>
          <w:sz w:val="16"/>
          <w:szCs w:val="16"/>
        </w:rPr>
        <w:t>ttps://doi.org/10.22261/94D4RC</w:t>
      </w:r>
    </w:p>
  </w:footnote>
  <w:footnote w:id="14">
    <w:p w14:paraId="079A2AD8" w14:textId="0E31DCA4" w:rsidR="00E112CD" w:rsidRPr="009407A6" w:rsidRDefault="00E112CD" w:rsidP="00C77EED">
      <w:pPr>
        <w:pStyle w:val="FootnoteText"/>
        <w:ind w:right="-900"/>
        <w:rPr>
          <w:rFonts w:ascii="Times New Roman" w:hAnsi="Times New Roman"/>
          <w:sz w:val="16"/>
          <w:szCs w:val="16"/>
        </w:rPr>
      </w:pPr>
      <w:r w:rsidRPr="00D425DB">
        <w:rPr>
          <w:rStyle w:val="FootnoteReference"/>
          <w:rFonts w:ascii="Times New Roman" w:hAnsi="Times New Roman"/>
          <w:sz w:val="16"/>
          <w:szCs w:val="16"/>
        </w:rPr>
        <w:footnoteRef/>
      </w:r>
      <w:r>
        <w:rPr>
          <w:rFonts w:ascii="Times New Roman" w:hAnsi="Times New Roman"/>
          <w:sz w:val="16"/>
          <w:szCs w:val="16"/>
        </w:rPr>
        <w:t xml:space="preserve">It is estimated that </w:t>
      </w:r>
      <w:r w:rsidRPr="009407A6">
        <w:rPr>
          <w:rFonts w:ascii="Times New Roman" w:hAnsi="Times New Roman"/>
          <w:sz w:val="16"/>
          <w:szCs w:val="16"/>
        </w:rPr>
        <w:t>500 Kyrgyz nationals</w:t>
      </w:r>
      <w:r>
        <w:rPr>
          <w:rFonts w:ascii="Times New Roman" w:hAnsi="Times New Roman"/>
          <w:sz w:val="16"/>
          <w:szCs w:val="16"/>
        </w:rPr>
        <w:t>, including 120 women,</w:t>
      </w:r>
      <w:r w:rsidRPr="009407A6">
        <w:rPr>
          <w:rFonts w:ascii="Times New Roman" w:hAnsi="Times New Roman"/>
          <w:sz w:val="16"/>
          <w:szCs w:val="16"/>
        </w:rPr>
        <w:t xml:space="preserve"> </w:t>
      </w:r>
      <w:r>
        <w:rPr>
          <w:rFonts w:ascii="Times New Roman" w:hAnsi="Times New Roman"/>
          <w:sz w:val="16"/>
          <w:szCs w:val="16"/>
        </w:rPr>
        <w:t xml:space="preserve">joined </w:t>
      </w:r>
      <w:r w:rsidRPr="009407A6">
        <w:rPr>
          <w:rFonts w:ascii="Times New Roman" w:hAnsi="Times New Roman"/>
          <w:sz w:val="16"/>
          <w:szCs w:val="16"/>
        </w:rPr>
        <w:t xml:space="preserve">foreign fighters </w:t>
      </w:r>
      <w:r>
        <w:rPr>
          <w:rFonts w:ascii="Times New Roman" w:hAnsi="Times New Roman"/>
          <w:sz w:val="16"/>
          <w:szCs w:val="16"/>
        </w:rPr>
        <w:t>in</w:t>
      </w:r>
      <w:r w:rsidRPr="009407A6">
        <w:rPr>
          <w:rFonts w:ascii="Times New Roman" w:hAnsi="Times New Roman"/>
          <w:sz w:val="16"/>
          <w:szCs w:val="16"/>
        </w:rPr>
        <w:t xml:space="preserve"> Iraq and Syria</w:t>
      </w:r>
      <w:r>
        <w:rPr>
          <w:rFonts w:ascii="Times New Roman" w:hAnsi="Times New Roman"/>
          <w:sz w:val="16"/>
          <w:szCs w:val="16"/>
        </w:rPr>
        <w:t>. Foreign Fighters Estimates: The Soufan Group, 2015</w:t>
      </w:r>
    </w:p>
  </w:footnote>
  <w:footnote w:id="15">
    <w:p w14:paraId="406A4808" w14:textId="29EA4A0F" w:rsidR="00E112CD" w:rsidRDefault="00E112CD" w:rsidP="00C77EED">
      <w:pPr>
        <w:pStyle w:val="FootnoteText"/>
        <w:ind w:right="-900"/>
      </w:pPr>
      <w:r w:rsidRPr="008B1733">
        <w:rPr>
          <w:rStyle w:val="FootnoteReference"/>
          <w:rFonts w:ascii="Times New Roman" w:hAnsi="Times New Roman"/>
          <w:sz w:val="16"/>
          <w:szCs w:val="16"/>
        </w:rPr>
        <w:footnoteRef/>
      </w:r>
      <w:r w:rsidRPr="000B7B2E">
        <w:rPr>
          <w:rFonts w:ascii="Times New Roman" w:hAnsi="Times New Roman"/>
          <w:sz w:val="16"/>
          <w:szCs w:val="16"/>
        </w:rPr>
        <w:t xml:space="preserve">Prevention of Violent Extremism in </w:t>
      </w:r>
      <w:r>
        <w:rPr>
          <w:rFonts w:ascii="Times New Roman" w:hAnsi="Times New Roman"/>
          <w:sz w:val="16"/>
          <w:szCs w:val="16"/>
        </w:rPr>
        <w:t xml:space="preserve">the </w:t>
      </w:r>
      <w:r w:rsidRPr="000B7B2E">
        <w:rPr>
          <w:rFonts w:ascii="Times New Roman" w:hAnsi="Times New Roman"/>
          <w:sz w:val="16"/>
          <w:szCs w:val="16"/>
        </w:rPr>
        <w:t>Kyrgyz Republic</w:t>
      </w:r>
      <w:r>
        <w:rPr>
          <w:rFonts w:ascii="Times New Roman" w:hAnsi="Times New Roman"/>
          <w:sz w:val="16"/>
          <w:szCs w:val="16"/>
        </w:rPr>
        <w:t xml:space="preserve">. UNDP and others </w:t>
      </w:r>
    </w:p>
  </w:footnote>
  <w:footnote w:id="16">
    <w:p w14:paraId="471C5B44" w14:textId="3BCDE79B" w:rsidR="00E112CD" w:rsidRPr="00DC081B" w:rsidRDefault="00E112CD" w:rsidP="00C77EED">
      <w:pPr>
        <w:pStyle w:val="FootnoteText"/>
        <w:ind w:right="-900"/>
        <w:rPr>
          <w:rFonts w:ascii="Times New Roman" w:hAnsi="Times New Roman"/>
          <w:sz w:val="16"/>
          <w:szCs w:val="16"/>
        </w:rPr>
      </w:pPr>
      <w:r w:rsidRPr="00DC081B">
        <w:rPr>
          <w:rStyle w:val="FootnoteReference"/>
          <w:rFonts w:ascii="Times New Roman" w:hAnsi="Times New Roman"/>
          <w:sz w:val="16"/>
          <w:szCs w:val="16"/>
        </w:rPr>
        <w:footnoteRef/>
      </w:r>
      <w:r w:rsidRPr="00DC081B">
        <w:rPr>
          <w:rFonts w:ascii="Times New Roman" w:hAnsi="Times New Roman"/>
          <w:sz w:val="16"/>
          <w:szCs w:val="16"/>
        </w:rPr>
        <w:t>Post-</w:t>
      </w:r>
      <w:r>
        <w:rPr>
          <w:rFonts w:ascii="Times New Roman" w:hAnsi="Times New Roman"/>
          <w:sz w:val="16"/>
          <w:szCs w:val="16"/>
        </w:rPr>
        <w:t>20</w:t>
      </w:r>
      <w:r w:rsidRPr="00DC081B">
        <w:rPr>
          <w:rFonts w:ascii="Times New Roman" w:hAnsi="Times New Roman"/>
          <w:sz w:val="16"/>
          <w:szCs w:val="16"/>
        </w:rPr>
        <w:t xml:space="preserve">15 Development Agenda. National </w:t>
      </w:r>
      <w:r>
        <w:rPr>
          <w:rFonts w:ascii="Times New Roman" w:hAnsi="Times New Roman"/>
          <w:sz w:val="16"/>
          <w:szCs w:val="16"/>
        </w:rPr>
        <w:t>c</w:t>
      </w:r>
      <w:r w:rsidRPr="00DC081B">
        <w:rPr>
          <w:rFonts w:ascii="Times New Roman" w:hAnsi="Times New Roman"/>
          <w:sz w:val="16"/>
          <w:szCs w:val="16"/>
        </w:rPr>
        <w:t>onsultations in the Kyrgyz Republic</w:t>
      </w:r>
      <w:r>
        <w:rPr>
          <w:rFonts w:ascii="Times New Roman" w:hAnsi="Times New Roman"/>
          <w:sz w:val="16"/>
          <w:szCs w:val="16"/>
        </w:rPr>
        <w:t xml:space="preserve">, </w:t>
      </w:r>
      <w:r w:rsidRPr="00DC081B">
        <w:rPr>
          <w:rFonts w:ascii="Times New Roman" w:hAnsi="Times New Roman"/>
          <w:sz w:val="16"/>
          <w:szCs w:val="16"/>
        </w:rPr>
        <w:t>2013</w:t>
      </w:r>
    </w:p>
  </w:footnote>
  <w:footnote w:id="17">
    <w:p w14:paraId="25E61F17" w14:textId="53343F61" w:rsidR="00E112CD" w:rsidRDefault="00E112CD" w:rsidP="00C77EED">
      <w:pPr>
        <w:pStyle w:val="FootnoteText"/>
        <w:ind w:right="-900"/>
      </w:pPr>
      <w:r w:rsidRPr="00B459E4">
        <w:rPr>
          <w:rStyle w:val="FootnoteReference"/>
          <w:rFonts w:ascii="Times New Roman" w:hAnsi="Times New Roman"/>
          <w:sz w:val="16"/>
          <w:szCs w:val="16"/>
        </w:rPr>
        <w:footnoteRef/>
      </w:r>
      <w:r>
        <w:rPr>
          <w:rFonts w:ascii="Times New Roman" w:hAnsi="Times New Roman"/>
          <w:color w:val="000000"/>
          <w:sz w:val="16"/>
          <w:szCs w:val="16"/>
        </w:rPr>
        <w:t xml:space="preserve"> </w:t>
      </w:r>
      <w:r w:rsidRPr="00215176">
        <w:rPr>
          <w:rFonts w:ascii="Times New Roman" w:hAnsi="Times New Roman"/>
          <w:sz w:val="16"/>
          <w:szCs w:val="16"/>
        </w:rPr>
        <w:t>http://data.worldbank</w:t>
      </w:r>
      <w:r w:rsidRPr="00F36C78">
        <w:rPr>
          <w:rFonts w:ascii="Times New Roman" w:hAnsi="Times New Roman"/>
          <w:sz w:val="16"/>
          <w:szCs w:val="16"/>
        </w:rPr>
        <w:t>.org/indicator</w:t>
      </w:r>
      <w:r>
        <w:rPr>
          <w:rFonts w:ascii="Times New Roman" w:hAnsi="Times New Roman"/>
          <w:sz w:val="16"/>
          <w:szCs w:val="16"/>
        </w:rPr>
        <w:t>.</w:t>
      </w:r>
      <w:r>
        <w:t xml:space="preserve"> </w:t>
      </w:r>
    </w:p>
  </w:footnote>
  <w:footnote w:id="18">
    <w:p w14:paraId="1E69D5EC" w14:textId="08457D19" w:rsidR="00E112CD" w:rsidRPr="009348B2" w:rsidRDefault="00E112CD" w:rsidP="00C77EED">
      <w:pPr>
        <w:pStyle w:val="FootnoteText"/>
        <w:ind w:right="-900"/>
        <w:rPr>
          <w:rFonts w:ascii="Times New Roman" w:hAnsi="Times New Roman"/>
          <w:sz w:val="16"/>
          <w:szCs w:val="16"/>
        </w:rPr>
      </w:pPr>
      <w:r w:rsidRPr="009348B2">
        <w:rPr>
          <w:rStyle w:val="FootnoteReference"/>
          <w:rFonts w:ascii="Times New Roman" w:hAnsi="Times New Roman"/>
          <w:sz w:val="16"/>
          <w:szCs w:val="16"/>
        </w:rPr>
        <w:footnoteRef/>
      </w:r>
      <w:r w:rsidRPr="009348B2">
        <w:rPr>
          <w:rFonts w:ascii="Times New Roman" w:hAnsi="Times New Roman"/>
          <w:sz w:val="16"/>
          <w:szCs w:val="16"/>
        </w:rPr>
        <w:t>Poverty rate is 45.1</w:t>
      </w:r>
      <w:r>
        <w:rPr>
          <w:rFonts w:ascii="Times New Roman" w:hAnsi="Times New Roman"/>
          <w:sz w:val="16"/>
          <w:szCs w:val="16"/>
        </w:rPr>
        <w:t xml:space="preserve">, </w:t>
      </w:r>
      <w:r w:rsidRPr="009348B2">
        <w:rPr>
          <w:rFonts w:ascii="Times New Roman" w:hAnsi="Times New Roman"/>
          <w:sz w:val="16"/>
          <w:szCs w:val="16"/>
        </w:rPr>
        <w:t>41</w:t>
      </w:r>
      <w:r>
        <w:rPr>
          <w:rFonts w:ascii="Times New Roman" w:hAnsi="Times New Roman"/>
          <w:sz w:val="16"/>
          <w:szCs w:val="16"/>
        </w:rPr>
        <w:t>.</w:t>
      </w:r>
      <w:r w:rsidRPr="009348B2">
        <w:rPr>
          <w:rFonts w:ascii="Times New Roman" w:hAnsi="Times New Roman"/>
          <w:sz w:val="16"/>
          <w:szCs w:val="16"/>
        </w:rPr>
        <w:t>2</w:t>
      </w:r>
      <w:r>
        <w:rPr>
          <w:rFonts w:ascii="Times New Roman" w:hAnsi="Times New Roman"/>
          <w:sz w:val="16"/>
          <w:szCs w:val="16"/>
        </w:rPr>
        <w:t xml:space="preserve"> and 38 per cent</w:t>
      </w:r>
      <w:r w:rsidRPr="009348B2">
        <w:rPr>
          <w:rFonts w:ascii="Times New Roman" w:hAnsi="Times New Roman"/>
          <w:sz w:val="16"/>
          <w:szCs w:val="16"/>
        </w:rPr>
        <w:t xml:space="preserve"> in Jalal-Abad, Batken</w:t>
      </w:r>
      <w:r>
        <w:rPr>
          <w:rFonts w:ascii="Times New Roman" w:hAnsi="Times New Roman"/>
          <w:sz w:val="16"/>
          <w:szCs w:val="16"/>
        </w:rPr>
        <w:t>,</w:t>
      </w:r>
      <w:r w:rsidRPr="009348B2">
        <w:rPr>
          <w:rFonts w:ascii="Times New Roman" w:hAnsi="Times New Roman"/>
          <w:sz w:val="16"/>
          <w:szCs w:val="16"/>
        </w:rPr>
        <w:t xml:space="preserve"> </w:t>
      </w:r>
      <w:r w:rsidR="00C76804">
        <w:rPr>
          <w:rFonts w:ascii="Times New Roman" w:hAnsi="Times New Roman"/>
          <w:sz w:val="16"/>
          <w:szCs w:val="16"/>
        </w:rPr>
        <w:t xml:space="preserve">and </w:t>
      </w:r>
      <w:r w:rsidR="00C76804" w:rsidRPr="009348B2">
        <w:rPr>
          <w:rFonts w:ascii="Times New Roman" w:hAnsi="Times New Roman"/>
          <w:sz w:val="16"/>
          <w:szCs w:val="16"/>
        </w:rPr>
        <w:t>Naryn</w:t>
      </w:r>
      <w:r w:rsidRPr="009348B2">
        <w:rPr>
          <w:rFonts w:ascii="Times New Roman" w:hAnsi="Times New Roman"/>
          <w:sz w:val="16"/>
          <w:szCs w:val="16"/>
        </w:rPr>
        <w:t xml:space="preserve"> regions</w:t>
      </w:r>
      <w:r>
        <w:rPr>
          <w:rFonts w:ascii="Times New Roman" w:hAnsi="Times New Roman"/>
          <w:sz w:val="16"/>
          <w:szCs w:val="16"/>
        </w:rPr>
        <w:t xml:space="preserve"> respectively,</w:t>
      </w:r>
      <w:r w:rsidRPr="009348B2">
        <w:rPr>
          <w:rFonts w:ascii="Times New Roman" w:hAnsi="Times New Roman"/>
          <w:sz w:val="16"/>
          <w:szCs w:val="16"/>
        </w:rPr>
        <w:t xml:space="preserve"> 38</w:t>
      </w:r>
      <w:r>
        <w:rPr>
          <w:rFonts w:ascii="Times New Roman" w:hAnsi="Times New Roman"/>
          <w:sz w:val="16"/>
          <w:szCs w:val="16"/>
        </w:rPr>
        <w:t>.</w:t>
      </w:r>
      <w:r w:rsidRPr="009348B2">
        <w:rPr>
          <w:rFonts w:ascii="Times New Roman" w:hAnsi="Times New Roman"/>
          <w:sz w:val="16"/>
          <w:szCs w:val="16"/>
        </w:rPr>
        <w:t>3</w:t>
      </w:r>
      <w:r>
        <w:rPr>
          <w:rFonts w:ascii="Times New Roman" w:hAnsi="Times New Roman"/>
          <w:sz w:val="16"/>
          <w:szCs w:val="16"/>
        </w:rPr>
        <w:t xml:space="preserve"> per cent</w:t>
      </w:r>
      <w:r w:rsidRPr="009348B2">
        <w:rPr>
          <w:rFonts w:ascii="Times New Roman" w:hAnsi="Times New Roman"/>
          <w:sz w:val="16"/>
          <w:szCs w:val="16"/>
        </w:rPr>
        <w:t xml:space="preserve"> in Osh</w:t>
      </w:r>
      <w:r>
        <w:rPr>
          <w:rFonts w:ascii="Times New Roman" w:hAnsi="Times New Roman"/>
          <w:sz w:val="16"/>
          <w:szCs w:val="16"/>
        </w:rPr>
        <w:t xml:space="preserve"> city. </w:t>
      </w:r>
      <w:r>
        <w:rPr>
          <w:rFonts w:ascii="Times New Roman" w:eastAsia="SimSun" w:hAnsi="Times New Roman"/>
          <w:color w:val="000000"/>
          <w:sz w:val="16"/>
          <w:szCs w:val="16"/>
        </w:rPr>
        <w:t>National Statistical Committee</w:t>
      </w:r>
      <w:r w:rsidRPr="009348B2">
        <w:rPr>
          <w:rFonts w:ascii="Times New Roman" w:hAnsi="Times New Roman"/>
          <w:sz w:val="16"/>
          <w:szCs w:val="16"/>
        </w:rPr>
        <w:t xml:space="preserve"> </w:t>
      </w:r>
    </w:p>
  </w:footnote>
  <w:footnote w:id="19">
    <w:p w14:paraId="5D408251" w14:textId="54B4D762" w:rsidR="00E112CD" w:rsidRDefault="00E112CD" w:rsidP="00C77EED">
      <w:pPr>
        <w:pStyle w:val="FootnoteText"/>
        <w:ind w:right="-900"/>
      </w:pPr>
      <w:r w:rsidRPr="00B459E4">
        <w:rPr>
          <w:rStyle w:val="FootnoteReference"/>
          <w:rFonts w:ascii="Times New Roman" w:hAnsi="Times New Roman"/>
          <w:sz w:val="16"/>
          <w:szCs w:val="16"/>
        </w:rPr>
        <w:footnoteRef/>
      </w:r>
      <w:r w:rsidRPr="00FE63E0">
        <w:rPr>
          <w:rFonts w:ascii="Times New Roman" w:hAnsi="Times New Roman"/>
          <w:sz w:val="16"/>
          <w:szCs w:val="16"/>
        </w:rPr>
        <w:t xml:space="preserve">Labour Migration, Remittances, and Human Development in Central Asia. </w:t>
      </w:r>
      <w:r>
        <w:rPr>
          <w:rFonts w:ascii="Times New Roman" w:hAnsi="Times New Roman"/>
          <w:sz w:val="16"/>
          <w:szCs w:val="16"/>
        </w:rPr>
        <w:t>UNDP, 2015</w:t>
      </w:r>
    </w:p>
  </w:footnote>
  <w:footnote w:id="20">
    <w:p w14:paraId="0ED4577D" w14:textId="711EE043" w:rsidR="00E112CD" w:rsidRPr="009348B2" w:rsidRDefault="00E112CD" w:rsidP="00C77EED">
      <w:pPr>
        <w:pStyle w:val="FootnoteText"/>
        <w:ind w:right="-900"/>
        <w:rPr>
          <w:rFonts w:ascii="Times New Roman" w:hAnsi="Times New Roman"/>
          <w:sz w:val="16"/>
          <w:szCs w:val="16"/>
        </w:rPr>
      </w:pPr>
      <w:r w:rsidRPr="009348B2">
        <w:rPr>
          <w:rStyle w:val="FootnoteReference"/>
          <w:rFonts w:ascii="Times New Roman" w:hAnsi="Times New Roman"/>
          <w:sz w:val="16"/>
          <w:szCs w:val="16"/>
        </w:rPr>
        <w:footnoteRef/>
      </w:r>
      <w:r w:rsidRPr="009348B2">
        <w:rPr>
          <w:rFonts w:ascii="Times New Roman" w:eastAsia="MS Mincho" w:hAnsi="Times New Roman"/>
          <w:sz w:val="16"/>
          <w:szCs w:val="16"/>
        </w:rPr>
        <w:t xml:space="preserve">Economic </w:t>
      </w:r>
      <w:r w:rsidR="00C76804" w:rsidRPr="009348B2">
        <w:rPr>
          <w:rFonts w:ascii="Times New Roman" w:eastAsia="MS Mincho" w:hAnsi="Times New Roman"/>
          <w:sz w:val="16"/>
          <w:szCs w:val="16"/>
        </w:rPr>
        <w:t>growth reached</w:t>
      </w:r>
      <w:r w:rsidRPr="009348B2">
        <w:rPr>
          <w:rFonts w:ascii="Times New Roman" w:eastAsia="MS Mincho" w:hAnsi="Times New Roman"/>
          <w:sz w:val="16"/>
          <w:szCs w:val="16"/>
        </w:rPr>
        <w:t xml:space="preserve"> 3.8</w:t>
      </w:r>
      <w:r>
        <w:rPr>
          <w:rFonts w:ascii="Times New Roman" w:eastAsia="MS Mincho" w:hAnsi="Times New Roman"/>
          <w:sz w:val="16"/>
          <w:szCs w:val="16"/>
        </w:rPr>
        <w:t xml:space="preserve"> per cent in 2016 </w:t>
      </w:r>
      <w:r w:rsidRPr="009348B2">
        <w:rPr>
          <w:rFonts w:ascii="Times New Roman" w:eastAsia="MS Mincho" w:hAnsi="Times New Roman"/>
          <w:sz w:val="16"/>
          <w:szCs w:val="16"/>
        </w:rPr>
        <w:t>World Bank forecast</w:t>
      </w:r>
      <w:r>
        <w:rPr>
          <w:rFonts w:ascii="Times New Roman" w:eastAsia="MS Mincho" w:hAnsi="Times New Roman"/>
          <w:sz w:val="16"/>
          <w:szCs w:val="16"/>
        </w:rPr>
        <w:t>s</w:t>
      </w:r>
      <w:r w:rsidRPr="009348B2">
        <w:rPr>
          <w:rFonts w:ascii="Times New Roman" w:eastAsia="MS Mincho" w:hAnsi="Times New Roman"/>
          <w:sz w:val="16"/>
          <w:szCs w:val="16"/>
        </w:rPr>
        <w:t xml:space="preserve"> </w:t>
      </w:r>
      <w:r>
        <w:rPr>
          <w:rFonts w:ascii="Times New Roman" w:eastAsia="MS Mincho" w:hAnsi="Times New Roman"/>
          <w:sz w:val="16"/>
          <w:szCs w:val="16"/>
        </w:rPr>
        <w:t>a decline</w:t>
      </w:r>
      <w:r w:rsidRPr="009348B2">
        <w:rPr>
          <w:rFonts w:ascii="Times New Roman" w:eastAsia="MS Mincho" w:hAnsi="Times New Roman"/>
          <w:sz w:val="16"/>
          <w:szCs w:val="16"/>
        </w:rPr>
        <w:t xml:space="preserve"> to 3</w:t>
      </w:r>
      <w:r>
        <w:rPr>
          <w:rFonts w:ascii="Times New Roman" w:eastAsia="MS Mincho" w:hAnsi="Times New Roman"/>
          <w:sz w:val="16"/>
          <w:szCs w:val="16"/>
        </w:rPr>
        <w:t xml:space="preserve"> per cent</w:t>
      </w:r>
      <w:r w:rsidRPr="009348B2">
        <w:rPr>
          <w:rFonts w:ascii="Times New Roman" w:eastAsia="MS Mincho" w:hAnsi="Times New Roman"/>
          <w:sz w:val="16"/>
          <w:szCs w:val="16"/>
        </w:rPr>
        <w:t xml:space="preserve"> in 2017</w:t>
      </w:r>
      <w:r>
        <w:rPr>
          <w:rFonts w:ascii="Times New Roman" w:eastAsia="MS Mincho" w:hAnsi="Times New Roman"/>
          <w:sz w:val="16"/>
          <w:szCs w:val="16"/>
        </w:rPr>
        <w:t>.</w:t>
      </w:r>
    </w:p>
  </w:footnote>
  <w:footnote w:id="21">
    <w:p w14:paraId="032D05C5" w14:textId="27FE92B8" w:rsidR="00E112CD" w:rsidRPr="009348B2" w:rsidRDefault="00E112CD" w:rsidP="00C77EED">
      <w:pPr>
        <w:pStyle w:val="FootnoteText"/>
        <w:ind w:right="-900"/>
        <w:rPr>
          <w:rFonts w:ascii="Times New Roman" w:hAnsi="Times New Roman"/>
          <w:sz w:val="16"/>
          <w:szCs w:val="16"/>
        </w:rPr>
      </w:pPr>
      <w:r w:rsidRPr="009348B2">
        <w:rPr>
          <w:rStyle w:val="FootnoteReference"/>
          <w:rFonts w:ascii="Times New Roman" w:hAnsi="Times New Roman"/>
          <w:sz w:val="16"/>
          <w:szCs w:val="16"/>
        </w:rPr>
        <w:footnoteRef/>
      </w:r>
      <w:r>
        <w:rPr>
          <w:rFonts w:ascii="Times New Roman" w:hAnsi="Times New Roman"/>
          <w:sz w:val="16"/>
          <w:szCs w:val="16"/>
        </w:rPr>
        <w:t xml:space="preserve">Some </w:t>
      </w:r>
      <w:r w:rsidRPr="009348B2">
        <w:rPr>
          <w:rFonts w:ascii="Times New Roman" w:hAnsi="Times New Roman"/>
          <w:sz w:val="16"/>
          <w:szCs w:val="16"/>
        </w:rPr>
        <w:t>40.5</w:t>
      </w:r>
      <w:r>
        <w:rPr>
          <w:rFonts w:ascii="Times New Roman" w:hAnsi="Times New Roman"/>
          <w:sz w:val="16"/>
          <w:szCs w:val="16"/>
        </w:rPr>
        <w:t xml:space="preserve"> per cent</w:t>
      </w:r>
      <w:r w:rsidRPr="009348B2">
        <w:rPr>
          <w:rFonts w:ascii="Times New Roman" w:hAnsi="Times New Roman"/>
          <w:sz w:val="16"/>
          <w:szCs w:val="16"/>
        </w:rPr>
        <w:t xml:space="preserve"> of children live in poverty</w:t>
      </w:r>
      <w:r>
        <w:rPr>
          <w:rFonts w:ascii="Times New Roman" w:hAnsi="Times New Roman"/>
          <w:sz w:val="16"/>
          <w:szCs w:val="16"/>
        </w:rPr>
        <w:t xml:space="preserve">. </w:t>
      </w:r>
      <w:r w:rsidRPr="00AE02C8">
        <w:rPr>
          <w:rFonts w:ascii="Times New Roman" w:eastAsia="SimSun" w:hAnsi="Times New Roman"/>
          <w:color w:val="000000"/>
          <w:sz w:val="16"/>
          <w:szCs w:val="16"/>
        </w:rPr>
        <w:t xml:space="preserve"> </w:t>
      </w:r>
      <w:r>
        <w:rPr>
          <w:rFonts w:ascii="Times New Roman" w:eastAsia="SimSun" w:hAnsi="Times New Roman"/>
          <w:color w:val="000000"/>
          <w:sz w:val="16"/>
          <w:szCs w:val="16"/>
        </w:rPr>
        <w:t>National Statistical Committee</w:t>
      </w:r>
      <w:r>
        <w:rPr>
          <w:rFonts w:ascii="Times New Roman" w:hAnsi="Times New Roman"/>
          <w:sz w:val="16"/>
          <w:szCs w:val="16"/>
        </w:rPr>
        <w:t>.</w:t>
      </w:r>
    </w:p>
  </w:footnote>
  <w:footnote w:id="22">
    <w:p w14:paraId="7143023F" w14:textId="39FC3B40" w:rsidR="00E112CD" w:rsidRPr="009348B2" w:rsidRDefault="00E112CD" w:rsidP="00C77EED">
      <w:pPr>
        <w:pStyle w:val="FootnoteText"/>
        <w:ind w:right="-900"/>
        <w:rPr>
          <w:rFonts w:ascii="Times New Roman" w:hAnsi="Times New Roman"/>
          <w:sz w:val="16"/>
          <w:szCs w:val="16"/>
        </w:rPr>
      </w:pPr>
      <w:r w:rsidRPr="00EF7DEE">
        <w:rPr>
          <w:rStyle w:val="FootnoteReference"/>
          <w:rFonts w:ascii="Times New Roman" w:hAnsi="Times New Roman"/>
          <w:sz w:val="16"/>
          <w:szCs w:val="16"/>
        </w:rPr>
        <w:footnoteRef/>
      </w:r>
      <w:r w:rsidRPr="00EF7DEE">
        <w:rPr>
          <w:rFonts w:ascii="Times New Roman" w:hAnsi="Times New Roman"/>
          <w:sz w:val="16"/>
          <w:szCs w:val="16"/>
        </w:rPr>
        <w:t>Common country assessment,</w:t>
      </w:r>
      <w:r>
        <w:rPr>
          <w:rFonts w:ascii="Times New Roman" w:hAnsi="Times New Roman"/>
          <w:sz w:val="16"/>
          <w:szCs w:val="16"/>
        </w:rPr>
        <w:t xml:space="preserve"> </w:t>
      </w:r>
      <w:r w:rsidRPr="009348B2">
        <w:rPr>
          <w:rFonts w:ascii="Times New Roman" w:hAnsi="Times New Roman"/>
          <w:sz w:val="16"/>
          <w:szCs w:val="16"/>
        </w:rPr>
        <w:t xml:space="preserve">2016  </w:t>
      </w:r>
    </w:p>
  </w:footnote>
  <w:footnote w:id="23">
    <w:p w14:paraId="2A7BA0F6" w14:textId="696E39F4" w:rsidR="00E112CD" w:rsidRDefault="00E112CD" w:rsidP="00C77EED">
      <w:pPr>
        <w:pStyle w:val="FootnoteText"/>
        <w:ind w:right="-900"/>
      </w:pPr>
      <w:r w:rsidRPr="00B459E4">
        <w:rPr>
          <w:rStyle w:val="FootnoteReference"/>
          <w:rFonts w:ascii="Times New Roman" w:hAnsi="Times New Roman"/>
          <w:sz w:val="16"/>
          <w:szCs w:val="16"/>
        </w:rPr>
        <w:footnoteRef/>
      </w:r>
      <w:r>
        <w:rPr>
          <w:rFonts w:ascii="Times New Roman" w:hAnsi="Times New Roman"/>
          <w:bCs/>
          <w:sz w:val="16"/>
          <w:szCs w:val="16"/>
        </w:rPr>
        <w:t>International Monetary Fund (IMF)</w:t>
      </w:r>
      <w:r w:rsidRPr="009348B2">
        <w:rPr>
          <w:rFonts w:ascii="Times New Roman" w:hAnsi="Times New Roman"/>
          <w:bCs/>
          <w:sz w:val="16"/>
          <w:szCs w:val="16"/>
        </w:rPr>
        <w:t xml:space="preserve"> </w:t>
      </w:r>
      <w:r>
        <w:rPr>
          <w:rFonts w:ascii="Times New Roman" w:hAnsi="Times New Roman"/>
          <w:bCs/>
          <w:sz w:val="16"/>
          <w:szCs w:val="16"/>
        </w:rPr>
        <w:t>c</w:t>
      </w:r>
      <w:r w:rsidRPr="009348B2">
        <w:rPr>
          <w:rFonts w:ascii="Times New Roman" w:hAnsi="Times New Roman"/>
          <w:bCs/>
          <w:sz w:val="16"/>
          <w:szCs w:val="16"/>
        </w:rPr>
        <w:t xml:space="preserve">ountry </w:t>
      </w:r>
      <w:r>
        <w:rPr>
          <w:rFonts w:ascii="Times New Roman" w:hAnsi="Times New Roman"/>
          <w:bCs/>
          <w:sz w:val="16"/>
          <w:szCs w:val="16"/>
        </w:rPr>
        <w:t>r</w:t>
      </w:r>
      <w:r w:rsidRPr="009348B2">
        <w:rPr>
          <w:rFonts w:ascii="Times New Roman" w:hAnsi="Times New Roman"/>
          <w:bCs/>
          <w:sz w:val="16"/>
          <w:szCs w:val="16"/>
        </w:rPr>
        <w:t>eport</w:t>
      </w:r>
      <w:r>
        <w:rPr>
          <w:rFonts w:ascii="Times New Roman" w:hAnsi="Times New Roman"/>
          <w:bCs/>
          <w:sz w:val="16"/>
          <w:szCs w:val="16"/>
        </w:rPr>
        <w:t>,</w:t>
      </w:r>
      <w:r w:rsidRPr="009348B2">
        <w:rPr>
          <w:rFonts w:ascii="Times New Roman" w:hAnsi="Times New Roman"/>
          <w:bCs/>
          <w:sz w:val="16"/>
          <w:szCs w:val="16"/>
        </w:rPr>
        <w:t xml:space="preserve"> February 2016</w:t>
      </w:r>
      <w:r w:rsidRPr="009348B2">
        <w:rPr>
          <w:rFonts w:ascii="Times New Roman" w:hAnsi="Times New Roman"/>
          <w:sz w:val="16"/>
          <w:szCs w:val="16"/>
        </w:rPr>
        <w:t xml:space="preserve"> </w:t>
      </w:r>
      <w:r>
        <w:t xml:space="preserve"> </w:t>
      </w:r>
    </w:p>
  </w:footnote>
  <w:footnote w:id="24">
    <w:p w14:paraId="63DAC8E5" w14:textId="79EE239A" w:rsidR="00E112CD" w:rsidRDefault="00E112CD" w:rsidP="00C77EED">
      <w:pPr>
        <w:pStyle w:val="FootnoteText"/>
        <w:ind w:right="-900"/>
      </w:pPr>
      <w:r w:rsidRPr="00B459E4">
        <w:rPr>
          <w:rStyle w:val="FootnoteReference"/>
          <w:rFonts w:ascii="Times New Roman" w:hAnsi="Times New Roman"/>
          <w:sz w:val="16"/>
          <w:szCs w:val="16"/>
        </w:rPr>
        <w:footnoteRef/>
      </w:r>
      <w:r>
        <w:rPr>
          <w:rFonts w:ascii="Times New Roman" w:eastAsia="SimSun" w:hAnsi="Times New Roman"/>
          <w:color w:val="000000"/>
          <w:sz w:val="16"/>
          <w:szCs w:val="16"/>
        </w:rPr>
        <w:t>National Statistical Committee</w:t>
      </w:r>
    </w:p>
  </w:footnote>
  <w:footnote w:id="25">
    <w:p w14:paraId="5B59D6A0" w14:textId="77777777" w:rsidR="00E112CD" w:rsidRPr="009348B2" w:rsidRDefault="00E112CD" w:rsidP="00C77EED">
      <w:pPr>
        <w:pStyle w:val="FootnoteText"/>
        <w:ind w:right="-900"/>
        <w:rPr>
          <w:rFonts w:ascii="Times New Roman" w:hAnsi="Times New Roman"/>
          <w:sz w:val="16"/>
          <w:szCs w:val="16"/>
        </w:rPr>
      </w:pPr>
      <w:r w:rsidRPr="009348B2">
        <w:rPr>
          <w:rStyle w:val="FootnoteReference"/>
          <w:rFonts w:ascii="Times New Roman" w:hAnsi="Times New Roman"/>
          <w:sz w:val="16"/>
          <w:szCs w:val="16"/>
        </w:rPr>
        <w:footnoteRef/>
      </w:r>
      <w:r w:rsidRPr="009348B2">
        <w:rPr>
          <w:rFonts w:ascii="Times New Roman" w:hAnsi="Times New Roman"/>
          <w:sz w:val="16"/>
          <w:szCs w:val="16"/>
        </w:rPr>
        <w:t xml:space="preserve">https://www.imf.org/external/pubs/ft/scr/2016/cr1656.pdf </w:t>
      </w:r>
    </w:p>
  </w:footnote>
  <w:footnote w:id="26">
    <w:p w14:paraId="285400E9" w14:textId="263972E4" w:rsidR="00E112CD" w:rsidRPr="00A211CE" w:rsidRDefault="00E112CD" w:rsidP="00C77EED">
      <w:pPr>
        <w:pStyle w:val="FootnoteText"/>
        <w:ind w:right="-900"/>
        <w:rPr>
          <w:rFonts w:ascii="Times New Roman" w:hAnsi="Times New Roman"/>
          <w:sz w:val="16"/>
          <w:szCs w:val="16"/>
        </w:rPr>
      </w:pPr>
      <w:r w:rsidRPr="00B459E4">
        <w:rPr>
          <w:rStyle w:val="FootnoteReference"/>
          <w:rFonts w:ascii="Times New Roman" w:hAnsi="Times New Roman"/>
          <w:sz w:val="16"/>
          <w:szCs w:val="16"/>
        </w:rPr>
        <w:footnoteRef/>
      </w:r>
      <w:r w:rsidRPr="00EF7DEE">
        <w:rPr>
          <w:rFonts w:ascii="Times New Roman" w:eastAsia="PTSans-Regular" w:hAnsi="Times New Roman"/>
          <w:sz w:val="16"/>
          <w:szCs w:val="16"/>
        </w:rPr>
        <w:t>Women and Men of the Kyrgyz Republic 2014. National Statistical Com</w:t>
      </w:r>
      <w:r>
        <w:rPr>
          <w:rFonts w:ascii="Times New Roman" w:eastAsia="PTSans-Regular" w:hAnsi="Times New Roman"/>
          <w:sz w:val="16"/>
          <w:szCs w:val="16"/>
        </w:rPr>
        <w:t>mittee</w:t>
      </w:r>
    </w:p>
  </w:footnote>
  <w:footnote w:id="27">
    <w:p w14:paraId="39B3A47D" w14:textId="4B0FA133" w:rsidR="00E112CD" w:rsidRPr="009348B2" w:rsidRDefault="00E112CD" w:rsidP="00C77EED">
      <w:pPr>
        <w:autoSpaceDE w:val="0"/>
        <w:autoSpaceDN w:val="0"/>
        <w:adjustRightInd w:val="0"/>
        <w:ind w:right="-900"/>
        <w:rPr>
          <w:sz w:val="16"/>
          <w:szCs w:val="16"/>
        </w:rPr>
      </w:pPr>
      <w:r w:rsidRPr="009348B2">
        <w:rPr>
          <w:rStyle w:val="FootnoteReference"/>
          <w:sz w:val="16"/>
          <w:szCs w:val="16"/>
        </w:rPr>
        <w:footnoteRef/>
      </w:r>
      <w:r>
        <w:rPr>
          <w:sz w:val="16"/>
          <w:szCs w:val="16"/>
        </w:rPr>
        <w:t>Ibid</w:t>
      </w:r>
      <w:r>
        <w:rPr>
          <w:rFonts w:eastAsia="PTSans-Regular"/>
          <w:sz w:val="16"/>
          <w:szCs w:val="16"/>
        </w:rPr>
        <w:t xml:space="preserve"> </w:t>
      </w:r>
    </w:p>
  </w:footnote>
  <w:footnote w:id="28">
    <w:p w14:paraId="711ABEEB" w14:textId="6FD54AC4" w:rsidR="00E112CD" w:rsidRPr="006447C5" w:rsidRDefault="00E112CD" w:rsidP="00C77EED">
      <w:pPr>
        <w:pStyle w:val="FootnoteText"/>
        <w:ind w:right="-900"/>
        <w:rPr>
          <w:rFonts w:ascii="Times New Roman" w:hAnsi="Times New Roman"/>
        </w:rPr>
      </w:pPr>
      <w:r w:rsidRPr="00B459E4">
        <w:rPr>
          <w:rStyle w:val="FootnoteReference"/>
          <w:rFonts w:ascii="Times New Roman" w:hAnsi="Times New Roman"/>
          <w:sz w:val="16"/>
          <w:szCs w:val="16"/>
        </w:rPr>
        <w:footnoteRef/>
      </w:r>
      <w:r w:rsidRPr="006447C5">
        <w:rPr>
          <w:rFonts w:ascii="Times New Roman" w:hAnsi="Times New Roman"/>
          <w:sz w:val="16"/>
          <w:szCs w:val="16"/>
        </w:rPr>
        <w:t>Legal Barriers to Women’s Participation in the Economy in the Kyrgyz Republic.</w:t>
      </w:r>
      <w:r w:rsidRPr="006447C5">
        <w:rPr>
          <w:rFonts w:ascii="Times New Roman" w:eastAsia="PTSans-Regular" w:hAnsi="Times New Roman"/>
          <w:sz w:val="16"/>
          <w:szCs w:val="16"/>
        </w:rPr>
        <w:t xml:space="preserve"> </w:t>
      </w:r>
      <w:r>
        <w:rPr>
          <w:rFonts w:ascii="Times New Roman" w:eastAsia="PTSans-Regular" w:hAnsi="Times New Roman"/>
          <w:sz w:val="16"/>
          <w:szCs w:val="16"/>
        </w:rPr>
        <w:t xml:space="preserve">Report of </w:t>
      </w:r>
      <w:r w:rsidRPr="00EF7DEE">
        <w:rPr>
          <w:rFonts w:ascii="Times New Roman" w:eastAsia="PTSans-Regular" w:hAnsi="Times New Roman"/>
          <w:sz w:val="16"/>
          <w:szCs w:val="16"/>
        </w:rPr>
        <w:t>the Law and Development Partnership for EBRD</w:t>
      </w:r>
      <w:r w:rsidRPr="006447C5">
        <w:rPr>
          <w:rFonts w:ascii="Times New Roman" w:hAnsi="Times New Roman"/>
          <w:sz w:val="16"/>
          <w:szCs w:val="16"/>
        </w:rPr>
        <w:t xml:space="preserve"> </w:t>
      </w:r>
      <w:r w:rsidRPr="006447C5">
        <w:rPr>
          <w:rFonts w:ascii="Times New Roman" w:hAnsi="Times New Roman"/>
        </w:rPr>
        <w:t xml:space="preserve"> </w:t>
      </w:r>
    </w:p>
  </w:footnote>
  <w:footnote w:id="29">
    <w:p w14:paraId="2A1B2B71" w14:textId="3C97C86D" w:rsidR="00E112CD" w:rsidRPr="009348B2" w:rsidRDefault="00E112CD" w:rsidP="00C77EED">
      <w:pPr>
        <w:pStyle w:val="FootnoteText"/>
        <w:ind w:right="-900"/>
        <w:rPr>
          <w:rFonts w:ascii="Times New Roman" w:hAnsi="Times New Roman"/>
          <w:sz w:val="16"/>
          <w:szCs w:val="16"/>
        </w:rPr>
      </w:pPr>
      <w:r w:rsidRPr="009348B2">
        <w:rPr>
          <w:rStyle w:val="FootnoteReference"/>
          <w:rFonts w:ascii="Times New Roman" w:hAnsi="Times New Roman"/>
          <w:sz w:val="16"/>
          <w:szCs w:val="16"/>
        </w:rPr>
        <w:footnoteRef/>
      </w:r>
      <w:r w:rsidRPr="009348B2">
        <w:rPr>
          <w:rFonts w:ascii="Times New Roman" w:hAnsi="Times New Roman"/>
          <w:bCs/>
          <w:sz w:val="16"/>
          <w:szCs w:val="16"/>
        </w:rPr>
        <w:t>I</w:t>
      </w:r>
      <w:r>
        <w:rPr>
          <w:rFonts w:ascii="Times New Roman" w:hAnsi="Times New Roman"/>
          <w:bCs/>
          <w:sz w:val="16"/>
          <w:szCs w:val="16"/>
        </w:rPr>
        <w:t>MF c</w:t>
      </w:r>
      <w:r w:rsidRPr="009348B2">
        <w:rPr>
          <w:rFonts w:ascii="Times New Roman" w:hAnsi="Times New Roman"/>
          <w:bCs/>
          <w:sz w:val="16"/>
          <w:szCs w:val="16"/>
        </w:rPr>
        <w:t xml:space="preserve">ountry </w:t>
      </w:r>
      <w:r>
        <w:rPr>
          <w:rFonts w:ascii="Times New Roman" w:hAnsi="Times New Roman"/>
          <w:bCs/>
          <w:sz w:val="16"/>
          <w:szCs w:val="16"/>
        </w:rPr>
        <w:t>r</w:t>
      </w:r>
      <w:r w:rsidRPr="009348B2">
        <w:rPr>
          <w:rFonts w:ascii="Times New Roman" w:hAnsi="Times New Roman"/>
          <w:bCs/>
          <w:sz w:val="16"/>
          <w:szCs w:val="16"/>
        </w:rPr>
        <w:t>eport</w:t>
      </w:r>
      <w:r>
        <w:rPr>
          <w:rFonts w:ascii="Times New Roman" w:hAnsi="Times New Roman"/>
          <w:bCs/>
          <w:sz w:val="16"/>
          <w:szCs w:val="16"/>
        </w:rPr>
        <w:t>,</w:t>
      </w:r>
      <w:r w:rsidRPr="009348B2">
        <w:rPr>
          <w:rFonts w:ascii="Times New Roman" w:hAnsi="Times New Roman"/>
          <w:bCs/>
          <w:sz w:val="16"/>
          <w:szCs w:val="16"/>
        </w:rPr>
        <w:t xml:space="preserve"> February 2016</w:t>
      </w:r>
      <w:r w:rsidRPr="009348B2">
        <w:rPr>
          <w:rFonts w:ascii="Times New Roman" w:hAnsi="Times New Roman"/>
          <w:sz w:val="16"/>
          <w:szCs w:val="16"/>
        </w:rPr>
        <w:t xml:space="preserve"> </w:t>
      </w:r>
    </w:p>
  </w:footnote>
  <w:footnote w:id="30">
    <w:p w14:paraId="6F5E6172" w14:textId="6E0B0DBE" w:rsidR="00E112CD" w:rsidRPr="009348B2" w:rsidRDefault="00E112CD" w:rsidP="00C77EED">
      <w:pPr>
        <w:pStyle w:val="FootnoteText"/>
        <w:ind w:right="-900"/>
        <w:rPr>
          <w:rFonts w:ascii="Times New Roman" w:hAnsi="Times New Roman"/>
          <w:sz w:val="16"/>
          <w:szCs w:val="16"/>
        </w:rPr>
      </w:pPr>
      <w:r w:rsidRPr="009348B2">
        <w:rPr>
          <w:rStyle w:val="FootnoteReference"/>
          <w:rFonts w:ascii="Times New Roman" w:hAnsi="Times New Roman"/>
          <w:sz w:val="16"/>
          <w:szCs w:val="16"/>
        </w:rPr>
        <w:footnoteRef/>
      </w:r>
      <w:r w:rsidRPr="00EF7DEE">
        <w:rPr>
          <w:rFonts w:ascii="Times New Roman" w:hAnsi="Times New Roman"/>
          <w:sz w:val="16"/>
          <w:szCs w:val="16"/>
        </w:rPr>
        <w:t>Common country assessment,</w:t>
      </w:r>
      <w:r>
        <w:rPr>
          <w:rFonts w:ascii="Times New Roman" w:hAnsi="Times New Roman"/>
          <w:sz w:val="16"/>
          <w:szCs w:val="16"/>
        </w:rPr>
        <w:t xml:space="preserve"> </w:t>
      </w:r>
      <w:r w:rsidRPr="009348B2">
        <w:rPr>
          <w:rFonts w:ascii="Times New Roman" w:hAnsi="Times New Roman"/>
          <w:sz w:val="16"/>
          <w:szCs w:val="16"/>
        </w:rPr>
        <w:t xml:space="preserve">2016  </w:t>
      </w:r>
    </w:p>
  </w:footnote>
  <w:footnote w:id="31">
    <w:p w14:paraId="12CD32A0" w14:textId="5F0FB12F" w:rsidR="00E112CD" w:rsidRDefault="00E112CD">
      <w:pPr>
        <w:pStyle w:val="FootnoteText"/>
      </w:pPr>
      <w:r w:rsidRPr="00555447">
        <w:rPr>
          <w:rStyle w:val="FootnoteReference"/>
          <w:rFonts w:ascii="Times New Roman" w:hAnsi="Times New Roman"/>
          <w:sz w:val="16"/>
          <w:szCs w:val="16"/>
        </w:rPr>
        <w:footnoteRef/>
      </w:r>
      <w:r>
        <w:rPr>
          <w:rFonts w:ascii="Times New Roman" w:hAnsi="Times New Roman"/>
          <w:sz w:val="16"/>
          <w:szCs w:val="16"/>
        </w:rPr>
        <w:t xml:space="preserve"> </w:t>
      </w:r>
      <w:hyperlink r:id="rId1" w:history="1">
        <w:r w:rsidRPr="003C6E99">
          <w:rPr>
            <w:rStyle w:val="Hyperlink"/>
            <w:rFonts w:ascii="Times New Roman" w:hAnsi="Times New Roman"/>
            <w:color w:val="auto"/>
            <w:sz w:val="16"/>
            <w:szCs w:val="16"/>
          </w:rPr>
          <w:t>http://mes.kg/upload/kniga_2015/book_rus000.html</w:t>
        </w:r>
      </w:hyperlink>
      <w:r>
        <w:t xml:space="preserve"> </w:t>
      </w:r>
    </w:p>
  </w:footnote>
  <w:footnote w:id="32">
    <w:p w14:paraId="651BE04A" w14:textId="77777777" w:rsidR="00E112CD" w:rsidRPr="009348B2" w:rsidRDefault="00E112CD" w:rsidP="00C77EED">
      <w:pPr>
        <w:pStyle w:val="FootnoteText"/>
        <w:ind w:right="-900"/>
        <w:rPr>
          <w:rFonts w:ascii="Times New Roman" w:hAnsi="Times New Roman"/>
          <w:sz w:val="16"/>
          <w:szCs w:val="16"/>
        </w:rPr>
      </w:pPr>
      <w:r w:rsidRPr="009348B2">
        <w:rPr>
          <w:rStyle w:val="FootnoteReference"/>
          <w:rFonts w:ascii="Times New Roman" w:hAnsi="Times New Roman"/>
          <w:sz w:val="16"/>
          <w:szCs w:val="16"/>
        </w:rPr>
        <w:footnoteRef/>
      </w:r>
      <w:r w:rsidRPr="00812D20">
        <w:rPr>
          <w:rFonts w:ascii="Times New Roman" w:hAnsi="Times New Roman"/>
          <w:sz w:val="16"/>
          <w:szCs w:val="16"/>
        </w:rPr>
        <w:t xml:space="preserve">http://www.gfdrr.org/sites/gfdrr.org/files/KyrgyzRepublic.pdf </w:t>
      </w:r>
    </w:p>
  </w:footnote>
  <w:footnote w:id="33">
    <w:p w14:paraId="7978719D" w14:textId="20964CF1" w:rsidR="00E112CD" w:rsidRPr="009B0289" w:rsidRDefault="00E112CD" w:rsidP="00C77EED">
      <w:pPr>
        <w:pStyle w:val="FootnoteText"/>
        <w:ind w:right="-900"/>
        <w:rPr>
          <w:rFonts w:ascii="Times New Roman" w:hAnsi="Times New Roman"/>
          <w:sz w:val="16"/>
          <w:szCs w:val="16"/>
        </w:rPr>
      </w:pPr>
      <w:r w:rsidRPr="009B0289">
        <w:rPr>
          <w:rStyle w:val="FootnoteReference"/>
          <w:rFonts w:ascii="Times New Roman" w:hAnsi="Times New Roman"/>
          <w:sz w:val="16"/>
          <w:szCs w:val="16"/>
        </w:rPr>
        <w:footnoteRef/>
      </w:r>
      <w:r w:rsidRPr="009B0289">
        <w:rPr>
          <w:rFonts w:ascii="Times New Roman" w:hAnsi="Times New Roman"/>
          <w:sz w:val="16"/>
          <w:szCs w:val="16"/>
        </w:rPr>
        <w:t xml:space="preserve"> Fo</w:t>
      </w:r>
      <w:r>
        <w:rPr>
          <w:rFonts w:ascii="Times New Roman" w:hAnsi="Times New Roman"/>
          <w:sz w:val="16"/>
          <w:szCs w:val="16"/>
        </w:rPr>
        <w:t>u</w:t>
      </w:r>
      <w:r w:rsidRPr="009B0289">
        <w:rPr>
          <w:rFonts w:ascii="Times New Roman" w:hAnsi="Times New Roman"/>
          <w:sz w:val="16"/>
          <w:szCs w:val="16"/>
        </w:rPr>
        <w:t xml:space="preserve">rth </w:t>
      </w:r>
      <w:r>
        <w:rPr>
          <w:rFonts w:ascii="Times New Roman" w:hAnsi="Times New Roman"/>
          <w:sz w:val="16"/>
          <w:szCs w:val="16"/>
        </w:rPr>
        <w:t>n</w:t>
      </w:r>
      <w:r w:rsidRPr="009B0289">
        <w:rPr>
          <w:rFonts w:ascii="Times New Roman" w:hAnsi="Times New Roman"/>
          <w:sz w:val="16"/>
          <w:szCs w:val="16"/>
        </w:rPr>
        <w:t xml:space="preserve">ational </w:t>
      </w:r>
      <w:r>
        <w:rPr>
          <w:rFonts w:ascii="Times New Roman" w:hAnsi="Times New Roman"/>
          <w:sz w:val="16"/>
          <w:szCs w:val="16"/>
        </w:rPr>
        <w:t>b</w:t>
      </w:r>
      <w:r w:rsidRPr="009B0289">
        <w:rPr>
          <w:rFonts w:ascii="Times New Roman" w:hAnsi="Times New Roman"/>
          <w:sz w:val="16"/>
          <w:szCs w:val="16"/>
        </w:rPr>
        <w:t xml:space="preserve">iodiversity </w:t>
      </w:r>
      <w:r>
        <w:rPr>
          <w:rFonts w:ascii="Times New Roman" w:hAnsi="Times New Roman"/>
          <w:sz w:val="16"/>
          <w:szCs w:val="16"/>
        </w:rPr>
        <w:t>r</w:t>
      </w:r>
      <w:r w:rsidRPr="009B0289">
        <w:rPr>
          <w:rFonts w:ascii="Times New Roman" w:hAnsi="Times New Roman"/>
          <w:sz w:val="16"/>
          <w:szCs w:val="16"/>
        </w:rPr>
        <w:t xml:space="preserve">eport, 2008 </w:t>
      </w:r>
    </w:p>
  </w:footnote>
  <w:footnote w:id="34">
    <w:p w14:paraId="1CAB821B" w14:textId="52614BCE" w:rsidR="00E112CD" w:rsidRDefault="00E112CD" w:rsidP="00C77EED">
      <w:pPr>
        <w:pStyle w:val="FootnoteText"/>
        <w:ind w:right="-900"/>
      </w:pPr>
      <w:r w:rsidRPr="00555447">
        <w:rPr>
          <w:rStyle w:val="FootnoteReference"/>
          <w:rFonts w:ascii="Times New Roman" w:hAnsi="Times New Roman"/>
          <w:sz w:val="16"/>
          <w:szCs w:val="16"/>
        </w:rPr>
        <w:footnoteRef/>
      </w:r>
      <w:r>
        <w:rPr>
          <w:rFonts w:ascii="Times New Roman" w:hAnsi="Times New Roman"/>
          <w:sz w:val="16"/>
          <w:szCs w:val="16"/>
          <w:lang w:val="en-GB"/>
        </w:rPr>
        <w:t>Sixty per cent</w:t>
      </w:r>
      <w:r w:rsidRPr="00DB501E">
        <w:rPr>
          <w:rFonts w:ascii="Times New Roman" w:hAnsi="Times New Roman"/>
          <w:sz w:val="16"/>
          <w:szCs w:val="16"/>
          <w:lang w:val="en-GB"/>
        </w:rPr>
        <w:t xml:space="preserve"> of land is affected by topsoil loss</w:t>
      </w:r>
      <w:r>
        <w:rPr>
          <w:rFonts w:ascii="Times New Roman" w:hAnsi="Times New Roman"/>
          <w:sz w:val="16"/>
          <w:szCs w:val="16"/>
          <w:lang w:val="en-GB"/>
        </w:rPr>
        <w:t>,</w:t>
      </w:r>
      <w:r w:rsidRPr="00DB501E">
        <w:rPr>
          <w:rFonts w:ascii="Times New Roman" w:hAnsi="Times New Roman"/>
          <w:sz w:val="16"/>
          <w:szCs w:val="16"/>
          <w:lang w:val="en-GB"/>
        </w:rPr>
        <w:t xml:space="preserve"> 6</w:t>
      </w:r>
      <w:r>
        <w:rPr>
          <w:rFonts w:ascii="Times New Roman" w:hAnsi="Times New Roman"/>
          <w:sz w:val="16"/>
          <w:szCs w:val="16"/>
          <w:lang w:val="en-GB"/>
        </w:rPr>
        <w:t xml:space="preserve"> per cent</w:t>
      </w:r>
      <w:r w:rsidRPr="00DB501E">
        <w:rPr>
          <w:rFonts w:ascii="Times New Roman" w:hAnsi="Times New Roman"/>
          <w:sz w:val="16"/>
          <w:szCs w:val="16"/>
          <w:lang w:val="en-GB"/>
        </w:rPr>
        <w:t xml:space="preserve"> by salinization</w:t>
      </w:r>
      <w:r>
        <w:rPr>
          <w:rFonts w:ascii="Times New Roman" w:hAnsi="Times New Roman"/>
          <w:sz w:val="16"/>
          <w:szCs w:val="16"/>
          <w:lang w:val="en-GB"/>
        </w:rPr>
        <w:t>.</w:t>
      </w:r>
    </w:p>
  </w:footnote>
  <w:footnote w:id="35">
    <w:p w14:paraId="7AAB1933" w14:textId="793C6728" w:rsidR="00E112CD" w:rsidRPr="000A23C0" w:rsidRDefault="00E112CD" w:rsidP="00C77EED">
      <w:pPr>
        <w:pStyle w:val="FootnoteText"/>
        <w:ind w:right="-900"/>
        <w:rPr>
          <w:rFonts w:ascii="Times New Roman" w:hAnsi="Times New Roman"/>
          <w:sz w:val="16"/>
          <w:szCs w:val="16"/>
        </w:rPr>
      </w:pPr>
      <w:r w:rsidRPr="000A23C0">
        <w:rPr>
          <w:rStyle w:val="FootnoteReference"/>
          <w:rFonts w:ascii="Times New Roman" w:hAnsi="Times New Roman"/>
          <w:sz w:val="16"/>
          <w:szCs w:val="16"/>
        </w:rPr>
        <w:footnoteRef/>
      </w:r>
      <w:r w:rsidRPr="000A23C0">
        <w:rPr>
          <w:rFonts w:ascii="Times New Roman" w:hAnsi="Times New Roman"/>
          <w:sz w:val="16"/>
          <w:szCs w:val="16"/>
        </w:rPr>
        <w:t>A</w:t>
      </w:r>
      <w:r>
        <w:rPr>
          <w:rFonts w:ascii="Times New Roman" w:hAnsi="Times New Roman"/>
          <w:sz w:val="16"/>
          <w:szCs w:val="16"/>
        </w:rPr>
        <w:t>ssessment of development results</w:t>
      </w:r>
      <w:r w:rsidRPr="000A23C0">
        <w:rPr>
          <w:rFonts w:ascii="Times New Roman" w:hAnsi="Times New Roman"/>
          <w:sz w:val="16"/>
          <w:szCs w:val="16"/>
        </w:rPr>
        <w:t xml:space="preserve"> </w:t>
      </w:r>
    </w:p>
  </w:footnote>
  <w:footnote w:id="36">
    <w:p w14:paraId="10F2C01A" w14:textId="6DB0762F" w:rsidR="00E112CD" w:rsidRPr="000A23C0" w:rsidRDefault="00E112CD" w:rsidP="00C77EED">
      <w:pPr>
        <w:pStyle w:val="FootnoteText"/>
        <w:ind w:right="-900"/>
        <w:rPr>
          <w:rFonts w:ascii="Times New Roman" w:hAnsi="Times New Roman"/>
          <w:sz w:val="16"/>
          <w:szCs w:val="16"/>
        </w:rPr>
      </w:pPr>
      <w:r w:rsidRPr="000A23C0">
        <w:rPr>
          <w:rStyle w:val="FootnoteReference"/>
          <w:rFonts w:ascii="Times New Roman" w:hAnsi="Times New Roman"/>
          <w:sz w:val="16"/>
          <w:szCs w:val="16"/>
        </w:rPr>
        <w:footnoteRef/>
      </w:r>
      <w:r>
        <w:rPr>
          <w:rFonts w:ascii="Times New Roman" w:hAnsi="Times New Roman"/>
          <w:sz w:val="16"/>
          <w:szCs w:val="16"/>
        </w:rPr>
        <w:t>Ibid.</w:t>
      </w:r>
    </w:p>
  </w:footnote>
  <w:footnote w:id="37">
    <w:p w14:paraId="4BC0619D" w14:textId="19006E90" w:rsidR="00E112CD" w:rsidRDefault="00E112CD" w:rsidP="00C77EED">
      <w:pPr>
        <w:pStyle w:val="FootnoteText"/>
        <w:ind w:right="-900"/>
      </w:pPr>
      <w:r w:rsidRPr="00555447">
        <w:rPr>
          <w:rStyle w:val="FootnoteReference"/>
          <w:rFonts w:ascii="Times New Roman" w:hAnsi="Times New Roman"/>
          <w:sz w:val="16"/>
          <w:szCs w:val="16"/>
        </w:rPr>
        <w:footnoteRef/>
      </w:r>
      <w:r>
        <w:rPr>
          <w:rFonts w:ascii="Times New Roman" w:hAnsi="Times New Roman"/>
          <w:sz w:val="16"/>
          <w:szCs w:val="16"/>
        </w:rPr>
        <w:t>Ibid.</w:t>
      </w:r>
      <w:r w:rsidRPr="000A23C0">
        <w:rPr>
          <w:rFonts w:ascii="Times New Roman" w:hAnsi="Times New Roman"/>
          <w:sz w:val="16"/>
          <w:szCs w:val="16"/>
        </w:rPr>
        <w:t xml:space="preserve"> </w:t>
      </w:r>
    </w:p>
  </w:footnote>
  <w:footnote w:id="38">
    <w:p w14:paraId="2E6D9868" w14:textId="722CCB2B" w:rsidR="00E112CD" w:rsidRPr="005B49F0" w:rsidRDefault="00E112CD" w:rsidP="00C77EED">
      <w:pPr>
        <w:pStyle w:val="FootnoteText"/>
        <w:ind w:right="-900"/>
        <w:rPr>
          <w:rFonts w:ascii="Times New Roman" w:hAnsi="Times New Roman"/>
          <w:sz w:val="16"/>
          <w:szCs w:val="16"/>
        </w:rPr>
      </w:pPr>
      <w:r w:rsidRPr="00555447">
        <w:rPr>
          <w:rStyle w:val="FootnoteReference"/>
          <w:rFonts w:ascii="Times New Roman" w:hAnsi="Times New Roman"/>
          <w:sz w:val="16"/>
          <w:szCs w:val="16"/>
        </w:rPr>
        <w:footnoteRef/>
      </w:r>
      <w:r w:rsidRPr="005B49F0">
        <w:rPr>
          <w:rFonts w:ascii="Times New Roman" w:hAnsi="Times New Roman"/>
          <w:sz w:val="16"/>
          <w:szCs w:val="16"/>
        </w:rPr>
        <w:t xml:space="preserve">Since 2011 UNDP </w:t>
      </w:r>
      <w:r>
        <w:rPr>
          <w:rFonts w:ascii="Times New Roman" w:hAnsi="Times New Roman"/>
          <w:sz w:val="16"/>
          <w:szCs w:val="16"/>
        </w:rPr>
        <w:t>has been</w:t>
      </w:r>
      <w:r w:rsidRPr="005B49F0">
        <w:rPr>
          <w:rFonts w:ascii="Times New Roman" w:hAnsi="Times New Roman"/>
          <w:sz w:val="16"/>
          <w:szCs w:val="16"/>
        </w:rPr>
        <w:t xml:space="preserve"> </w:t>
      </w:r>
      <w:r>
        <w:rPr>
          <w:rFonts w:ascii="Times New Roman" w:hAnsi="Times New Roman"/>
          <w:sz w:val="16"/>
          <w:szCs w:val="16"/>
        </w:rPr>
        <w:t>the p</w:t>
      </w:r>
      <w:r w:rsidRPr="005B49F0">
        <w:rPr>
          <w:rFonts w:ascii="Times New Roman" w:hAnsi="Times New Roman"/>
          <w:sz w:val="16"/>
          <w:szCs w:val="16"/>
        </w:rPr>
        <w:t xml:space="preserve">rimary </w:t>
      </w:r>
      <w:r>
        <w:rPr>
          <w:rFonts w:ascii="Times New Roman" w:hAnsi="Times New Roman"/>
          <w:sz w:val="16"/>
          <w:szCs w:val="16"/>
        </w:rPr>
        <w:t>r</w:t>
      </w:r>
      <w:r w:rsidRPr="005B49F0">
        <w:rPr>
          <w:rFonts w:ascii="Times New Roman" w:hAnsi="Times New Roman"/>
          <w:sz w:val="16"/>
          <w:szCs w:val="16"/>
        </w:rPr>
        <w:t xml:space="preserve">ecipient of Global Fund to </w:t>
      </w:r>
      <w:r>
        <w:rPr>
          <w:rFonts w:ascii="Times New Roman" w:hAnsi="Times New Roman"/>
          <w:sz w:val="16"/>
          <w:szCs w:val="16"/>
        </w:rPr>
        <w:t>Fight AIDS, Tuberculosis and Malaria (GFATM) grants.</w:t>
      </w:r>
    </w:p>
  </w:footnote>
  <w:footnote w:id="39">
    <w:p w14:paraId="3D7C957D" w14:textId="7DBBD3B4" w:rsidR="00E112CD" w:rsidRDefault="00E112CD" w:rsidP="00C77EED">
      <w:pPr>
        <w:pStyle w:val="FootnoteText"/>
        <w:ind w:right="-900"/>
      </w:pPr>
      <w:r w:rsidRPr="00146B93">
        <w:rPr>
          <w:rStyle w:val="FootnoteReference"/>
          <w:rFonts w:ascii="Times New Roman" w:hAnsi="Times New Roman"/>
          <w:sz w:val="16"/>
          <w:szCs w:val="16"/>
        </w:rPr>
        <w:footnoteRef/>
      </w:r>
      <w:r w:rsidRPr="000A23C0">
        <w:rPr>
          <w:rFonts w:ascii="Times New Roman" w:hAnsi="Times New Roman"/>
          <w:sz w:val="16"/>
          <w:szCs w:val="16"/>
        </w:rPr>
        <w:t>A</w:t>
      </w:r>
      <w:r>
        <w:rPr>
          <w:rFonts w:ascii="Times New Roman" w:hAnsi="Times New Roman"/>
          <w:sz w:val="16"/>
          <w:szCs w:val="16"/>
        </w:rPr>
        <w:t>ssessment of development results</w:t>
      </w:r>
      <w:r w:rsidRPr="000A23C0">
        <w:rPr>
          <w:rFonts w:ascii="Times New Roman" w:hAnsi="Times New Roman"/>
          <w:sz w:val="16"/>
          <w:szCs w:val="16"/>
        </w:rPr>
        <w:t xml:space="preserve"> </w:t>
      </w:r>
      <w:r>
        <w:t xml:space="preserve"> </w:t>
      </w:r>
    </w:p>
  </w:footnote>
  <w:footnote w:id="40">
    <w:p w14:paraId="6F7FAFBA" w14:textId="48D88D13" w:rsidR="00E112CD" w:rsidRPr="00FB4F0F" w:rsidRDefault="00E112CD" w:rsidP="00C77EED">
      <w:pPr>
        <w:pStyle w:val="FootnoteText"/>
        <w:ind w:right="-900"/>
        <w:rPr>
          <w:rFonts w:ascii="Times New Roman" w:hAnsi="Times New Roman"/>
          <w:sz w:val="16"/>
          <w:szCs w:val="16"/>
        </w:rPr>
      </w:pPr>
      <w:r w:rsidRPr="00146B93">
        <w:rPr>
          <w:rStyle w:val="FootnoteReference"/>
          <w:rFonts w:ascii="Times New Roman" w:hAnsi="Times New Roman"/>
          <w:sz w:val="16"/>
          <w:szCs w:val="16"/>
        </w:rPr>
        <w:footnoteRef/>
      </w:r>
      <w:r>
        <w:rPr>
          <w:rFonts w:ascii="Times New Roman" w:hAnsi="Times New Roman"/>
          <w:sz w:val="16"/>
          <w:szCs w:val="16"/>
        </w:rPr>
        <w:t>Ibid.</w:t>
      </w:r>
      <w:r w:rsidRPr="00FB4F0F">
        <w:rPr>
          <w:rFonts w:ascii="Times New Roman" w:hAnsi="Times New Roman"/>
          <w:sz w:val="16"/>
          <w:szCs w:val="16"/>
        </w:rPr>
        <w:t xml:space="preserve">  </w:t>
      </w:r>
    </w:p>
  </w:footnote>
  <w:footnote w:id="41">
    <w:p w14:paraId="6A79E8B5" w14:textId="369340C0" w:rsidR="00E112CD" w:rsidRPr="005F2A7A" w:rsidRDefault="00E112CD" w:rsidP="00C77EED">
      <w:pPr>
        <w:pStyle w:val="FootnoteText"/>
        <w:ind w:right="-900"/>
        <w:rPr>
          <w:rFonts w:ascii="Times New Roman" w:hAnsi="Times New Roman"/>
          <w:sz w:val="16"/>
          <w:szCs w:val="16"/>
        </w:rPr>
      </w:pPr>
      <w:r w:rsidRPr="005F2A7A">
        <w:rPr>
          <w:rStyle w:val="FootnoteReference"/>
          <w:rFonts w:ascii="Times New Roman" w:hAnsi="Times New Roman"/>
          <w:sz w:val="16"/>
          <w:szCs w:val="16"/>
        </w:rPr>
        <w:footnoteRef/>
      </w:r>
      <w:r>
        <w:rPr>
          <w:rFonts w:ascii="Times New Roman" w:hAnsi="Times New Roman"/>
          <w:sz w:val="16"/>
          <w:szCs w:val="16"/>
        </w:rPr>
        <w:t>Ibid.</w:t>
      </w:r>
    </w:p>
  </w:footnote>
  <w:footnote w:id="42">
    <w:p w14:paraId="1F8911BD" w14:textId="7FA43882" w:rsidR="00E112CD" w:rsidRPr="005F2A7A" w:rsidRDefault="00E112CD" w:rsidP="00C77EED">
      <w:pPr>
        <w:pStyle w:val="FootnoteText"/>
        <w:ind w:right="-900"/>
        <w:rPr>
          <w:rFonts w:ascii="Times New Roman" w:hAnsi="Times New Roman"/>
          <w:sz w:val="16"/>
          <w:szCs w:val="16"/>
        </w:rPr>
      </w:pPr>
      <w:r w:rsidRPr="005F2A7A">
        <w:rPr>
          <w:rStyle w:val="FootnoteReference"/>
          <w:rFonts w:ascii="Times New Roman" w:hAnsi="Times New Roman"/>
          <w:sz w:val="16"/>
          <w:szCs w:val="16"/>
        </w:rPr>
        <w:footnoteRef/>
      </w:r>
      <w:r w:rsidRPr="005F2A7A">
        <w:rPr>
          <w:rFonts w:ascii="Times New Roman" w:hAnsi="Times New Roman"/>
          <w:sz w:val="16"/>
          <w:szCs w:val="16"/>
        </w:rPr>
        <w:t>Ibid</w:t>
      </w:r>
    </w:p>
  </w:footnote>
  <w:footnote w:id="43">
    <w:p w14:paraId="687A4198" w14:textId="48100134" w:rsidR="00E112CD" w:rsidRDefault="00E112CD" w:rsidP="00C77EED">
      <w:pPr>
        <w:pStyle w:val="FootnoteText"/>
        <w:ind w:right="-900"/>
      </w:pPr>
      <w:r w:rsidRPr="00641628">
        <w:rPr>
          <w:rStyle w:val="FootnoteReference"/>
          <w:rFonts w:ascii="Times New Roman" w:hAnsi="Times New Roman"/>
          <w:sz w:val="16"/>
          <w:szCs w:val="16"/>
        </w:rPr>
        <w:footnoteRef/>
      </w:r>
      <w:r>
        <w:rPr>
          <w:rFonts w:ascii="Times New Roman" w:hAnsi="Times New Roman"/>
          <w:sz w:val="16"/>
          <w:szCs w:val="16"/>
        </w:rPr>
        <w:t xml:space="preserve">Religious leaders, women (‘atyncha’, ‘aksakals’) </w:t>
      </w:r>
      <w:r w:rsidRPr="00CA4C7F">
        <w:rPr>
          <w:rFonts w:ascii="Times New Roman" w:hAnsi="Times New Roman"/>
          <w:sz w:val="16"/>
          <w:szCs w:val="16"/>
        </w:rPr>
        <w:t xml:space="preserve">as vital partners in </w:t>
      </w:r>
      <w:r>
        <w:rPr>
          <w:rFonts w:ascii="Times New Roman" w:hAnsi="Times New Roman"/>
          <w:sz w:val="16"/>
          <w:szCs w:val="16"/>
        </w:rPr>
        <w:t>prevention of violent extremism</w:t>
      </w:r>
      <w:r w:rsidRPr="00CA4C7F">
        <w:rPr>
          <w:rFonts w:ascii="Times New Roman" w:hAnsi="Times New Roman"/>
          <w:sz w:val="16"/>
          <w:szCs w:val="16"/>
        </w:rPr>
        <w:t xml:space="preserve"> </w:t>
      </w:r>
    </w:p>
  </w:footnote>
  <w:footnote w:id="44">
    <w:p w14:paraId="35335E6E" w14:textId="175ED7D1" w:rsidR="00E112CD" w:rsidRPr="005F2A7A" w:rsidRDefault="00E112CD" w:rsidP="00C77EED">
      <w:pPr>
        <w:pStyle w:val="FootnoteText"/>
        <w:ind w:right="-900"/>
        <w:rPr>
          <w:rFonts w:ascii="Times New Roman" w:hAnsi="Times New Roman"/>
          <w:sz w:val="16"/>
          <w:szCs w:val="16"/>
        </w:rPr>
      </w:pPr>
      <w:r w:rsidRPr="005F2A7A">
        <w:rPr>
          <w:rStyle w:val="FootnoteReference"/>
          <w:rFonts w:ascii="Times New Roman" w:hAnsi="Times New Roman"/>
          <w:sz w:val="16"/>
          <w:szCs w:val="16"/>
        </w:rPr>
        <w:footnoteRef/>
      </w:r>
      <w:r>
        <w:rPr>
          <w:rFonts w:ascii="Times New Roman" w:hAnsi="Times New Roman"/>
          <w:sz w:val="16"/>
          <w:szCs w:val="16"/>
        </w:rPr>
        <w:t xml:space="preserve">Rural and urban poor, </w:t>
      </w:r>
      <w:r w:rsidRPr="004279CE">
        <w:rPr>
          <w:rFonts w:ascii="Times New Roman" w:hAnsi="Times New Roman"/>
          <w:sz w:val="16"/>
          <w:szCs w:val="16"/>
        </w:rPr>
        <w:t xml:space="preserve">women-headed households, </w:t>
      </w:r>
      <w:r>
        <w:rPr>
          <w:rFonts w:ascii="Times New Roman" w:hAnsi="Times New Roman"/>
          <w:sz w:val="16"/>
          <w:szCs w:val="16"/>
        </w:rPr>
        <w:t xml:space="preserve">rural women, </w:t>
      </w:r>
      <w:r w:rsidRPr="004279CE">
        <w:rPr>
          <w:rFonts w:ascii="Times New Roman" w:hAnsi="Times New Roman"/>
          <w:sz w:val="16"/>
          <w:szCs w:val="16"/>
        </w:rPr>
        <w:t xml:space="preserve">unemployed youth, minorities, people with disabilities, </w:t>
      </w:r>
      <w:r w:rsidRPr="00BA3198">
        <w:rPr>
          <w:rFonts w:ascii="Times New Roman" w:hAnsi="Times New Roman"/>
          <w:sz w:val="16"/>
          <w:szCs w:val="16"/>
        </w:rPr>
        <w:t>populations at higher risk of HIV</w:t>
      </w:r>
      <w:r>
        <w:rPr>
          <w:rFonts w:ascii="Times New Roman" w:hAnsi="Times New Roman"/>
          <w:sz w:val="16"/>
          <w:szCs w:val="16"/>
        </w:rPr>
        <w:t>, people living with HIV/AIDS.</w:t>
      </w:r>
    </w:p>
  </w:footnote>
  <w:footnote w:id="45">
    <w:p w14:paraId="53CD817D" w14:textId="3DCAADB1" w:rsidR="00E112CD" w:rsidRPr="0098493D" w:rsidRDefault="00E112CD">
      <w:pPr>
        <w:pStyle w:val="FootnoteText"/>
        <w:rPr>
          <w:rFonts w:ascii="Times New Roman" w:hAnsi="Times New Roman"/>
          <w:sz w:val="16"/>
          <w:szCs w:val="16"/>
        </w:rPr>
      </w:pPr>
      <w:r w:rsidRPr="0098493D">
        <w:rPr>
          <w:rStyle w:val="FootnoteReference"/>
          <w:rFonts w:ascii="Times New Roman" w:hAnsi="Times New Roman"/>
          <w:sz w:val="16"/>
          <w:szCs w:val="16"/>
        </w:rPr>
        <w:footnoteRef/>
      </w:r>
      <w:r w:rsidRPr="00334FF0">
        <w:rPr>
          <w:rFonts w:ascii="Times New Roman" w:hAnsi="Times New Roman"/>
          <w:sz w:val="16"/>
          <w:szCs w:val="16"/>
          <w:lang w:val="en-GB"/>
        </w:rPr>
        <w:t>European Investment Bank</w:t>
      </w:r>
      <w:r w:rsidRPr="00C77EED">
        <w:rPr>
          <w:rFonts w:ascii="Times New Roman" w:hAnsi="Times New Roman"/>
          <w:sz w:val="16"/>
          <w:szCs w:val="16"/>
          <w:lang w:val="en-GB"/>
        </w:rPr>
        <w:t>, EBRD,</w:t>
      </w:r>
      <w:r w:rsidRPr="0098493D">
        <w:rPr>
          <w:rFonts w:ascii="Times New Roman" w:hAnsi="Times New Roman"/>
          <w:sz w:val="16"/>
          <w:szCs w:val="16"/>
          <w:lang w:val="en-GB"/>
        </w:rPr>
        <w:t xml:space="preserve"> W</w:t>
      </w:r>
      <w:r>
        <w:rPr>
          <w:rFonts w:ascii="Times New Roman" w:hAnsi="Times New Roman"/>
          <w:sz w:val="16"/>
          <w:szCs w:val="16"/>
          <w:lang w:val="en-GB"/>
        </w:rPr>
        <w:t>orld Bank, Islamic Development Bank</w:t>
      </w:r>
    </w:p>
  </w:footnote>
  <w:footnote w:id="46">
    <w:p w14:paraId="79ADCF84" w14:textId="0B241F0E" w:rsidR="00E112CD" w:rsidRPr="0052239F" w:rsidRDefault="00E112CD" w:rsidP="002129B7">
      <w:pPr>
        <w:pStyle w:val="FootnoteText"/>
        <w:rPr>
          <w:rFonts w:ascii="Times New Roman" w:hAnsi="Times New Roman"/>
          <w:sz w:val="16"/>
          <w:szCs w:val="16"/>
        </w:rPr>
      </w:pPr>
      <w:r w:rsidRPr="009F703F">
        <w:rPr>
          <w:rStyle w:val="FootnoteReference"/>
          <w:rFonts w:ascii="Times New Roman" w:hAnsi="Times New Roman"/>
          <w:sz w:val="16"/>
          <w:szCs w:val="16"/>
        </w:rPr>
        <w:footnoteRef/>
      </w:r>
      <w:r w:rsidRPr="00A60B04">
        <w:rPr>
          <w:rFonts w:ascii="Times New Roman" w:hAnsi="Times New Roman"/>
          <w:sz w:val="16"/>
          <w:szCs w:val="16"/>
        </w:rPr>
        <w:t xml:space="preserve">Data </w:t>
      </w:r>
      <w:r>
        <w:rPr>
          <w:rFonts w:ascii="Times New Roman" w:hAnsi="Times New Roman"/>
          <w:sz w:val="16"/>
          <w:szCs w:val="16"/>
        </w:rPr>
        <w:t>and target by</w:t>
      </w:r>
      <w:r w:rsidRPr="00A60B04">
        <w:rPr>
          <w:rFonts w:ascii="Times New Roman" w:hAnsi="Times New Roman"/>
          <w:sz w:val="16"/>
          <w:szCs w:val="16"/>
        </w:rPr>
        <w:t xml:space="preserve"> end of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ayout w:type="fixed"/>
      <w:tblCellMar>
        <w:left w:w="0" w:type="dxa"/>
        <w:right w:w="0" w:type="dxa"/>
      </w:tblCellMar>
      <w:tblLook w:val="0000" w:firstRow="0" w:lastRow="0" w:firstColumn="0" w:lastColumn="0" w:noHBand="0" w:noVBand="0"/>
    </w:tblPr>
    <w:tblGrid>
      <w:gridCol w:w="4838"/>
      <w:gridCol w:w="5047"/>
    </w:tblGrid>
    <w:tr w:rsidR="00E112CD" w:rsidRPr="00E1121E" w14:paraId="27D8D2EC" w14:textId="77777777" w:rsidTr="00D82035">
      <w:trPr>
        <w:trHeight w:hRule="exact" w:val="864"/>
      </w:trPr>
      <w:tc>
        <w:tcPr>
          <w:tcW w:w="4838" w:type="dxa"/>
          <w:tcBorders>
            <w:bottom w:val="single" w:sz="4" w:space="0" w:color="auto"/>
          </w:tcBorders>
          <w:vAlign w:val="bottom"/>
        </w:tcPr>
        <w:p w14:paraId="26A5312B" w14:textId="77777777" w:rsidR="00E112CD" w:rsidRPr="00E1121E" w:rsidRDefault="00E112CD" w:rsidP="0093794F">
          <w:pPr>
            <w:widowControl w:val="0"/>
            <w:tabs>
              <w:tab w:val="center" w:pos="4320"/>
              <w:tab w:val="right" w:pos="8640"/>
            </w:tabs>
            <w:spacing w:after="80"/>
            <w:rPr>
              <w:b/>
              <w:sz w:val="17"/>
              <w:szCs w:val="17"/>
            </w:rPr>
          </w:pPr>
          <w:r w:rsidRPr="005D64FE">
            <w:rPr>
              <w:b/>
              <w:sz w:val="17"/>
              <w:szCs w:val="17"/>
            </w:rPr>
            <w:t>DP/DCP</w:t>
          </w:r>
          <w:r>
            <w:rPr>
              <w:b/>
              <w:sz w:val="17"/>
              <w:szCs w:val="17"/>
            </w:rPr>
            <w:t>/</w:t>
          </w:r>
        </w:p>
      </w:tc>
      <w:tc>
        <w:tcPr>
          <w:tcW w:w="5047" w:type="dxa"/>
          <w:tcBorders>
            <w:bottom w:val="single" w:sz="4" w:space="0" w:color="auto"/>
          </w:tcBorders>
          <w:vAlign w:val="bottom"/>
        </w:tcPr>
        <w:p w14:paraId="2A5C092D" w14:textId="77777777" w:rsidR="00E112CD" w:rsidRPr="00E1121E" w:rsidRDefault="00E112CD" w:rsidP="007D3E53">
          <w:pPr>
            <w:widowControl w:val="0"/>
            <w:tabs>
              <w:tab w:val="center" w:pos="4320"/>
              <w:tab w:val="right" w:pos="8640"/>
            </w:tabs>
            <w:rPr>
              <w:sz w:val="17"/>
              <w:szCs w:val="17"/>
            </w:rPr>
          </w:pPr>
          <w:r>
            <w:rPr>
              <w:sz w:val="17"/>
              <w:szCs w:val="17"/>
            </w:rPr>
            <w:t xml:space="preserve">                                           </w:t>
          </w:r>
          <w:r>
            <w:rPr>
              <w:sz w:val="17"/>
              <w:szCs w:val="17"/>
            </w:rPr>
            <w:softHyphen/>
          </w:r>
          <w:r>
            <w:rPr>
              <w:sz w:val="17"/>
              <w:szCs w:val="17"/>
            </w:rPr>
            <w:softHyphen/>
          </w:r>
          <w:r>
            <w:rPr>
              <w:sz w:val="17"/>
              <w:szCs w:val="17"/>
            </w:rPr>
            <w:softHyphen/>
          </w:r>
          <w:r>
            <w:rPr>
              <w:sz w:val="17"/>
              <w:szCs w:val="17"/>
            </w:rPr>
            <w:softHyphen/>
          </w:r>
          <w:r>
            <w:rPr>
              <w:sz w:val="17"/>
              <w:szCs w:val="17"/>
            </w:rPr>
            <w:softHyphen/>
          </w:r>
          <w:r>
            <w:rPr>
              <w:sz w:val="17"/>
              <w:szCs w:val="17"/>
            </w:rPr>
            <w:softHyphen/>
          </w:r>
        </w:p>
      </w:tc>
    </w:tr>
  </w:tbl>
  <w:p w14:paraId="44207DD4" w14:textId="77777777" w:rsidR="00E112CD" w:rsidRDefault="00E112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71" w:type="dxa"/>
      <w:tblBorders>
        <w:bottom w:val="single" w:sz="2" w:space="0" w:color="000000"/>
      </w:tblBorders>
      <w:tblLayout w:type="fixed"/>
      <w:tblCellMar>
        <w:left w:w="0" w:type="dxa"/>
        <w:right w:w="0" w:type="dxa"/>
      </w:tblCellMar>
      <w:tblLook w:val="0000" w:firstRow="0" w:lastRow="0" w:firstColumn="0" w:lastColumn="0" w:noHBand="0" w:noVBand="0"/>
    </w:tblPr>
    <w:tblGrid>
      <w:gridCol w:w="4838"/>
      <w:gridCol w:w="5033"/>
    </w:tblGrid>
    <w:tr w:rsidR="00E112CD" w:rsidRPr="00E1121E" w14:paraId="4B762C42" w14:textId="77777777" w:rsidTr="00D82035">
      <w:trPr>
        <w:trHeight w:hRule="exact" w:val="864"/>
      </w:trPr>
      <w:tc>
        <w:tcPr>
          <w:tcW w:w="4838" w:type="dxa"/>
          <w:shd w:val="clear" w:color="auto" w:fill="auto"/>
          <w:vAlign w:val="bottom"/>
        </w:tcPr>
        <w:p w14:paraId="54F021C2" w14:textId="77777777" w:rsidR="00E112CD" w:rsidRPr="00E1121E" w:rsidRDefault="00E112CD" w:rsidP="00A91785">
          <w:pPr>
            <w:tabs>
              <w:tab w:val="center" w:pos="4320"/>
              <w:tab w:val="right" w:pos="8640"/>
            </w:tabs>
            <w:spacing w:after="80"/>
            <w:rPr>
              <w:b/>
              <w:noProof/>
              <w:sz w:val="17"/>
            </w:rPr>
          </w:pPr>
        </w:p>
      </w:tc>
      <w:tc>
        <w:tcPr>
          <w:tcW w:w="5033" w:type="dxa"/>
          <w:shd w:val="clear" w:color="auto" w:fill="auto"/>
          <w:vAlign w:val="bottom"/>
        </w:tcPr>
        <w:p w14:paraId="1B4BF156" w14:textId="477DE8B1" w:rsidR="00E112CD" w:rsidRPr="00E1121E" w:rsidRDefault="00E112CD" w:rsidP="00D467B7">
          <w:pPr>
            <w:tabs>
              <w:tab w:val="center" w:pos="4320"/>
              <w:tab w:val="right" w:pos="8640"/>
            </w:tabs>
            <w:jc w:val="right"/>
            <w:rPr>
              <w:noProof/>
              <w:sz w:val="17"/>
            </w:rPr>
          </w:pPr>
          <w:r w:rsidRPr="00E1121E">
            <w:rPr>
              <w:b/>
              <w:noProof/>
              <w:sz w:val="17"/>
            </w:rPr>
            <w:t>DP/DCP</w:t>
          </w:r>
          <w:r>
            <w:rPr>
              <w:b/>
              <w:noProof/>
              <w:sz w:val="17"/>
            </w:rPr>
            <w:t>/KGZ</w:t>
          </w:r>
          <w:r w:rsidRPr="00E1121E">
            <w:rPr>
              <w:b/>
              <w:noProof/>
              <w:sz w:val="17"/>
            </w:rPr>
            <w:t>/</w:t>
          </w:r>
          <w:r>
            <w:rPr>
              <w:b/>
              <w:noProof/>
              <w:sz w:val="17"/>
            </w:rPr>
            <w:t>3</w:t>
          </w:r>
          <w:r>
            <w:fldChar w:fldCharType="begin"/>
          </w:r>
          <w:r>
            <w:instrText xml:space="preserve"> DOCVARIABLE "sss1" \* MERGEFORMAT </w:instrText>
          </w:r>
          <w:r>
            <w:fldChar w:fldCharType="end"/>
          </w:r>
        </w:p>
      </w:tc>
    </w:tr>
  </w:tbl>
  <w:p w14:paraId="0F8CCCC7" w14:textId="77777777" w:rsidR="00E112CD" w:rsidRPr="00916E69" w:rsidRDefault="00E112CD" w:rsidP="00A917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07" w:type="dxa"/>
      <w:tblLayout w:type="fixed"/>
      <w:tblCellMar>
        <w:left w:w="0" w:type="dxa"/>
        <w:right w:w="0" w:type="dxa"/>
      </w:tblCellMar>
      <w:tblLook w:val="0000" w:firstRow="0" w:lastRow="0" w:firstColumn="0" w:lastColumn="0" w:noHBand="0" w:noVBand="0"/>
    </w:tblPr>
    <w:tblGrid>
      <w:gridCol w:w="1267"/>
      <w:gridCol w:w="1872"/>
      <w:gridCol w:w="245"/>
      <w:gridCol w:w="3110"/>
      <w:gridCol w:w="245"/>
      <w:gridCol w:w="3140"/>
      <w:gridCol w:w="28"/>
    </w:tblGrid>
    <w:tr w:rsidR="00E112CD" w:rsidRPr="00C658B7" w14:paraId="517ADDC3" w14:textId="77777777" w:rsidTr="00C658B7">
      <w:trPr>
        <w:trHeight w:hRule="exact" w:val="864"/>
      </w:trPr>
      <w:tc>
        <w:tcPr>
          <w:tcW w:w="1267" w:type="dxa"/>
          <w:tcBorders>
            <w:bottom w:val="single" w:sz="4" w:space="0" w:color="auto"/>
          </w:tcBorders>
          <w:shd w:val="clear" w:color="auto" w:fill="auto"/>
          <w:vAlign w:val="bottom"/>
        </w:tcPr>
        <w:p w14:paraId="3C09EA17" w14:textId="77777777" w:rsidR="00E112CD" w:rsidRPr="00C658B7" w:rsidRDefault="00E112CD" w:rsidP="00C658B7">
          <w:pPr>
            <w:tabs>
              <w:tab w:val="center" w:pos="4320"/>
              <w:tab w:val="right" w:pos="8640"/>
            </w:tabs>
            <w:spacing w:after="120"/>
            <w:rPr>
              <w:noProof/>
              <w:sz w:val="17"/>
            </w:rPr>
          </w:pPr>
        </w:p>
      </w:tc>
      <w:tc>
        <w:tcPr>
          <w:tcW w:w="1872" w:type="dxa"/>
          <w:tcBorders>
            <w:bottom w:val="single" w:sz="4" w:space="0" w:color="auto"/>
          </w:tcBorders>
          <w:shd w:val="clear" w:color="auto" w:fill="auto"/>
          <w:vAlign w:val="bottom"/>
        </w:tcPr>
        <w:p w14:paraId="636641B8" w14:textId="77777777" w:rsidR="00E112CD" w:rsidRPr="00C658B7" w:rsidRDefault="00E112CD" w:rsidP="00C658B7">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after="80" w:line="300" w:lineRule="exact"/>
            <w:outlineLvl w:val="0"/>
            <w:rPr>
              <w:spacing w:val="2"/>
              <w:w w:val="96"/>
              <w:kern w:val="14"/>
              <w:sz w:val="28"/>
              <w:lang w:val="en-GB"/>
            </w:rPr>
          </w:pPr>
          <w:r w:rsidRPr="00C658B7">
            <w:rPr>
              <w:spacing w:val="2"/>
              <w:w w:val="96"/>
              <w:kern w:val="14"/>
              <w:sz w:val="28"/>
              <w:lang w:val="en-GB"/>
            </w:rPr>
            <w:t>United Nations</w:t>
          </w:r>
        </w:p>
      </w:tc>
      <w:tc>
        <w:tcPr>
          <w:tcW w:w="245" w:type="dxa"/>
          <w:tcBorders>
            <w:bottom w:val="single" w:sz="4" w:space="0" w:color="auto"/>
          </w:tcBorders>
          <w:shd w:val="clear" w:color="auto" w:fill="auto"/>
          <w:vAlign w:val="bottom"/>
        </w:tcPr>
        <w:p w14:paraId="64F40B67" w14:textId="77777777" w:rsidR="00E112CD" w:rsidRPr="00C658B7" w:rsidRDefault="00E112CD" w:rsidP="00C658B7">
          <w:pPr>
            <w:tabs>
              <w:tab w:val="center" w:pos="4320"/>
              <w:tab w:val="right" w:pos="8640"/>
            </w:tabs>
            <w:spacing w:after="120"/>
            <w:rPr>
              <w:noProof/>
              <w:sz w:val="17"/>
            </w:rPr>
          </w:pPr>
        </w:p>
      </w:tc>
      <w:tc>
        <w:tcPr>
          <w:tcW w:w="6523" w:type="dxa"/>
          <w:gridSpan w:val="4"/>
          <w:tcBorders>
            <w:bottom w:val="single" w:sz="4" w:space="0" w:color="auto"/>
          </w:tcBorders>
          <w:shd w:val="clear" w:color="auto" w:fill="auto"/>
          <w:vAlign w:val="bottom"/>
        </w:tcPr>
        <w:p w14:paraId="01666D47" w14:textId="082EB633" w:rsidR="00E112CD" w:rsidRPr="00C658B7" w:rsidRDefault="00E112CD" w:rsidP="00C658B7">
          <w:pPr>
            <w:suppressAutoHyphens/>
            <w:spacing w:after="80"/>
            <w:jc w:val="right"/>
            <w:rPr>
              <w:spacing w:val="4"/>
              <w:w w:val="103"/>
              <w:kern w:val="14"/>
              <w:position w:val="-4"/>
              <w:lang w:val="en-GB"/>
            </w:rPr>
          </w:pPr>
          <w:r w:rsidRPr="00C658B7">
            <w:rPr>
              <w:spacing w:val="4"/>
              <w:w w:val="103"/>
              <w:kern w:val="14"/>
              <w:position w:val="-4"/>
              <w:sz w:val="40"/>
              <w:lang w:val="en-GB"/>
            </w:rPr>
            <w:t>DP</w:t>
          </w:r>
          <w:r w:rsidRPr="00C658B7">
            <w:rPr>
              <w:spacing w:val="4"/>
              <w:w w:val="103"/>
              <w:kern w:val="14"/>
              <w:position w:val="-4"/>
              <w:lang w:val="en-GB"/>
            </w:rPr>
            <w:t>/DCP/K</w:t>
          </w:r>
          <w:r>
            <w:rPr>
              <w:spacing w:val="4"/>
              <w:w w:val="103"/>
              <w:kern w:val="14"/>
              <w:position w:val="-4"/>
              <w:lang w:val="en-GB"/>
            </w:rPr>
            <w:t>GZ</w:t>
          </w:r>
          <w:r w:rsidRPr="00C658B7">
            <w:rPr>
              <w:spacing w:val="4"/>
              <w:w w:val="103"/>
              <w:kern w:val="14"/>
              <w:position w:val="-4"/>
              <w:lang w:val="en-GB"/>
            </w:rPr>
            <w:t>/3</w:t>
          </w:r>
        </w:p>
      </w:tc>
    </w:tr>
    <w:tr w:rsidR="00E112CD" w:rsidRPr="00C658B7" w14:paraId="31FD417F" w14:textId="77777777" w:rsidTr="00C658B7">
      <w:trPr>
        <w:gridAfter w:val="1"/>
        <w:wAfter w:w="28" w:type="dxa"/>
        <w:trHeight w:hRule="exact" w:val="2880"/>
      </w:trPr>
      <w:tc>
        <w:tcPr>
          <w:tcW w:w="1267" w:type="dxa"/>
          <w:tcBorders>
            <w:top w:val="single" w:sz="4" w:space="0" w:color="auto"/>
            <w:bottom w:val="single" w:sz="12" w:space="0" w:color="auto"/>
          </w:tcBorders>
          <w:shd w:val="clear" w:color="auto" w:fill="auto"/>
        </w:tcPr>
        <w:p w14:paraId="719A58AE" w14:textId="77777777" w:rsidR="00E112CD" w:rsidRPr="00C658B7" w:rsidRDefault="00E112CD" w:rsidP="00C658B7">
          <w:pPr>
            <w:tabs>
              <w:tab w:val="center" w:pos="4320"/>
              <w:tab w:val="right" w:pos="8640"/>
            </w:tabs>
            <w:spacing w:before="109"/>
            <w:rPr>
              <w:noProof/>
              <w:sz w:val="17"/>
            </w:rPr>
          </w:pPr>
          <w:r w:rsidRPr="00C658B7">
            <w:rPr>
              <w:noProof/>
              <w:sz w:val="17"/>
            </w:rPr>
            <w:t xml:space="preserve"> </w:t>
          </w:r>
          <w:r w:rsidRPr="00C658B7">
            <w:rPr>
              <w:noProof/>
              <w:sz w:val="17"/>
            </w:rPr>
            <w:drawing>
              <wp:inline distT="0" distB="0" distL="0" distR="0" wp14:anchorId="5BC6674C" wp14:editId="6575B75B">
                <wp:extent cx="702945" cy="592455"/>
                <wp:effectExtent l="0" t="0" r="1905" b="0"/>
                <wp:docPr id="28" name="Picture 28"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945" cy="592455"/>
                        </a:xfrm>
                        <a:prstGeom prst="rect">
                          <a:avLst/>
                        </a:prstGeom>
                        <a:noFill/>
                        <a:ln>
                          <a:noFill/>
                        </a:ln>
                      </pic:spPr>
                    </pic:pic>
                  </a:graphicData>
                </a:graphic>
              </wp:inline>
            </w:drawing>
          </w:r>
        </w:p>
        <w:p w14:paraId="49490485" w14:textId="77777777" w:rsidR="00E112CD" w:rsidRPr="00C658B7" w:rsidRDefault="00E112CD" w:rsidP="00C658B7">
          <w:pPr>
            <w:tabs>
              <w:tab w:val="center" w:pos="4320"/>
              <w:tab w:val="right" w:pos="8640"/>
            </w:tabs>
            <w:spacing w:before="109"/>
            <w:rPr>
              <w:noProof/>
              <w:sz w:val="17"/>
            </w:rPr>
          </w:pPr>
        </w:p>
      </w:tc>
      <w:tc>
        <w:tcPr>
          <w:tcW w:w="5227" w:type="dxa"/>
          <w:gridSpan w:val="3"/>
          <w:tcBorders>
            <w:top w:val="single" w:sz="4" w:space="0" w:color="auto"/>
            <w:bottom w:val="single" w:sz="12" w:space="0" w:color="auto"/>
          </w:tcBorders>
          <w:shd w:val="clear" w:color="auto" w:fill="auto"/>
        </w:tcPr>
        <w:p w14:paraId="113F3F28" w14:textId="77777777" w:rsidR="00E112CD" w:rsidRPr="00C658B7" w:rsidRDefault="00E112CD" w:rsidP="00C658B7">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before="109"/>
            <w:outlineLvl w:val="0"/>
            <w:rPr>
              <w:b/>
              <w:spacing w:val="-4"/>
              <w:w w:val="98"/>
              <w:kern w:val="14"/>
              <w:sz w:val="34"/>
              <w:lang w:val="en-GB"/>
            </w:rPr>
          </w:pPr>
          <w:r w:rsidRPr="00C658B7">
            <w:rPr>
              <w:b/>
              <w:sz w:val="34"/>
            </w:rPr>
            <w:t>Executive Board of the</w:t>
          </w:r>
          <w:r w:rsidRPr="00C658B7">
            <w:rPr>
              <w:b/>
              <w:sz w:val="34"/>
            </w:rPr>
            <w:br/>
            <w:t>United Nations Development</w:t>
          </w:r>
          <w:r w:rsidRPr="00C658B7">
            <w:rPr>
              <w:b/>
              <w:sz w:val="34"/>
            </w:rPr>
            <w:br/>
            <w:t xml:space="preserve">Programme, the United Nations Population Fund and the </w:t>
          </w:r>
          <w:r w:rsidRPr="00C658B7">
            <w:rPr>
              <w:b/>
              <w:sz w:val="34"/>
            </w:rPr>
            <w:br/>
            <w:t xml:space="preserve">United Nations Office for </w:t>
          </w:r>
          <w:r w:rsidRPr="00C658B7">
            <w:rPr>
              <w:b/>
              <w:sz w:val="34"/>
            </w:rPr>
            <w:br/>
            <w:t>Project Services</w:t>
          </w:r>
        </w:p>
        <w:p w14:paraId="42669708" w14:textId="77777777" w:rsidR="00E112CD" w:rsidRPr="00C658B7" w:rsidRDefault="00E112CD" w:rsidP="00C658B7">
          <w:pPr>
            <w:rPr>
              <w:sz w:val="34"/>
              <w:lang w:val="en-GB"/>
            </w:rPr>
          </w:pPr>
        </w:p>
        <w:p w14:paraId="74BCDBE7" w14:textId="77777777" w:rsidR="00E112CD" w:rsidRPr="00C658B7" w:rsidRDefault="00E112CD" w:rsidP="00C658B7">
          <w:pPr>
            <w:ind w:firstLine="720"/>
            <w:rPr>
              <w:sz w:val="34"/>
              <w:lang w:val="en-GB"/>
            </w:rPr>
          </w:pPr>
        </w:p>
      </w:tc>
      <w:tc>
        <w:tcPr>
          <w:tcW w:w="245" w:type="dxa"/>
          <w:tcBorders>
            <w:top w:val="single" w:sz="4" w:space="0" w:color="auto"/>
            <w:bottom w:val="single" w:sz="12" w:space="0" w:color="auto"/>
          </w:tcBorders>
          <w:shd w:val="clear" w:color="auto" w:fill="auto"/>
        </w:tcPr>
        <w:p w14:paraId="0C4D307F" w14:textId="77777777" w:rsidR="00E112CD" w:rsidRPr="00C658B7" w:rsidRDefault="00E112CD" w:rsidP="00C658B7">
          <w:pPr>
            <w:tabs>
              <w:tab w:val="center" w:pos="4320"/>
              <w:tab w:val="right" w:pos="8640"/>
            </w:tabs>
            <w:spacing w:before="109"/>
            <w:rPr>
              <w:noProof/>
              <w:sz w:val="17"/>
            </w:rPr>
          </w:pPr>
        </w:p>
      </w:tc>
      <w:tc>
        <w:tcPr>
          <w:tcW w:w="3140" w:type="dxa"/>
          <w:tcBorders>
            <w:top w:val="single" w:sz="4" w:space="0" w:color="auto"/>
            <w:bottom w:val="single" w:sz="12" w:space="0" w:color="auto"/>
          </w:tcBorders>
          <w:shd w:val="clear" w:color="auto" w:fill="auto"/>
        </w:tcPr>
        <w:p w14:paraId="084A2A1E" w14:textId="77777777" w:rsidR="00E112CD" w:rsidRPr="00C658B7" w:rsidRDefault="00E112CD" w:rsidP="00C658B7">
          <w:pPr>
            <w:suppressAutoHyphens/>
            <w:spacing w:before="240" w:line="240" w:lineRule="exact"/>
            <w:rPr>
              <w:spacing w:val="4"/>
              <w:w w:val="103"/>
              <w:kern w:val="14"/>
              <w:lang w:val="en-GB"/>
            </w:rPr>
          </w:pPr>
          <w:r w:rsidRPr="00C658B7">
            <w:rPr>
              <w:spacing w:val="4"/>
              <w:w w:val="103"/>
              <w:kern w:val="14"/>
              <w:lang w:val="en-GB"/>
            </w:rPr>
            <w:t>Distr.: General</w:t>
          </w:r>
        </w:p>
        <w:p w14:paraId="203E7A4C" w14:textId="78709234" w:rsidR="00E112CD" w:rsidRPr="00C658B7" w:rsidRDefault="00E112CD" w:rsidP="00C658B7">
          <w:pPr>
            <w:suppressAutoHyphens/>
            <w:spacing w:line="240" w:lineRule="exact"/>
            <w:rPr>
              <w:spacing w:val="4"/>
              <w:w w:val="103"/>
              <w:kern w:val="14"/>
              <w:lang w:val="en-GB"/>
            </w:rPr>
          </w:pPr>
          <w:r>
            <w:rPr>
              <w:spacing w:val="4"/>
              <w:w w:val="103"/>
              <w:kern w:val="14"/>
              <w:lang w:val="en-GB"/>
            </w:rPr>
            <w:t>3</w:t>
          </w:r>
          <w:r w:rsidR="00CC697C">
            <w:rPr>
              <w:spacing w:val="4"/>
              <w:w w:val="103"/>
              <w:kern w:val="14"/>
              <w:lang w:val="en-GB"/>
            </w:rPr>
            <w:t>0</w:t>
          </w:r>
          <w:r w:rsidRPr="00C658B7">
            <w:rPr>
              <w:spacing w:val="4"/>
              <w:w w:val="103"/>
              <w:kern w:val="14"/>
              <w:lang w:val="en-GB"/>
            </w:rPr>
            <w:t xml:space="preserve"> </w:t>
          </w:r>
          <w:r>
            <w:rPr>
              <w:spacing w:val="4"/>
              <w:w w:val="103"/>
              <w:kern w:val="14"/>
              <w:lang w:val="en-GB"/>
            </w:rPr>
            <w:t>June</w:t>
          </w:r>
          <w:r w:rsidRPr="00C658B7">
            <w:rPr>
              <w:spacing w:val="4"/>
              <w:w w:val="103"/>
              <w:kern w:val="14"/>
              <w:lang w:val="en-GB"/>
            </w:rPr>
            <w:t xml:space="preserve"> 2017</w:t>
          </w:r>
        </w:p>
        <w:p w14:paraId="17E66E55" w14:textId="77777777" w:rsidR="00E112CD" w:rsidRPr="00C658B7" w:rsidRDefault="00E112CD" w:rsidP="00C658B7">
          <w:pPr>
            <w:suppressAutoHyphens/>
            <w:spacing w:line="240" w:lineRule="exact"/>
            <w:rPr>
              <w:spacing w:val="4"/>
              <w:w w:val="103"/>
              <w:kern w:val="14"/>
              <w:lang w:val="en-GB"/>
            </w:rPr>
          </w:pPr>
        </w:p>
        <w:p w14:paraId="7E23799C" w14:textId="77777777" w:rsidR="00E112CD" w:rsidRPr="00C658B7" w:rsidRDefault="00E112CD" w:rsidP="00C658B7">
          <w:pPr>
            <w:suppressAutoHyphens/>
            <w:spacing w:line="240" w:lineRule="exact"/>
            <w:rPr>
              <w:spacing w:val="4"/>
              <w:w w:val="103"/>
              <w:kern w:val="14"/>
              <w:lang w:val="en-GB"/>
            </w:rPr>
          </w:pPr>
          <w:r w:rsidRPr="00C658B7">
            <w:rPr>
              <w:spacing w:val="4"/>
              <w:w w:val="103"/>
              <w:kern w:val="14"/>
              <w:lang w:val="en-GB"/>
            </w:rPr>
            <w:t>Original: English</w:t>
          </w:r>
        </w:p>
      </w:tc>
    </w:tr>
  </w:tbl>
  <w:p w14:paraId="3C196958" w14:textId="77777777" w:rsidR="00E112CD" w:rsidRPr="00F21DC5" w:rsidRDefault="00E112CD" w:rsidP="00C658B7">
    <w:pPr>
      <w:pStyle w:val="Header"/>
      <w:rPr>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85" w:type="dxa"/>
      <w:tblInd w:w="-1142" w:type="dxa"/>
      <w:tblBorders>
        <w:bottom w:val="single" w:sz="4" w:space="0" w:color="auto"/>
      </w:tblBorders>
      <w:tblLayout w:type="fixed"/>
      <w:tblCellMar>
        <w:left w:w="0" w:type="dxa"/>
        <w:right w:w="0" w:type="dxa"/>
      </w:tblCellMar>
      <w:tblLook w:val="0000" w:firstRow="0" w:lastRow="0" w:firstColumn="0" w:lastColumn="0" w:noHBand="0" w:noVBand="0"/>
    </w:tblPr>
    <w:tblGrid>
      <w:gridCol w:w="4838"/>
      <w:gridCol w:w="5047"/>
    </w:tblGrid>
    <w:tr w:rsidR="00E112CD" w:rsidRPr="00612DA4" w14:paraId="24BCBEFB" w14:textId="77777777" w:rsidTr="00C658B7">
      <w:trPr>
        <w:trHeight w:hRule="exact" w:val="864"/>
      </w:trPr>
      <w:tc>
        <w:tcPr>
          <w:tcW w:w="4838" w:type="dxa"/>
          <w:tcBorders>
            <w:bottom w:val="single" w:sz="4" w:space="0" w:color="auto"/>
          </w:tcBorders>
          <w:vAlign w:val="bottom"/>
        </w:tcPr>
        <w:p w14:paraId="21DA3F31" w14:textId="5F5273B7" w:rsidR="00E112CD" w:rsidRPr="00612DA4" w:rsidRDefault="00E112CD" w:rsidP="0051294D">
          <w:pPr>
            <w:widowControl w:val="0"/>
            <w:tabs>
              <w:tab w:val="center" w:pos="4320"/>
              <w:tab w:val="right" w:pos="8640"/>
            </w:tabs>
            <w:spacing w:after="80"/>
            <w:ind w:left="-1838" w:firstLine="1838"/>
            <w:rPr>
              <w:b/>
              <w:sz w:val="17"/>
              <w:szCs w:val="17"/>
            </w:rPr>
          </w:pPr>
          <w:r w:rsidRPr="00612DA4">
            <w:rPr>
              <w:b/>
              <w:sz w:val="17"/>
              <w:szCs w:val="17"/>
            </w:rPr>
            <w:t>DP/DCP/K</w:t>
          </w:r>
          <w:r>
            <w:rPr>
              <w:b/>
              <w:sz w:val="17"/>
              <w:szCs w:val="17"/>
            </w:rPr>
            <w:t>GZ</w:t>
          </w:r>
          <w:r w:rsidRPr="00612DA4">
            <w:rPr>
              <w:b/>
              <w:sz w:val="17"/>
              <w:szCs w:val="17"/>
            </w:rPr>
            <w:t>/</w:t>
          </w:r>
          <w:r>
            <w:rPr>
              <w:b/>
              <w:sz w:val="17"/>
              <w:szCs w:val="17"/>
            </w:rPr>
            <w:t>3</w:t>
          </w:r>
        </w:p>
      </w:tc>
      <w:tc>
        <w:tcPr>
          <w:tcW w:w="5047" w:type="dxa"/>
          <w:tcBorders>
            <w:bottom w:val="single" w:sz="4" w:space="0" w:color="auto"/>
          </w:tcBorders>
          <w:vAlign w:val="bottom"/>
        </w:tcPr>
        <w:p w14:paraId="4CB7080D" w14:textId="77777777" w:rsidR="00E112CD" w:rsidRPr="00612DA4" w:rsidRDefault="00E112CD" w:rsidP="00C658B7">
          <w:pPr>
            <w:widowControl w:val="0"/>
            <w:tabs>
              <w:tab w:val="center" w:pos="4320"/>
              <w:tab w:val="right" w:pos="8640"/>
            </w:tabs>
            <w:rPr>
              <w:sz w:val="17"/>
              <w:szCs w:val="17"/>
            </w:rPr>
          </w:pPr>
        </w:p>
      </w:tc>
    </w:tr>
  </w:tbl>
  <w:p w14:paraId="77F75801" w14:textId="77777777" w:rsidR="00E112CD" w:rsidRDefault="00E112C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85" w:type="dxa"/>
      <w:tblInd w:w="-1142" w:type="dxa"/>
      <w:tblBorders>
        <w:bottom w:val="single" w:sz="4" w:space="0" w:color="auto"/>
      </w:tblBorders>
      <w:tblLayout w:type="fixed"/>
      <w:tblCellMar>
        <w:left w:w="0" w:type="dxa"/>
        <w:right w:w="0" w:type="dxa"/>
      </w:tblCellMar>
      <w:tblLook w:val="0000" w:firstRow="0" w:lastRow="0" w:firstColumn="0" w:lastColumn="0" w:noHBand="0" w:noVBand="0"/>
    </w:tblPr>
    <w:tblGrid>
      <w:gridCol w:w="4838"/>
      <w:gridCol w:w="5047"/>
    </w:tblGrid>
    <w:tr w:rsidR="00E112CD" w:rsidRPr="00612DA4" w14:paraId="0E0F3251" w14:textId="77777777" w:rsidTr="00C658B7">
      <w:trPr>
        <w:trHeight w:hRule="exact" w:val="864"/>
      </w:trPr>
      <w:tc>
        <w:tcPr>
          <w:tcW w:w="4838" w:type="dxa"/>
          <w:tcBorders>
            <w:bottom w:val="single" w:sz="4" w:space="0" w:color="auto"/>
          </w:tcBorders>
          <w:vAlign w:val="bottom"/>
        </w:tcPr>
        <w:p w14:paraId="580CCE99" w14:textId="77777777" w:rsidR="00E112CD" w:rsidRPr="00612DA4" w:rsidRDefault="00E112CD" w:rsidP="00C658B7">
          <w:pPr>
            <w:widowControl w:val="0"/>
            <w:tabs>
              <w:tab w:val="center" w:pos="4320"/>
              <w:tab w:val="right" w:pos="8640"/>
            </w:tabs>
            <w:spacing w:after="80"/>
            <w:rPr>
              <w:b/>
              <w:sz w:val="17"/>
              <w:szCs w:val="17"/>
            </w:rPr>
          </w:pPr>
        </w:p>
      </w:tc>
      <w:tc>
        <w:tcPr>
          <w:tcW w:w="5047" w:type="dxa"/>
          <w:tcBorders>
            <w:bottom w:val="single" w:sz="4" w:space="0" w:color="auto"/>
          </w:tcBorders>
          <w:vAlign w:val="bottom"/>
        </w:tcPr>
        <w:p w14:paraId="7E5E988C" w14:textId="023FDC86" w:rsidR="00E112CD" w:rsidRPr="00612DA4" w:rsidRDefault="00E112CD" w:rsidP="0051294D">
          <w:pPr>
            <w:widowControl w:val="0"/>
            <w:tabs>
              <w:tab w:val="center" w:pos="4320"/>
              <w:tab w:val="right" w:pos="8640"/>
            </w:tabs>
            <w:jc w:val="right"/>
            <w:rPr>
              <w:sz w:val="17"/>
              <w:szCs w:val="17"/>
            </w:rPr>
          </w:pPr>
          <w:r>
            <w:rPr>
              <w:b/>
              <w:sz w:val="17"/>
              <w:szCs w:val="17"/>
            </w:rPr>
            <w:t>DP/DCP/</w:t>
          </w:r>
          <w:r w:rsidRPr="00612DA4">
            <w:rPr>
              <w:b/>
              <w:sz w:val="17"/>
              <w:szCs w:val="17"/>
            </w:rPr>
            <w:t>K</w:t>
          </w:r>
          <w:r>
            <w:rPr>
              <w:b/>
              <w:sz w:val="17"/>
              <w:szCs w:val="17"/>
            </w:rPr>
            <w:t>GZ</w:t>
          </w:r>
          <w:r w:rsidRPr="00612DA4">
            <w:rPr>
              <w:b/>
              <w:sz w:val="17"/>
              <w:szCs w:val="17"/>
            </w:rPr>
            <w:t>/</w:t>
          </w:r>
          <w:r>
            <w:rPr>
              <w:b/>
              <w:sz w:val="17"/>
              <w:szCs w:val="17"/>
            </w:rPr>
            <w:t>3</w:t>
          </w:r>
        </w:p>
      </w:tc>
    </w:tr>
  </w:tbl>
  <w:p w14:paraId="7809FFD9" w14:textId="77777777" w:rsidR="00E112CD" w:rsidRDefault="00E112C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85" w:type="dxa"/>
      <w:tblInd w:w="-1142" w:type="dxa"/>
      <w:tblBorders>
        <w:bottom w:val="single" w:sz="4" w:space="0" w:color="auto"/>
      </w:tblBorders>
      <w:tblLayout w:type="fixed"/>
      <w:tblCellMar>
        <w:left w:w="0" w:type="dxa"/>
        <w:right w:w="0" w:type="dxa"/>
      </w:tblCellMar>
      <w:tblLook w:val="0000" w:firstRow="0" w:lastRow="0" w:firstColumn="0" w:lastColumn="0" w:noHBand="0" w:noVBand="0"/>
    </w:tblPr>
    <w:tblGrid>
      <w:gridCol w:w="4838"/>
      <w:gridCol w:w="5047"/>
    </w:tblGrid>
    <w:tr w:rsidR="00E112CD" w:rsidRPr="000B54EF" w14:paraId="115BA7C3" w14:textId="77777777" w:rsidTr="00A44AF5">
      <w:trPr>
        <w:trHeight w:hRule="exact" w:val="864"/>
      </w:trPr>
      <w:tc>
        <w:tcPr>
          <w:tcW w:w="4838" w:type="dxa"/>
          <w:tcBorders>
            <w:bottom w:val="single" w:sz="4" w:space="0" w:color="auto"/>
          </w:tcBorders>
          <w:vAlign w:val="bottom"/>
        </w:tcPr>
        <w:p w14:paraId="7CA69378" w14:textId="7F54C7E4" w:rsidR="00E112CD" w:rsidRPr="000B54EF" w:rsidRDefault="00E112CD" w:rsidP="000B54EF">
          <w:pPr>
            <w:widowControl w:val="0"/>
            <w:tabs>
              <w:tab w:val="center" w:pos="4320"/>
              <w:tab w:val="right" w:pos="8640"/>
            </w:tabs>
            <w:spacing w:after="80"/>
            <w:ind w:left="-1838" w:firstLine="1838"/>
            <w:rPr>
              <w:b/>
              <w:sz w:val="17"/>
              <w:szCs w:val="17"/>
            </w:rPr>
          </w:pPr>
          <w:r w:rsidRPr="000B54EF">
            <w:rPr>
              <w:b/>
              <w:sz w:val="17"/>
              <w:szCs w:val="17"/>
            </w:rPr>
            <w:t>DP/DCP/K</w:t>
          </w:r>
          <w:r>
            <w:rPr>
              <w:b/>
              <w:sz w:val="17"/>
              <w:szCs w:val="17"/>
            </w:rPr>
            <w:t>GZ</w:t>
          </w:r>
          <w:r w:rsidRPr="000B54EF">
            <w:rPr>
              <w:b/>
              <w:sz w:val="17"/>
              <w:szCs w:val="17"/>
            </w:rPr>
            <w:t>/3</w:t>
          </w:r>
        </w:p>
      </w:tc>
      <w:tc>
        <w:tcPr>
          <w:tcW w:w="5047" w:type="dxa"/>
          <w:tcBorders>
            <w:bottom w:val="single" w:sz="4" w:space="0" w:color="auto"/>
          </w:tcBorders>
          <w:vAlign w:val="bottom"/>
        </w:tcPr>
        <w:p w14:paraId="1D744A86" w14:textId="77777777" w:rsidR="00E112CD" w:rsidRPr="000B54EF" w:rsidRDefault="00E112CD" w:rsidP="000B54EF">
          <w:pPr>
            <w:widowControl w:val="0"/>
            <w:tabs>
              <w:tab w:val="center" w:pos="4320"/>
              <w:tab w:val="right" w:pos="8640"/>
            </w:tabs>
            <w:rPr>
              <w:sz w:val="17"/>
              <w:szCs w:val="17"/>
            </w:rPr>
          </w:pPr>
        </w:p>
      </w:tc>
    </w:tr>
  </w:tbl>
  <w:p w14:paraId="5E4840EF" w14:textId="77777777" w:rsidR="00E112CD" w:rsidRDefault="00E112C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220" w:type="dxa"/>
      <w:tblBorders>
        <w:bottom w:val="single" w:sz="4" w:space="0" w:color="auto"/>
      </w:tblBorders>
      <w:tblLayout w:type="fixed"/>
      <w:tblCellMar>
        <w:left w:w="0" w:type="dxa"/>
        <w:right w:w="0" w:type="dxa"/>
      </w:tblCellMar>
      <w:tblLook w:val="0000" w:firstRow="0" w:lastRow="0" w:firstColumn="0" w:lastColumn="0" w:noHBand="0" w:noVBand="0"/>
    </w:tblPr>
    <w:tblGrid>
      <w:gridCol w:w="4838"/>
      <w:gridCol w:w="9382"/>
    </w:tblGrid>
    <w:tr w:rsidR="00E112CD" w:rsidRPr="00C658B7" w14:paraId="709C4A6E" w14:textId="77777777" w:rsidTr="003737CD">
      <w:trPr>
        <w:trHeight w:hRule="exact" w:val="864"/>
      </w:trPr>
      <w:tc>
        <w:tcPr>
          <w:tcW w:w="4838" w:type="dxa"/>
          <w:tcBorders>
            <w:bottom w:val="single" w:sz="4" w:space="0" w:color="auto"/>
          </w:tcBorders>
          <w:vAlign w:val="bottom"/>
        </w:tcPr>
        <w:p w14:paraId="6D2F0F82" w14:textId="4C7D8942" w:rsidR="00E112CD" w:rsidRPr="00C658B7" w:rsidRDefault="00E112CD" w:rsidP="00C658B7">
          <w:pPr>
            <w:widowControl w:val="0"/>
            <w:tabs>
              <w:tab w:val="center" w:pos="4320"/>
              <w:tab w:val="right" w:pos="8640"/>
            </w:tabs>
            <w:spacing w:after="80"/>
            <w:ind w:left="-1838" w:firstLine="1838"/>
            <w:rPr>
              <w:b/>
              <w:sz w:val="17"/>
              <w:szCs w:val="17"/>
            </w:rPr>
          </w:pPr>
          <w:r w:rsidRPr="00C658B7">
            <w:rPr>
              <w:b/>
              <w:sz w:val="17"/>
              <w:szCs w:val="17"/>
            </w:rPr>
            <w:t>DP/DCP/K</w:t>
          </w:r>
          <w:r>
            <w:rPr>
              <w:b/>
              <w:sz w:val="17"/>
              <w:szCs w:val="17"/>
            </w:rPr>
            <w:t>GZ</w:t>
          </w:r>
          <w:r w:rsidRPr="00C658B7">
            <w:rPr>
              <w:b/>
              <w:sz w:val="17"/>
              <w:szCs w:val="17"/>
            </w:rPr>
            <w:t>/3</w:t>
          </w:r>
        </w:p>
      </w:tc>
      <w:tc>
        <w:tcPr>
          <w:tcW w:w="9382" w:type="dxa"/>
          <w:tcBorders>
            <w:bottom w:val="single" w:sz="4" w:space="0" w:color="auto"/>
          </w:tcBorders>
          <w:vAlign w:val="bottom"/>
        </w:tcPr>
        <w:p w14:paraId="4172EA88" w14:textId="77777777" w:rsidR="00E112CD" w:rsidRPr="00C658B7" w:rsidRDefault="00E112CD" w:rsidP="00C658B7">
          <w:pPr>
            <w:widowControl w:val="0"/>
            <w:tabs>
              <w:tab w:val="center" w:pos="4320"/>
              <w:tab w:val="right" w:pos="8640"/>
            </w:tabs>
            <w:rPr>
              <w:sz w:val="17"/>
              <w:szCs w:val="17"/>
            </w:rPr>
          </w:pPr>
        </w:p>
      </w:tc>
    </w:tr>
  </w:tbl>
  <w:p w14:paraId="19AEF58A" w14:textId="53E5EE12" w:rsidR="00E112CD" w:rsidRDefault="00E112C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22612" w:type="dxa"/>
      <w:tblBorders>
        <w:bottom w:val="single" w:sz="4" w:space="0" w:color="auto"/>
      </w:tblBorders>
      <w:tblLayout w:type="fixed"/>
      <w:tblCellMar>
        <w:left w:w="0" w:type="dxa"/>
        <w:right w:w="0" w:type="dxa"/>
      </w:tblCellMar>
      <w:tblLook w:val="0000" w:firstRow="0" w:lastRow="0" w:firstColumn="0" w:lastColumn="0" w:noHBand="0" w:noVBand="0"/>
    </w:tblPr>
    <w:tblGrid>
      <w:gridCol w:w="4838"/>
      <w:gridCol w:w="9292"/>
      <w:gridCol w:w="8482"/>
    </w:tblGrid>
    <w:tr w:rsidR="003737CD" w:rsidRPr="00612DA4" w14:paraId="3B7F1CD1" w14:textId="54BFDE85" w:rsidTr="003737CD">
      <w:trPr>
        <w:trHeight w:hRule="exact" w:val="864"/>
      </w:trPr>
      <w:tc>
        <w:tcPr>
          <w:tcW w:w="4838" w:type="dxa"/>
          <w:tcBorders>
            <w:bottom w:val="single" w:sz="4" w:space="0" w:color="auto"/>
          </w:tcBorders>
          <w:vAlign w:val="bottom"/>
        </w:tcPr>
        <w:p w14:paraId="2CF5140B" w14:textId="77777777" w:rsidR="003737CD" w:rsidRPr="00612DA4" w:rsidRDefault="003737CD" w:rsidP="00C658B7">
          <w:pPr>
            <w:widowControl w:val="0"/>
            <w:tabs>
              <w:tab w:val="center" w:pos="4320"/>
              <w:tab w:val="right" w:pos="8640"/>
            </w:tabs>
            <w:spacing w:after="80"/>
            <w:rPr>
              <w:b/>
              <w:sz w:val="17"/>
              <w:szCs w:val="17"/>
            </w:rPr>
          </w:pPr>
        </w:p>
      </w:tc>
      <w:tc>
        <w:tcPr>
          <w:tcW w:w="9292" w:type="dxa"/>
          <w:tcBorders>
            <w:bottom w:val="single" w:sz="4" w:space="0" w:color="auto"/>
          </w:tcBorders>
          <w:vAlign w:val="bottom"/>
        </w:tcPr>
        <w:p w14:paraId="510EAFE7" w14:textId="77777777" w:rsidR="003737CD" w:rsidRPr="00612DA4" w:rsidRDefault="003737CD" w:rsidP="0051294D">
          <w:pPr>
            <w:widowControl w:val="0"/>
            <w:tabs>
              <w:tab w:val="center" w:pos="4320"/>
              <w:tab w:val="right" w:pos="8640"/>
            </w:tabs>
            <w:jc w:val="right"/>
            <w:rPr>
              <w:sz w:val="17"/>
              <w:szCs w:val="17"/>
            </w:rPr>
          </w:pPr>
          <w:r>
            <w:rPr>
              <w:b/>
              <w:sz w:val="17"/>
              <w:szCs w:val="17"/>
            </w:rPr>
            <w:t>DP/DCP/</w:t>
          </w:r>
          <w:r w:rsidRPr="00612DA4">
            <w:rPr>
              <w:b/>
              <w:sz w:val="17"/>
              <w:szCs w:val="17"/>
            </w:rPr>
            <w:t>K</w:t>
          </w:r>
          <w:r>
            <w:rPr>
              <w:b/>
              <w:sz w:val="17"/>
              <w:szCs w:val="17"/>
            </w:rPr>
            <w:t>GZ</w:t>
          </w:r>
          <w:r w:rsidRPr="00612DA4">
            <w:rPr>
              <w:b/>
              <w:sz w:val="17"/>
              <w:szCs w:val="17"/>
            </w:rPr>
            <w:t>/</w:t>
          </w:r>
          <w:r>
            <w:rPr>
              <w:b/>
              <w:sz w:val="17"/>
              <w:szCs w:val="17"/>
            </w:rPr>
            <w:t>3</w:t>
          </w:r>
        </w:p>
      </w:tc>
      <w:tc>
        <w:tcPr>
          <w:tcW w:w="8482" w:type="dxa"/>
          <w:tcBorders>
            <w:bottom w:val="single" w:sz="4" w:space="0" w:color="auto"/>
          </w:tcBorders>
        </w:tcPr>
        <w:p w14:paraId="5FC872CD" w14:textId="77777777" w:rsidR="003737CD" w:rsidRDefault="003737CD" w:rsidP="0051294D">
          <w:pPr>
            <w:widowControl w:val="0"/>
            <w:tabs>
              <w:tab w:val="center" w:pos="4320"/>
              <w:tab w:val="right" w:pos="8640"/>
            </w:tabs>
            <w:jc w:val="right"/>
            <w:rPr>
              <w:b/>
              <w:sz w:val="17"/>
              <w:szCs w:val="17"/>
            </w:rPr>
          </w:pPr>
        </w:p>
      </w:tc>
    </w:tr>
  </w:tbl>
  <w:p w14:paraId="168146FC" w14:textId="77777777" w:rsidR="00E112CD" w:rsidRDefault="00E112C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320" w:type="dxa"/>
      <w:tblBorders>
        <w:bottom w:val="single" w:sz="4" w:space="0" w:color="auto"/>
      </w:tblBorders>
      <w:tblLayout w:type="fixed"/>
      <w:tblCellMar>
        <w:left w:w="0" w:type="dxa"/>
        <w:right w:w="0" w:type="dxa"/>
      </w:tblCellMar>
      <w:tblLook w:val="0000" w:firstRow="0" w:lastRow="0" w:firstColumn="0" w:lastColumn="0" w:noHBand="0" w:noVBand="0"/>
    </w:tblPr>
    <w:tblGrid>
      <w:gridCol w:w="4838"/>
      <w:gridCol w:w="8482"/>
    </w:tblGrid>
    <w:tr w:rsidR="00E112CD" w:rsidRPr="00C658B7" w14:paraId="18CFC72B" w14:textId="77777777" w:rsidTr="0051294D">
      <w:trPr>
        <w:trHeight w:hRule="exact" w:val="864"/>
      </w:trPr>
      <w:tc>
        <w:tcPr>
          <w:tcW w:w="4838" w:type="dxa"/>
          <w:tcBorders>
            <w:bottom w:val="single" w:sz="4" w:space="0" w:color="auto"/>
          </w:tcBorders>
          <w:vAlign w:val="bottom"/>
        </w:tcPr>
        <w:p w14:paraId="59A906B6" w14:textId="05806688" w:rsidR="00E112CD" w:rsidRPr="00C658B7" w:rsidRDefault="00E112CD" w:rsidP="00C658B7">
          <w:pPr>
            <w:widowControl w:val="0"/>
            <w:tabs>
              <w:tab w:val="center" w:pos="4320"/>
              <w:tab w:val="right" w:pos="8640"/>
            </w:tabs>
            <w:spacing w:after="80"/>
            <w:ind w:left="-1838" w:firstLine="1838"/>
            <w:rPr>
              <w:b/>
              <w:sz w:val="17"/>
              <w:szCs w:val="17"/>
            </w:rPr>
          </w:pPr>
          <w:r w:rsidRPr="00C658B7">
            <w:rPr>
              <w:b/>
              <w:sz w:val="17"/>
              <w:szCs w:val="17"/>
            </w:rPr>
            <w:t>DP/DCP/K</w:t>
          </w:r>
          <w:r>
            <w:rPr>
              <w:b/>
              <w:sz w:val="17"/>
              <w:szCs w:val="17"/>
            </w:rPr>
            <w:t>GZ</w:t>
          </w:r>
          <w:r w:rsidRPr="00C658B7">
            <w:rPr>
              <w:b/>
              <w:sz w:val="17"/>
              <w:szCs w:val="17"/>
            </w:rPr>
            <w:t>/3</w:t>
          </w:r>
        </w:p>
      </w:tc>
      <w:tc>
        <w:tcPr>
          <w:tcW w:w="8482" w:type="dxa"/>
          <w:tcBorders>
            <w:bottom w:val="single" w:sz="4" w:space="0" w:color="auto"/>
          </w:tcBorders>
          <w:vAlign w:val="bottom"/>
        </w:tcPr>
        <w:p w14:paraId="44735D51" w14:textId="77777777" w:rsidR="00E112CD" w:rsidRPr="00C658B7" w:rsidRDefault="00E112CD" w:rsidP="00C658B7">
          <w:pPr>
            <w:widowControl w:val="0"/>
            <w:tabs>
              <w:tab w:val="center" w:pos="4320"/>
              <w:tab w:val="right" w:pos="8640"/>
            </w:tabs>
            <w:rPr>
              <w:sz w:val="17"/>
              <w:szCs w:val="17"/>
            </w:rPr>
          </w:pPr>
        </w:p>
      </w:tc>
    </w:tr>
  </w:tbl>
  <w:p w14:paraId="76186ED2" w14:textId="77777777" w:rsidR="00E112CD" w:rsidRPr="00C658B7" w:rsidRDefault="00E112CD" w:rsidP="00C658B7">
    <w:pPr>
      <w:pStyle w:val="Header"/>
      <w:rPr>
        <w:b/>
        <w:sz w:val="17"/>
        <w:szCs w:val="1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12B60"/>
    <w:multiLevelType w:val="hybridMultilevel"/>
    <w:tmpl w:val="CD1AEB3E"/>
    <w:lvl w:ilvl="0" w:tplc="04090011">
      <w:start w:val="1"/>
      <w:numFmt w:val="decimal"/>
      <w:lvlText w:val="%1)"/>
      <w:lvlJc w:val="left"/>
      <w:pPr>
        <w:ind w:left="1620" w:hanging="360"/>
      </w:pPr>
    </w:lvl>
    <w:lvl w:ilvl="1" w:tplc="04090019">
      <w:start w:val="1"/>
      <w:numFmt w:val="lowerLetter"/>
      <w:lvlText w:val="%2."/>
      <w:lvlJc w:val="left"/>
      <w:pPr>
        <w:ind w:left="2617" w:hanging="360"/>
      </w:pPr>
    </w:lvl>
    <w:lvl w:ilvl="2" w:tplc="0409001B">
      <w:start w:val="1"/>
      <w:numFmt w:val="lowerRoman"/>
      <w:lvlText w:val="%3."/>
      <w:lvlJc w:val="right"/>
      <w:pPr>
        <w:ind w:left="3337" w:hanging="180"/>
      </w:pPr>
    </w:lvl>
    <w:lvl w:ilvl="3" w:tplc="0409000F" w:tentative="1">
      <w:start w:val="1"/>
      <w:numFmt w:val="decimal"/>
      <w:lvlText w:val="%4."/>
      <w:lvlJc w:val="left"/>
      <w:pPr>
        <w:ind w:left="4057" w:hanging="360"/>
      </w:pPr>
    </w:lvl>
    <w:lvl w:ilvl="4" w:tplc="04090019" w:tentative="1">
      <w:start w:val="1"/>
      <w:numFmt w:val="lowerLetter"/>
      <w:lvlText w:val="%5."/>
      <w:lvlJc w:val="left"/>
      <w:pPr>
        <w:ind w:left="4777" w:hanging="360"/>
      </w:pPr>
    </w:lvl>
    <w:lvl w:ilvl="5" w:tplc="0409001B" w:tentative="1">
      <w:start w:val="1"/>
      <w:numFmt w:val="lowerRoman"/>
      <w:lvlText w:val="%6."/>
      <w:lvlJc w:val="right"/>
      <w:pPr>
        <w:ind w:left="5497" w:hanging="180"/>
      </w:pPr>
    </w:lvl>
    <w:lvl w:ilvl="6" w:tplc="0409000F" w:tentative="1">
      <w:start w:val="1"/>
      <w:numFmt w:val="decimal"/>
      <w:lvlText w:val="%7."/>
      <w:lvlJc w:val="left"/>
      <w:pPr>
        <w:ind w:left="6217" w:hanging="360"/>
      </w:pPr>
    </w:lvl>
    <w:lvl w:ilvl="7" w:tplc="04090019" w:tentative="1">
      <w:start w:val="1"/>
      <w:numFmt w:val="lowerLetter"/>
      <w:lvlText w:val="%8."/>
      <w:lvlJc w:val="left"/>
      <w:pPr>
        <w:ind w:left="6937" w:hanging="360"/>
      </w:pPr>
    </w:lvl>
    <w:lvl w:ilvl="8" w:tplc="0409001B" w:tentative="1">
      <w:start w:val="1"/>
      <w:numFmt w:val="lowerRoman"/>
      <w:lvlText w:val="%9."/>
      <w:lvlJc w:val="right"/>
      <w:pPr>
        <w:ind w:left="7657" w:hanging="180"/>
      </w:pPr>
    </w:lvl>
  </w:abstractNum>
  <w:abstractNum w:abstractNumId="1" w15:restartNumberingAfterBreak="0">
    <w:nsid w:val="169C2378"/>
    <w:multiLevelType w:val="hybridMultilevel"/>
    <w:tmpl w:val="0F546638"/>
    <w:lvl w:ilvl="0" w:tplc="04090011">
      <w:start w:val="1"/>
      <w:numFmt w:val="decimal"/>
      <w:lvlText w:val="%1)"/>
      <w:lvlJc w:val="left"/>
      <w:pPr>
        <w:ind w:left="1350" w:hanging="360"/>
      </w:pPr>
    </w:lvl>
    <w:lvl w:ilvl="1" w:tplc="04090019">
      <w:start w:val="1"/>
      <w:numFmt w:val="lowerLetter"/>
      <w:lvlText w:val="%2."/>
      <w:lvlJc w:val="left"/>
      <w:pPr>
        <w:ind w:left="2347" w:hanging="360"/>
      </w:pPr>
    </w:lvl>
    <w:lvl w:ilvl="2" w:tplc="0409001B">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2" w15:restartNumberingAfterBreak="0">
    <w:nsid w:val="17BC4E86"/>
    <w:multiLevelType w:val="hybridMultilevel"/>
    <w:tmpl w:val="CD1AEB3E"/>
    <w:lvl w:ilvl="0" w:tplc="04090011">
      <w:start w:val="1"/>
      <w:numFmt w:val="decimal"/>
      <w:lvlText w:val="%1)"/>
      <w:lvlJc w:val="left"/>
      <w:pPr>
        <w:ind w:left="1620" w:hanging="360"/>
      </w:pPr>
    </w:lvl>
    <w:lvl w:ilvl="1" w:tplc="04090019">
      <w:start w:val="1"/>
      <w:numFmt w:val="lowerLetter"/>
      <w:lvlText w:val="%2."/>
      <w:lvlJc w:val="left"/>
      <w:pPr>
        <w:ind w:left="2617" w:hanging="360"/>
      </w:pPr>
    </w:lvl>
    <w:lvl w:ilvl="2" w:tplc="0409001B">
      <w:start w:val="1"/>
      <w:numFmt w:val="lowerRoman"/>
      <w:lvlText w:val="%3."/>
      <w:lvlJc w:val="right"/>
      <w:pPr>
        <w:ind w:left="3337" w:hanging="180"/>
      </w:pPr>
    </w:lvl>
    <w:lvl w:ilvl="3" w:tplc="0409000F" w:tentative="1">
      <w:start w:val="1"/>
      <w:numFmt w:val="decimal"/>
      <w:lvlText w:val="%4."/>
      <w:lvlJc w:val="left"/>
      <w:pPr>
        <w:ind w:left="4057" w:hanging="360"/>
      </w:pPr>
    </w:lvl>
    <w:lvl w:ilvl="4" w:tplc="04090019" w:tentative="1">
      <w:start w:val="1"/>
      <w:numFmt w:val="lowerLetter"/>
      <w:lvlText w:val="%5."/>
      <w:lvlJc w:val="left"/>
      <w:pPr>
        <w:ind w:left="4777" w:hanging="360"/>
      </w:pPr>
    </w:lvl>
    <w:lvl w:ilvl="5" w:tplc="0409001B" w:tentative="1">
      <w:start w:val="1"/>
      <w:numFmt w:val="lowerRoman"/>
      <w:lvlText w:val="%6."/>
      <w:lvlJc w:val="right"/>
      <w:pPr>
        <w:ind w:left="5497" w:hanging="180"/>
      </w:pPr>
    </w:lvl>
    <w:lvl w:ilvl="6" w:tplc="0409000F" w:tentative="1">
      <w:start w:val="1"/>
      <w:numFmt w:val="decimal"/>
      <w:lvlText w:val="%7."/>
      <w:lvlJc w:val="left"/>
      <w:pPr>
        <w:ind w:left="6217" w:hanging="360"/>
      </w:pPr>
    </w:lvl>
    <w:lvl w:ilvl="7" w:tplc="04090019" w:tentative="1">
      <w:start w:val="1"/>
      <w:numFmt w:val="lowerLetter"/>
      <w:lvlText w:val="%8."/>
      <w:lvlJc w:val="left"/>
      <w:pPr>
        <w:ind w:left="6937" w:hanging="360"/>
      </w:pPr>
    </w:lvl>
    <w:lvl w:ilvl="8" w:tplc="0409001B" w:tentative="1">
      <w:start w:val="1"/>
      <w:numFmt w:val="lowerRoman"/>
      <w:lvlText w:val="%9."/>
      <w:lvlJc w:val="right"/>
      <w:pPr>
        <w:ind w:left="7657" w:hanging="180"/>
      </w:pPr>
    </w:lvl>
  </w:abstractNum>
  <w:abstractNum w:abstractNumId="3" w15:restartNumberingAfterBreak="0">
    <w:nsid w:val="1FB069AB"/>
    <w:multiLevelType w:val="hybridMultilevel"/>
    <w:tmpl w:val="5F0841A2"/>
    <w:lvl w:ilvl="0" w:tplc="0409000F">
      <w:start w:val="1"/>
      <w:numFmt w:val="decimal"/>
      <w:lvlText w:val="%1."/>
      <w:lvlJc w:val="left"/>
      <w:pPr>
        <w:ind w:left="1627" w:hanging="36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4" w15:restartNumberingAfterBreak="0">
    <w:nsid w:val="4219774B"/>
    <w:multiLevelType w:val="hybridMultilevel"/>
    <w:tmpl w:val="43CA32BC"/>
    <w:lvl w:ilvl="0" w:tplc="B99AC4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E341FF"/>
    <w:multiLevelType w:val="hybridMultilevel"/>
    <w:tmpl w:val="2F4A91A2"/>
    <w:lvl w:ilvl="0" w:tplc="6E94B8F6">
      <w:start w:val="1"/>
      <w:numFmt w:val="upperRoman"/>
      <w:lvlText w:val="%1."/>
      <w:lvlJc w:val="left"/>
      <w:pPr>
        <w:ind w:left="2016" w:hanging="720"/>
      </w:pPr>
      <w:rPr>
        <w:rFonts w:hint="default"/>
        <w:sz w:val="20"/>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6" w15:restartNumberingAfterBreak="0">
    <w:nsid w:val="44093F96"/>
    <w:multiLevelType w:val="hybridMultilevel"/>
    <w:tmpl w:val="CD1AEB3E"/>
    <w:lvl w:ilvl="0" w:tplc="04090011">
      <w:start w:val="1"/>
      <w:numFmt w:val="decimal"/>
      <w:lvlText w:val="%1)"/>
      <w:lvlJc w:val="left"/>
      <w:pPr>
        <w:ind w:left="1350" w:hanging="360"/>
      </w:pPr>
    </w:lvl>
    <w:lvl w:ilvl="1" w:tplc="04090019">
      <w:start w:val="1"/>
      <w:numFmt w:val="lowerLetter"/>
      <w:lvlText w:val="%2."/>
      <w:lvlJc w:val="left"/>
      <w:pPr>
        <w:ind w:left="2347" w:hanging="360"/>
      </w:pPr>
    </w:lvl>
    <w:lvl w:ilvl="2" w:tplc="0409001B">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7" w15:restartNumberingAfterBreak="0">
    <w:nsid w:val="450045B5"/>
    <w:multiLevelType w:val="multilevel"/>
    <w:tmpl w:val="4A7E1FAE"/>
    <w:lvl w:ilvl="0">
      <w:start w:val="1"/>
      <w:numFmt w:val="decimal"/>
      <w:lvlText w:val="%1."/>
      <w:lvlJc w:val="left"/>
      <w:pPr>
        <w:ind w:left="927" w:hanging="360"/>
      </w:pPr>
      <w:rPr>
        <w:rFonts w:hAnsi="Arial Unicode M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1440" w:hanging="360"/>
      </w:pPr>
      <w:rPr>
        <w:rFonts w:hAnsi="Arial Unicode M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2160" w:hanging="267"/>
      </w:pPr>
      <w:rPr>
        <w:rFonts w:hAnsi="Arial Unicode M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2880" w:hanging="360"/>
      </w:pPr>
      <w:rPr>
        <w:rFonts w:hAnsi="Arial Unicode M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3600" w:hanging="360"/>
      </w:pPr>
      <w:rPr>
        <w:rFonts w:hAnsi="Arial Unicode M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4320" w:hanging="267"/>
      </w:pPr>
      <w:rPr>
        <w:rFonts w:hAnsi="Arial Unicode M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5040" w:hanging="360"/>
      </w:pPr>
      <w:rPr>
        <w:rFonts w:hAnsi="Arial Unicode M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5760" w:hanging="360"/>
      </w:pPr>
      <w:rPr>
        <w:rFonts w:hAnsi="Arial Unicode M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6480" w:hanging="267"/>
      </w:pPr>
      <w:rPr>
        <w:rFonts w:hAnsi="Arial Unicode M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46375E0F"/>
    <w:multiLevelType w:val="multilevel"/>
    <w:tmpl w:val="8620EF4A"/>
    <w:name w:val="TOC3"/>
    <w:lvl w:ilvl="0">
      <w:start w:val="1"/>
      <w:numFmt w:val="upperRoman"/>
      <w:lvlText w:val="%1."/>
      <w:lvlJc w:val="right"/>
      <w:pPr>
        <w:tabs>
          <w:tab w:val="num" w:pos="1296"/>
        </w:tabs>
        <w:ind w:left="1296" w:hanging="216"/>
      </w:pPr>
    </w:lvl>
    <w:lvl w:ilvl="1">
      <w:start w:val="1"/>
      <w:numFmt w:val="upperLetter"/>
      <w:lvlText w:val="%2."/>
      <w:lvlJc w:val="left"/>
      <w:pPr>
        <w:tabs>
          <w:tab w:val="num" w:pos="1728"/>
        </w:tabs>
        <w:ind w:left="1728" w:hanging="432"/>
      </w:pPr>
    </w:lvl>
    <w:lvl w:ilvl="2">
      <w:start w:val="1"/>
      <w:numFmt w:val="decimal"/>
      <w:lvlText w:val="%3."/>
      <w:lvlJc w:val="left"/>
      <w:pPr>
        <w:tabs>
          <w:tab w:val="num" w:pos="2160"/>
        </w:tabs>
        <w:ind w:left="2160" w:hanging="432"/>
      </w:pPr>
    </w:lvl>
    <w:lvl w:ilvl="3">
      <w:start w:val="1"/>
      <w:numFmt w:val="lowerLetter"/>
      <w:lvlText w:val="(%4)"/>
      <w:lvlJc w:val="left"/>
      <w:pPr>
        <w:tabs>
          <w:tab w:val="num" w:pos="2592"/>
        </w:tabs>
        <w:ind w:left="2592" w:hanging="432"/>
      </w:pPr>
    </w:lvl>
    <w:lvl w:ilvl="4">
      <w:start w:val="1"/>
      <w:numFmt w:val="lowerRoman"/>
      <w:lvlText w:val="(%5)"/>
      <w:lvlJc w:val="left"/>
      <w:pPr>
        <w:tabs>
          <w:tab w:val="num" w:pos="3024"/>
        </w:tabs>
        <w:ind w:left="3024" w:hanging="432"/>
      </w:pPr>
    </w:lvl>
    <w:lvl w:ilvl="5">
      <w:start w:val="1"/>
      <w:numFmt w:val="bullet"/>
      <w:lvlText w:val=""/>
      <w:lvlJc w:val="left"/>
      <w:pPr>
        <w:tabs>
          <w:tab w:val="num" w:pos="3456"/>
        </w:tabs>
        <w:ind w:left="3456" w:hanging="432"/>
      </w:pPr>
      <w:rPr>
        <w:rFonts w:ascii="Symbol" w:hAnsi="Symbol" w:hint="default"/>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BAB29F5"/>
    <w:multiLevelType w:val="hybridMultilevel"/>
    <w:tmpl w:val="B5202B20"/>
    <w:lvl w:ilvl="0" w:tplc="EB025252">
      <w:start w:val="1"/>
      <w:numFmt w:val="bullet"/>
      <w:lvlText w:val="»"/>
      <w:lvlJc w:val="left"/>
      <w:pPr>
        <w:ind w:left="720" w:hanging="360"/>
      </w:pPr>
      <w:rPr>
        <w:rFonts w:ascii="Calibri" w:hAnsi="Calibri" w:hint="default"/>
        <w:b w:val="0"/>
        <w:i w:val="0"/>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B307D99"/>
    <w:multiLevelType w:val="hybridMultilevel"/>
    <w:tmpl w:val="CD1AEB3E"/>
    <w:lvl w:ilvl="0" w:tplc="04090011">
      <w:start w:val="1"/>
      <w:numFmt w:val="decimal"/>
      <w:lvlText w:val="%1)"/>
      <w:lvlJc w:val="left"/>
      <w:pPr>
        <w:ind w:left="1350" w:hanging="360"/>
      </w:pPr>
    </w:lvl>
    <w:lvl w:ilvl="1" w:tplc="04090019">
      <w:start w:val="1"/>
      <w:numFmt w:val="lowerLetter"/>
      <w:lvlText w:val="%2."/>
      <w:lvlJc w:val="left"/>
      <w:pPr>
        <w:ind w:left="2347" w:hanging="360"/>
      </w:pPr>
    </w:lvl>
    <w:lvl w:ilvl="2" w:tplc="0409001B">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1" w15:restartNumberingAfterBreak="0">
    <w:nsid w:val="5FCE2EF8"/>
    <w:multiLevelType w:val="hybridMultilevel"/>
    <w:tmpl w:val="4AFE658C"/>
    <w:lvl w:ilvl="0" w:tplc="3FB69F50">
      <w:start w:val="1"/>
      <w:numFmt w:val="decimal"/>
      <w:lvlText w:val="%1."/>
      <w:lvlJc w:val="left"/>
      <w:pPr>
        <w:ind w:left="1890" w:hanging="360"/>
      </w:pPr>
      <w:rPr>
        <w:rFonts w:ascii="Times New Roman" w:eastAsia="Times New Roman" w:hAnsi="Times New Roman" w:cs="Times New Roman"/>
      </w:rPr>
    </w:lvl>
    <w:lvl w:ilvl="1" w:tplc="04090019">
      <w:start w:val="1"/>
      <w:numFmt w:val="lowerLetter"/>
      <w:lvlText w:val="%2."/>
      <w:lvlJc w:val="left"/>
      <w:pPr>
        <w:ind w:left="2617" w:hanging="360"/>
      </w:pPr>
    </w:lvl>
    <w:lvl w:ilvl="2" w:tplc="0409001B">
      <w:start w:val="1"/>
      <w:numFmt w:val="lowerRoman"/>
      <w:lvlText w:val="%3."/>
      <w:lvlJc w:val="right"/>
      <w:pPr>
        <w:ind w:left="3337" w:hanging="180"/>
      </w:pPr>
    </w:lvl>
    <w:lvl w:ilvl="3" w:tplc="0409000F" w:tentative="1">
      <w:start w:val="1"/>
      <w:numFmt w:val="decimal"/>
      <w:lvlText w:val="%4."/>
      <w:lvlJc w:val="left"/>
      <w:pPr>
        <w:ind w:left="4057" w:hanging="360"/>
      </w:pPr>
    </w:lvl>
    <w:lvl w:ilvl="4" w:tplc="04090019" w:tentative="1">
      <w:start w:val="1"/>
      <w:numFmt w:val="lowerLetter"/>
      <w:lvlText w:val="%5."/>
      <w:lvlJc w:val="left"/>
      <w:pPr>
        <w:ind w:left="4777" w:hanging="360"/>
      </w:pPr>
    </w:lvl>
    <w:lvl w:ilvl="5" w:tplc="0409001B" w:tentative="1">
      <w:start w:val="1"/>
      <w:numFmt w:val="lowerRoman"/>
      <w:lvlText w:val="%6."/>
      <w:lvlJc w:val="right"/>
      <w:pPr>
        <w:ind w:left="5497" w:hanging="180"/>
      </w:pPr>
    </w:lvl>
    <w:lvl w:ilvl="6" w:tplc="0409000F" w:tentative="1">
      <w:start w:val="1"/>
      <w:numFmt w:val="decimal"/>
      <w:lvlText w:val="%7."/>
      <w:lvlJc w:val="left"/>
      <w:pPr>
        <w:ind w:left="6217" w:hanging="360"/>
      </w:pPr>
    </w:lvl>
    <w:lvl w:ilvl="7" w:tplc="04090019" w:tentative="1">
      <w:start w:val="1"/>
      <w:numFmt w:val="lowerLetter"/>
      <w:lvlText w:val="%8."/>
      <w:lvlJc w:val="left"/>
      <w:pPr>
        <w:ind w:left="6937" w:hanging="360"/>
      </w:pPr>
    </w:lvl>
    <w:lvl w:ilvl="8" w:tplc="0409001B" w:tentative="1">
      <w:start w:val="1"/>
      <w:numFmt w:val="lowerRoman"/>
      <w:lvlText w:val="%9."/>
      <w:lvlJc w:val="right"/>
      <w:pPr>
        <w:ind w:left="7657" w:hanging="180"/>
      </w:pPr>
    </w:lvl>
  </w:abstractNum>
  <w:abstractNum w:abstractNumId="12" w15:restartNumberingAfterBreak="0">
    <w:nsid w:val="641846F7"/>
    <w:multiLevelType w:val="hybridMultilevel"/>
    <w:tmpl w:val="033459DE"/>
    <w:lvl w:ilvl="0" w:tplc="04090011">
      <w:start w:val="1"/>
      <w:numFmt w:val="decimal"/>
      <w:lvlText w:val="%1)"/>
      <w:lvlJc w:val="left"/>
      <w:pPr>
        <w:ind w:left="1620" w:hanging="360"/>
      </w:pPr>
    </w:lvl>
    <w:lvl w:ilvl="1" w:tplc="04090019">
      <w:start w:val="1"/>
      <w:numFmt w:val="lowerLetter"/>
      <w:lvlText w:val="%2."/>
      <w:lvlJc w:val="left"/>
      <w:pPr>
        <w:ind w:left="2617" w:hanging="360"/>
      </w:pPr>
    </w:lvl>
    <w:lvl w:ilvl="2" w:tplc="0409001B">
      <w:start w:val="1"/>
      <w:numFmt w:val="lowerRoman"/>
      <w:lvlText w:val="%3."/>
      <w:lvlJc w:val="right"/>
      <w:pPr>
        <w:ind w:left="3337" w:hanging="180"/>
      </w:pPr>
    </w:lvl>
    <w:lvl w:ilvl="3" w:tplc="0409000F" w:tentative="1">
      <w:start w:val="1"/>
      <w:numFmt w:val="decimal"/>
      <w:lvlText w:val="%4."/>
      <w:lvlJc w:val="left"/>
      <w:pPr>
        <w:ind w:left="4057" w:hanging="360"/>
      </w:pPr>
    </w:lvl>
    <w:lvl w:ilvl="4" w:tplc="04090019" w:tentative="1">
      <w:start w:val="1"/>
      <w:numFmt w:val="lowerLetter"/>
      <w:lvlText w:val="%5."/>
      <w:lvlJc w:val="left"/>
      <w:pPr>
        <w:ind w:left="4777" w:hanging="360"/>
      </w:pPr>
    </w:lvl>
    <w:lvl w:ilvl="5" w:tplc="0409001B" w:tentative="1">
      <w:start w:val="1"/>
      <w:numFmt w:val="lowerRoman"/>
      <w:lvlText w:val="%6."/>
      <w:lvlJc w:val="right"/>
      <w:pPr>
        <w:ind w:left="5497" w:hanging="180"/>
      </w:pPr>
    </w:lvl>
    <w:lvl w:ilvl="6" w:tplc="0409000F" w:tentative="1">
      <w:start w:val="1"/>
      <w:numFmt w:val="decimal"/>
      <w:lvlText w:val="%7."/>
      <w:lvlJc w:val="left"/>
      <w:pPr>
        <w:ind w:left="6217" w:hanging="360"/>
      </w:pPr>
    </w:lvl>
    <w:lvl w:ilvl="7" w:tplc="04090019" w:tentative="1">
      <w:start w:val="1"/>
      <w:numFmt w:val="lowerLetter"/>
      <w:lvlText w:val="%8."/>
      <w:lvlJc w:val="left"/>
      <w:pPr>
        <w:ind w:left="6937" w:hanging="360"/>
      </w:pPr>
    </w:lvl>
    <w:lvl w:ilvl="8" w:tplc="0409001B" w:tentative="1">
      <w:start w:val="1"/>
      <w:numFmt w:val="lowerRoman"/>
      <w:lvlText w:val="%9."/>
      <w:lvlJc w:val="right"/>
      <w:pPr>
        <w:ind w:left="7657" w:hanging="180"/>
      </w:pPr>
    </w:lvl>
  </w:abstractNum>
  <w:abstractNum w:abstractNumId="13" w15:restartNumberingAfterBreak="0">
    <w:nsid w:val="7ABA1249"/>
    <w:multiLevelType w:val="hybridMultilevel"/>
    <w:tmpl w:val="51801D0C"/>
    <w:lvl w:ilvl="0" w:tplc="2FC27F60">
      <w:start w:val="1"/>
      <w:numFmt w:val="decimal"/>
      <w:lvlText w:val="%1."/>
      <w:lvlJc w:val="left"/>
      <w:pPr>
        <w:ind w:left="360" w:hanging="360"/>
      </w:pPr>
      <w:rPr>
        <w:b w:val="0"/>
        <w:i w:val="0"/>
        <w:sz w:val="22"/>
      </w:rPr>
    </w:lvl>
    <w:lvl w:ilvl="1" w:tplc="D7BCE488">
      <w:start w:val="1"/>
      <w:numFmt w:val="bullet"/>
      <w:lvlText w:val="»"/>
      <w:lvlJc w:val="left"/>
      <w:pPr>
        <w:ind w:left="1080" w:hanging="360"/>
      </w:pPr>
      <w:rPr>
        <w:rFonts w:ascii="Calibri" w:hAnsi="Calibri" w:hint="default"/>
        <w:sz w:val="22"/>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8"/>
  </w:num>
  <w:num w:numId="2">
    <w:abstractNumId w:val="11"/>
  </w:num>
  <w:num w:numId="3">
    <w:abstractNumId w:val="5"/>
  </w:num>
  <w:num w:numId="4">
    <w:abstractNumId w:val="7"/>
  </w:num>
  <w:num w:numId="5">
    <w:abstractNumId w:val="3"/>
  </w:num>
  <w:num w:numId="6">
    <w:abstractNumId w:val="1"/>
  </w:num>
  <w:num w:numId="7">
    <w:abstractNumId w:val="9"/>
  </w:num>
  <w:num w:numId="8">
    <w:abstractNumId w:val="13"/>
  </w:num>
  <w:num w:numId="9">
    <w:abstractNumId w:val="10"/>
  </w:num>
  <w:num w:numId="10">
    <w:abstractNumId w:val="6"/>
  </w:num>
  <w:num w:numId="11">
    <w:abstractNumId w:val="2"/>
  </w:num>
  <w:num w:numId="12">
    <w:abstractNumId w:val="0"/>
  </w:num>
  <w:num w:numId="13">
    <w:abstractNumId w:val="12"/>
  </w:num>
  <w:num w:numId="14">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GrammaticalError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cumentProtection w:edit="comments" w:formatting="1" w:enforcement="0"/>
  <w:defaultTabStop w:val="720"/>
  <w:doNotHyphenateCaps/>
  <w:evenAndOddHeaders/>
  <w:drawingGridHorizontalSpacing w:val="100"/>
  <w:displayHorizontalDrawingGridEvery w:val="2"/>
  <w:characterSpacingControl w:val="doNotCompress"/>
  <w:doNotValidateAgainstSchema/>
  <w:doNotDemarcateInvalidXml/>
  <w:hdrShapeDefaults>
    <o:shapedefaults v:ext="edit" spidmax="2049"/>
  </w:hdrShapeDefaults>
  <w:footnotePr>
    <w:numRestart w:val="eachSect"/>
    <w:footnote w:id="-1"/>
    <w:footnote w:id="0"/>
  </w:footnotePr>
  <w:endnotePr>
    <w:numFmt w:val="decimal"/>
    <w:numStart w:val="7"/>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53B"/>
    <w:rsid w:val="00000F34"/>
    <w:rsid w:val="000010B5"/>
    <w:rsid w:val="00001350"/>
    <w:rsid w:val="00001873"/>
    <w:rsid w:val="000027D2"/>
    <w:rsid w:val="00002CBB"/>
    <w:rsid w:val="000033B9"/>
    <w:rsid w:val="000036D4"/>
    <w:rsid w:val="000047E2"/>
    <w:rsid w:val="00005E26"/>
    <w:rsid w:val="00010C46"/>
    <w:rsid w:val="000112DD"/>
    <w:rsid w:val="00012F17"/>
    <w:rsid w:val="000130D2"/>
    <w:rsid w:val="00014751"/>
    <w:rsid w:val="00014762"/>
    <w:rsid w:val="000152F3"/>
    <w:rsid w:val="000153E4"/>
    <w:rsid w:val="00015FDE"/>
    <w:rsid w:val="0001617B"/>
    <w:rsid w:val="00016217"/>
    <w:rsid w:val="00016861"/>
    <w:rsid w:val="000171C8"/>
    <w:rsid w:val="000174E7"/>
    <w:rsid w:val="00017564"/>
    <w:rsid w:val="000200CF"/>
    <w:rsid w:val="000205BB"/>
    <w:rsid w:val="000205F1"/>
    <w:rsid w:val="00021C8F"/>
    <w:rsid w:val="00021F4B"/>
    <w:rsid w:val="00022047"/>
    <w:rsid w:val="0002403A"/>
    <w:rsid w:val="00024682"/>
    <w:rsid w:val="000250F7"/>
    <w:rsid w:val="00026674"/>
    <w:rsid w:val="00026A8A"/>
    <w:rsid w:val="00026F51"/>
    <w:rsid w:val="000274B9"/>
    <w:rsid w:val="0002758B"/>
    <w:rsid w:val="000276A0"/>
    <w:rsid w:val="00027CB2"/>
    <w:rsid w:val="000301CD"/>
    <w:rsid w:val="000305FB"/>
    <w:rsid w:val="00030768"/>
    <w:rsid w:val="00032A0F"/>
    <w:rsid w:val="00032C55"/>
    <w:rsid w:val="000330DB"/>
    <w:rsid w:val="00033ADA"/>
    <w:rsid w:val="00033C42"/>
    <w:rsid w:val="00033CD4"/>
    <w:rsid w:val="0003429F"/>
    <w:rsid w:val="00034B0F"/>
    <w:rsid w:val="0003562A"/>
    <w:rsid w:val="00035A34"/>
    <w:rsid w:val="00036095"/>
    <w:rsid w:val="00036AF4"/>
    <w:rsid w:val="00036D87"/>
    <w:rsid w:val="00037A7E"/>
    <w:rsid w:val="00037AFA"/>
    <w:rsid w:val="00037B52"/>
    <w:rsid w:val="00040227"/>
    <w:rsid w:val="000403F2"/>
    <w:rsid w:val="00041C10"/>
    <w:rsid w:val="00043804"/>
    <w:rsid w:val="000441A1"/>
    <w:rsid w:val="00044B3D"/>
    <w:rsid w:val="00044DA5"/>
    <w:rsid w:val="00046015"/>
    <w:rsid w:val="000464F3"/>
    <w:rsid w:val="000500CB"/>
    <w:rsid w:val="0005029A"/>
    <w:rsid w:val="00050869"/>
    <w:rsid w:val="00051372"/>
    <w:rsid w:val="000513B9"/>
    <w:rsid w:val="00051672"/>
    <w:rsid w:val="000536AB"/>
    <w:rsid w:val="000536B2"/>
    <w:rsid w:val="00053794"/>
    <w:rsid w:val="00054018"/>
    <w:rsid w:val="000557C8"/>
    <w:rsid w:val="00055E96"/>
    <w:rsid w:val="000561C1"/>
    <w:rsid w:val="00056204"/>
    <w:rsid w:val="0005699F"/>
    <w:rsid w:val="00056EAF"/>
    <w:rsid w:val="000570D1"/>
    <w:rsid w:val="000571A9"/>
    <w:rsid w:val="00057351"/>
    <w:rsid w:val="000574EB"/>
    <w:rsid w:val="0005775E"/>
    <w:rsid w:val="00057DA5"/>
    <w:rsid w:val="00060290"/>
    <w:rsid w:val="00061AC5"/>
    <w:rsid w:val="00061E99"/>
    <w:rsid w:val="000624EE"/>
    <w:rsid w:val="000625E1"/>
    <w:rsid w:val="00063528"/>
    <w:rsid w:val="00063E24"/>
    <w:rsid w:val="00064390"/>
    <w:rsid w:val="000644AC"/>
    <w:rsid w:val="00064785"/>
    <w:rsid w:val="00064B8C"/>
    <w:rsid w:val="00065376"/>
    <w:rsid w:val="00067298"/>
    <w:rsid w:val="00071155"/>
    <w:rsid w:val="00071E68"/>
    <w:rsid w:val="00072229"/>
    <w:rsid w:val="00073CF1"/>
    <w:rsid w:val="0007405F"/>
    <w:rsid w:val="00074BD0"/>
    <w:rsid w:val="00074D9A"/>
    <w:rsid w:val="00074DB9"/>
    <w:rsid w:val="000753C4"/>
    <w:rsid w:val="00075DF0"/>
    <w:rsid w:val="000762CA"/>
    <w:rsid w:val="00077020"/>
    <w:rsid w:val="00077835"/>
    <w:rsid w:val="00077E38"/>
    <w:rsid w:val="000802B1"/>
    <w:rsid w:val="000803A4"/>
    <w:rsid w:val="0008097E"/>
    <w:rsid w:val="000815CA"/>
    <w:rsid w:val="0008163B"/>
    <w:rsid w:val="000817A8"/>
    <w:rsid w:val="00083165"/>
    <w:rsid w:val="0008339E"/>
    <w:rsid w:val="00084510"/>
    <w:rsid w:val="00084618"/>
    <w:rsid w:val="00084870"/>
    <w:rsid w:val="00085141"/>
    <w:rsid w:val="000864CE"/>
    <w:rsid w:val="00086814"/>
    <w:rsid w:val="000870B2"/>
    <w:rsid w:val="000906BE"/>
    <w:rsid w:val="00090AD1"/>
    <w:rsid w:val="00090B1F"/>
    <w:rsid w:val="00090F4F"/>
    <w:rsid w:val="000913AC"/>
    <w:rsid w:val="00091476"/>
    <w:rsid w:val="00092879"/>
    <w:rsid w:val="000949D6"/>
    <w:rsid w:val="00094E87"/>
    <w:rsid w:val="000964C9"/>
    <w:rsid w:val="0009754F"/>
    <w:rsid w:val="00097FB2"/>
    <w:rsid w:val="000A151D"/>
    <w:rsid w:val="000A23C0"/>
    <w:rsid w:val="000A24C5"/>
    <w:rsid w:val="000A3F7F"/>
    <w:rsid w:val="000A490B"/>
    <w:rsid w:val="000A56CA"/>
    <w:rsid w:val="000A5CA8"/>
    <w:rsid w:val="000A67E1"/>
    <w:rsid w:val="000A6FB4"/>
    <w:rsid w:val="000A7783"/>
    <w:rsid w:val="000B0EA9"/>
    <w:rsid w:val="000B1627"/>
    <w:rsid w:val="000B35AD"/>
    <w:rsid w:val="000B3A13"/>
    <w:rsid w:val="000B4BB2"/>
    <w:rsid w:val="000B4C98"/>
    <w:rsid w:val="000B54EF"/>
    <w:rsid w:val="000B67BD"/>
    <w:rsid w:val="000B7483"/>
    <w:rsid w:val="000B7B2E"/>
    <w:rsid w:val="000B7BF7"/>
    <w:rsid w:val="000C0C5D"/>
    <w:rsid w:val="000C0D7B"/>
    <w:rsid w:val="000C141F"/>
    <w:rsid w:val="000C17E4"/>
    <w:rsid w:val="000C2487"/>
    <w:rsid w:val="000C2DFA"/>
    <w:rsid w:val="000C2E6B"/>
    <w:rsid w:val="000C4B00"/>
    <w:rsid w:val="000C4F2A"/>
    <w:rsid w:val="000C53C0"/>
    <w:rsid w:val="000C563F"/>
    <w:rsid w:val="000C6863"/>
    <w:rsid w:val="000C70F4"/>
    <w:rsid w:val="000C7199"/>
    <w:rsid w:val="000C76B0"/>
    <w:rsid w:val="000C7BBE"/>
    <w:rsid w:val="000C7FDB"/>
    <w:rsid w:val="000D0F34"/>
    <w:rsid w:val="000D2335"/>
    <w:rsid w:val="000D2475"/>
    <w:rsid w:val="000D329C"/>
    <w:rsid w:val="000D3ABB"/>
    <w:rsid w:val="000D442C"/>
    <w:rsid w:val="000D4DC4"/>
    <w:rsid w:val="000D5AAE"/>
    <w:rsid w:val="000D6877"/>
    <w:rsid w:val="000D6D66"/>
    <w:rsid w:val="000D7468"/>
    <w:rsid w:val="000D76CC"/>
    <w:rsid w:val="000E1D20"/>
    <w:rsid w:val="000E4F72"/>
    <w:rsid w:val="000E5D61"/>
    <w:rsid w:val="000E612D"/>
    <w:rsid w:val="000E683A"/>
    <w:rsid w:val="000E745A"/>
    <w:rsid w:val="000E76B2"/>
    <w:rsid w:val="000E7E9E"/>
    <w:rsid w:val="000F0044"/>
    <w:rsid w:val="000F120C"/>
    <w:rsid w:val="000F1297"/>
    <w:rsid w:val="000F1B75"/>
    <w:rsid w:val="000F1BA0"/>
    <w:rsid w:val="000F22A6"/>
    <w:rsid w:val="000F2689"/>
    <w:rsid w:val="000F35E9"/>
    <w:rsid w:val="000F48A2"/>
    <w:rsid w:val="000F53D1"/>
    <w:rsid w:val="000F62A6"/>
    <w:rsid w:val="000F703B"/>
    <w:rsid w:val="0010438F"/>
    <w:rsid w:val="001060BF"/>
    <w:rsid w:val="00106EF8"/>
    <w:rsid w:val="001101A2"/>
    <w:rsid w:val="00111489"/>
    <w:rsid w:val="00111536"/>
    <w:rsid w:val="00111797"/>
    <w:rsid w:val="00111B19"/>
    <w:rsid w:val="00113114"/>
    <w:rsid w:val="0011386A"/>
    <w:rsid w:val="00114A64"/>
    <w:rsid w:val="001152A5"/>
    <w:rsid w:val="00115BBB"/>
    <w:rsid w:val="00115CD2"/>
    <w:rsid w:val="00115D53"/>
    <w:rsid w:val="00115F59"/>
    <w:rsid w:val="00116C1A"/>
    <w:rsid w:val="00121F3E"/>
    <w:rsid w:val="0012229E"/>
    <w:rsid w:val="001223A0"/>
    <w:rsid w:val="00122802"/>
    <w:rsid w:val="001231C9"/>
    <w:rsid w:val="00123849"/>
    <w:rsid w:val="001238C0"/>
    <w:rsid w:val="00123A5E"/>
    <w:rsid w:val="001244E9"/>
    <w:rsid w:val="00125010"/>
    <w:rsid w:val="00125266"/>
    <w:rsid w:val="00125B82"/>
    <w:rsid w:val="001274B2"/>
    <w:rsid w:val="0012772F"/>
    <w:rsid w:val="00130141"/>
    <w:rsid w:val="001305E6"/>
    <w:rsid w:val="001312D9"/>
    <w:rsid w:val="0013239A"/>
    <w:rsid w:val="00132796"/>
    <w:rsid w:val="0013289F"/>
    <w:rsid w:val="00133011"/>
    <w:rsid w:val="00134139"/>
    <w:rsid w:val="0013503C"/>
    <w:rsid w:val="001356BA"/>
    <w:rsid w:val="00135F99"/>
    <w:rsid w:val="00136229"/>
    <w:rsid w:val="0013761A"/>
    <w:rsid w:val="0014143B"/>
    <w:rsid w:val="00141454"/>
    <w:rsid w:val="00141662"/>
    <w:rsid w:val="0014292D"/>
    <w:rsid w:val="00142B6C"/>
    <w:rsid w:val="00143E4B"/>
    <w:rsid w:val="0014423A"/>
    <w:rsid w:val="001451CB"/>
    <w:rsid w:val="0014601F"/>
    <w:rsid w:val="001461AC"/>
    <w:rsid w:val="00146855"/>
    <w:rsid w:val="00146B93"/>
    <w:rsid w:val="00147042"/>
    <w:rsid w:val="001471A7"/>
    <w:rsid w:val="001474EA"/>
    <w:rsid w:val="001501E2"/>
    <w:rsid w:val="001502FC"/>
    <w:rsid w:val="0015046E"/>
    <w:rsid w:val="00150548"/>
    <w:rsid w:val="001506CD"/>
    <w:rsid w:val="001506F6"/>
    <w:rsid w:val="00152327"/>
    <w:rsid w:val="0015329E"/>
    <w:rsid w:val="00154032"/>
    <w:rsid w:val="001540DF"/>
    <w:rsid w:val="001547D3"/>
    <w:rsid w:val="0015520F"/>
    <w:rsid w:val="001559BD"/>
    <w:rsid w:val="001561B6"/>
    <w:rsid w:val="0015713B"/>
    <w:rsid w:val="0015720D"/>
    <w:rsid w:val="001575B0"/>
    <w:rsid w:val="0015796E"/>
    <w:rsid w:val="00157F79"/>
    <w:rsid w:val="00160385"/>
    <w:rsid w:val="00160B90"/>
    <w:rsid w:val="00160C11"/>
    <w:rsid w:val="001630DD"/>
    <w:rsid w:val="00163960"/>
    <w:rsid w:val="00163E84"/>
    <w:rsid w:val="00164E16"/>
    <w:rsid w:val="00164EE5"/>
    <w:rsid w:val="00165710"/>
    <w:rsid w:val="00165B8B"/>
    <w:rsid w:val="0016617B"/>
    <w:rsid w:val="001668AA"/>
    <w:rsid w:val="00167077"/>
    <w:rsid w:val="001675B1"/>
    <w:rsid w:val="0016789D"/>
    <w:rsid w:val="00167C87"/>
    <w:rsid w:val="00171A3A"/>
    <w:rsid w:val="0017208F"/>
    <w:rsid w:val="001727D7"/>
    <w:rsid w:val="00172EE3"/>
    <w:rsid w:val="001730F2"/>
    <w:rsid w:val="00176199"/>
    <w:rsid w:val="00176552"/>
    <w:rsid w:val="00176C2E"/>
    <w:rsid w:val="00177D40"/>
    <w:rsid w:val="00177E7E"/>
    <w:rsid w:val="00180D25"/>
    <w:rsid w:val="00182518"/>
    <w:rsid w:val="0018356F"/>
    <w:rsid w:val="00184FDF"/>
    <w:rsid w:val="001858ED"/>
    <w:rsid w:val="00185A04"/>
    <w:rsid w:val="001876C5"/>
    <w:rsid w:val="00187D68"/>
    <w:rsid w:val="00190155"/>
    <w:rsid w:val="0019048D"/>
    <w:rsid w:val="001906B5"/>
    <w:rsid w:val="00192419"/>
    <w:rsid w:val="00192FD1"/>
    <w:rsid w:val="00193D39"/>
    <w:rsid w:val="00194163"/>
    <w:rsid w:val="00194CE1"/>
    <w:rsid w:val="00194FEB"/>
    <w:rsid w:val="0019554E"/>
    <w:rsid w:val="00195807"/>
    <w:rsid w:val="00195EF1"/>
    <w:rsid w:val="0019603A"/>
    <w:rsid w:val="0019665C"/>
    <w:rsid w:val="001970A4"/>
    <w:rsid w:val="00197200"/>
    <w:rsid w:val="00197AA5"/>
    <w:rsid w:val="00197AD1"/>
    <w:rsid w:val="00197F57"/>
    <w:rsid w:val="001A020E"/>
    <w:rsid w:val="001A1C4A"/>
    <w:rsid w:val="001A2029"/>
    <w:rsid w:val="001A24C9"/>
    <w:rsid w:val="001A2D56"/>
    <w:rsid w:val="001A30C3"/>
    <w:rsid w:val="001A39DF"/>
    <w:rsid w:val="001A3EF4"/>
    <w:rsid w:val="001A592A"/>
    <w:rsid w:val="001A5BBF"/>
    <w:rsid w:val="001A7D75"/>
    <w:rsid w:val="001B0020"/>
    <w:rsid w:val="001B0B1A"/>
    <w:rsid w:val="001B1382"/>
    <w:rsid w:val="001B18BD"/>
    <w:rsid w:val="001B1FC7"/>
    <w:rsid w:val="001B2003"/>
    <w:rsid w:val="001B263D"/>
    <w:rsid w:val="001B280A"/>
    <w:rsid w:val="001B3F87"/>
    <w:rsid w:val="001B4026"/>
    <w:rsid w:val="001B598C"/>
    <w:rsid w:val="001B5F39"/>
    <w:rsid w:val="001B62BD"/>
    <w:rsid w:val="001B751B"/>
    <w:rsid w:val="001B76A6"/>
    <w:rsid w:val="001B7BDA"/>
    <w:rsid w:val="001C0544"/>
    <w:rsid w:val="001C07F8"/>
    <w:rsid w:val="001C1328"/>
    <w:rsid w:val="001C2F59"/>
    <w:rsid w:val="001C35E9"/>
    <w:rsid w:val="001C45A9"/>
    <w:rsid w:val="001C627A"/>
    <w:rsid w:val="001C6C08"/>
    <w:rsid w:val="001D1535"/>
    <w:rsid w:val="001D2056"/>
    <w:rsid w:val="001D2F73"/>
    <w:rsid w:val="001D42D1"/>
    <w:rsid w:val="001D6066"/>
    <w:rsid w:val="001D64E5"/>
    <w:rsid w:val="001D6643"/>
    <w:rsid w:val="001D6EB8"/>
    <w:rsid w:val="001D7C64"/>
    <w:rsid w:val="001D7DB3"/>
    <w:rsid w:val="001E05EC"/>
    <w:rsid w:val="001E1172"/>
    <w:rsid w:val="001E2A88"/>
    <w:rsid w:val="001E4007"/>
    <w:rsid w:val="001E466F"/>
    <w:rsid w:val="001E4809"/>
    <w:rsid w:val="001E4F4F"/>
    <w:rsid w:val="001E66F2"/>
    <w:rsid w:val="001F072B"/>
    <w:rsid w:val="001F0918"/>
    <w:rsid w:val="001F0B14"/>
    <w:rsid w:val="001F0DE1"/>
    <w:rsid w:val="001F27F4"/>
    <w:rsid w:val="001F2AAD"/>
    <w:rsid w:val="001F3C5A"/>
    <w:rsid w:val="001F3DC0"/>
    <w:rsid w:val="001F4428"/>
    <w:rsid w:val="001F4C5A"/>
    <w:rsid w:val="001F5655"/>
    <w:rsid w:val="001F5A3B"/>
    <w:rsid w:val="001F6425"/>
    <w:rsid w:val="001F6772"/>
    <w:rsid w:val="001F6AC3"/>
    <w:rsid w:val="001F6DBE"/>
    <w:rsid w:val="001F7421"/>
    <w:rsid w:val="00200195"/>
    <w:rsid w:val="00200AE1"/>
    <w:rsid w:val="00200B5F"/>
    <w:rsid w:val="00201E31"/>
    <w:rsid w:val="00201EEF"/>
    <w:rsid w:val="002029C3"/>
    <w:rsid w:val="002047C8"/>
    <w:rsid w:val="002052B3"/>
    <w:rsid w:val="002058F9"/>
    <w:rsid w:val="0020619E"/>
    <w:rsid w:val="002067ED"/>
    <w:rsid w:val="0020693C"/>
    <w:rsid w:val="00211111"/>
    <w:rsid w:val="00212193"/>
    <w:rsid w:val="002124F1"/>
    <w:rsid w:val="00212854"/>
    <w:rsid w:val="002129B7"/>
    <w:rsid w:val="00212B1F"/>
    <w:rsid w:val="00212F8A"/>
    <w:rsid w:val="00213D7C"/>
    <w:rsid w:val="00214513"/>
    <w:rsid w:val="00214AAA"/>
    <w:rsid w:val="00215176"/>
    <w:rsid w:val="00215182"/>
    <w:rsid w:val="002155B7"/>
    <w:rsid w:val="00215C96"/>
    <w:rsid w:val="0021766A"/>
    <w:rsid w:val="002178EE"/>
    <w:rsid w:val="002221B6"/>
    <w:rsid w:val="002225D3"/>
    <w:rsid w:val="00222A35"/>
    <w:rsid w:val="00222FA9"/>
    <w:rsid w:val="0022301D"/>
    <w:rsid w:val="002248C5"/>
    <w:rsid w:val="00224B2C"/>
    <w:rsid w:val="002258CE"/>
    <w:rsid w:val="00225F01"/>
    <w:rsid w:val="00226E3B"/>
    <w:rsid w:val="00227E55"/>
    <w:rsid w:val="0023035C"/>
    <w:rsid w:val="00230860"/>
    <w:rsid w:val="002315DF"/>
    <w:rsid w:val="00232459"/>
    <w:rsid w:val="00232AA0"/>
    <w:rsid w:val="00234153"/>
    <w:rsid w:val="0023462C"/>
    <w:rsid w:val="00234CDF"/>
    <w:rsid w:val="00234DBE"/>
    <w:rsid w:val="0023628A"/>
    <w:rsid w:val="00236B91"/>
    <w:rsid w:val="00237BC0"/>
    <w:rsid w:val="0024124E"/>
    <w:rsid w:val="0024163A"/>
    <w:rsid w:val="002424C0"/>
    <w:rsid w:val="00242CAA"/>
    <w:rsid w:val="00242DBB"/>
    <w:rsid w:val="002438F1"/>
    <w:rsid w:val="00243949"/>
    <w:rsid w:val="002441EB"/>
    <w:rsid w:val="0024500F"/>
    <w:rsid w:val="002456E6"/>
    <w:rsid w:val="00245D74"/>
    <w:rsid w:val="00246ABC"/>
    <w:rsid w:val="00246BAA"/>
    <w:rsid w:val="00246DDF"/>
    <w:rsid w:val="0025059E"/>
    <w:rsid w:val="002519EF"/>
    <w:rsid w:val="002522EA"/>
    <w:rsid w:val="002538D6"/>
    <w:rsid w:val="00253F9D"/>
    <w:rsid w:val="00254830"/>
    <w:rsid w:val="002563B7"/>
    <w:rsid w:val="002573CC"/>
    <w:rsid w:val="00260230"/>
    <w:rsid w:val="00260ED0"/>
    <w:rsid w:val="00260FAA"/>
    <w:rsid w:val="00261694"/>
    <w:rsid w:val="00261A9E"/>
    <w:rsid w:val="00261D82"/>
    <w:rsid w:val="00262338"/>
    <w:rsid w:val="0026370B"/>
    <w:rsid w:val="00263938"/>
    <w:rsid w:val="00263F2A"/>
    <w:rsid w:val="002646D7"/>
    <w:rsid w:val="00266AB0"/>
    <w:rsid w:val="002671D7"/>
    <w:rsid w:val="00271016"/>
    <w:rsid w:val="00272479"/>
    <w:rsid w:val="0027259C"/>
    <w:rsid w:val="0027292C"/>
    <w:rsid w:val="00272BD0"/>
    <w:rsid w:val="002733C4"/>
    <w:rsid w:val="0027340F"/>
    <w:rsid w:val="00273543"/>
    <w:rsid w:val="00274540"/>
    <w:rsid w:val="002745CC"/>
    <w:rsid w:val="002748C5"/>
    <w:rsid w:val="00274C82"/>
    <w:rsid w:val="00275B6B"/>
    <w:rsid w:val="00275CB6"/>
    <w:rsid w:val="002760B2"/>
    <w:rsid w:val="0027654D"/>
    <w:rsid w:val="00276E51"/>
    <w:rsid w:val="00277196"/>
    <w:rsid w:val="00277499"/>
    <w:rsid w:val="00280AB3"/>
    <w:rsid w:val="00280BEA"/>
    <w:rsid w:val="00280CCB"/>
    <w:rsid w:val="00281055"/>
    <w:rsid w:val="002810DF"/>
    <w:rsid w:val="002812AB"/>
    <w:rsid w:val="002816D8"/>
    <w:rsid w:val="002822BB"/>
    <w:rsid w:val="002824CB"/>
    <w:rsid w:val="002827EA"/>
    <w:rsid w:val="00282A8C"/>
    <w:rsid w:val="00282FFF"/>
    <w:rsid w:val="002830C7"/>
    <w:rsid w:val="002853A7"/>
    <w:rsid w:val="002854EE"/>
    <w:rsid w:val="0028565C"/>
    <w:rsid w:val="00286122"/>
    <w:rsid w:val="00286164"/>
    <w:rsid w:val="002875DE"/>
    <w:rsid w:val="00287E07"/>
    <w:rsid w:val="00290C98"/>
    <w:rsid w:val="00290EB3"/>
    <w:rsid w:val="002914A9"/>
    <w:rsid w:val="002922F9"/>
    <w:rsid w:val="00292846"/>
    <w:rsid w:val="0029288C"/>
    <w:rsid w:val="002929E2"/>
    <w:rsid w:val="00292A90"/>
    <w:rsid w:val="00293887"/>
    <w:rsid w:val="0029696F"/>
    <w:rsid w:val="00296F13"/>
    <w:rsid w:val="002971D6"/>
    <w:rsid w:val="00297227"/>
    <w:rsid w:val="00297BBA"/>
    <w:rsid w:val="002A16D7"/>
    <w:rsid w:val="002A2255"/>
    <w:rsid w:val="002A2578"/>
    <w:rsid w:val="002A257A"/>
    <w:rsid w:val="002A2F08"/>
    <w:rsid w:val="002A3641"/>
    <w:rsid w:val="002A495F"/>
    <w:rsid w:val="002A6FCC"/>
    <w:rsid w:val="002A706F"/>
    <w:rsid w:val="002A70EA"/>
    <w:rsid w:val="002A7363"/>
    <w:rsid w:val="002A7B7B"/>
    <w:rsid w:val="002A7F43"/>
    <w:rsid w:val="002B09C5"/>
    <w:rsid w:val="002B103C"/>
    <w:rsid w:val="002B2DE6"/>
    <w:rsid w:val="002B2FEF"/>
    <w:rsid w:val="002B3438"/>
    <w:rsid w:val="002B365E"/>
    <w:rsid w:val="002B449C"/>
    <w:rsid w:val="002B489A"/>
    <w:rsid w:val="002B5ADA"/>
    <w:rsid w:val="002B5B31"/>
    <w:rsid w:val="002B62B8"/>
    <w:rsid w:val="002B6341"/>
    <w:rsid w:val="002B666A"/>
    <w:rsid w:val="002B713C"/>
    <w:rsid w:val="002B7349"/>
    <w:rsid w:val="002C0526"/>
    <w:rsid w:val="002C1D0A"/>
    <w:rsid w:val="002C27A8"/>
    <w:rsid w:val="002C31D7"/>
    <w:rsid w:val="002C333E"/>
    <w:rsid w:val="002C36C8"/>
    <w:rsid w:val="002C40C6"/>
    <w:rsid w:val="002C48B7"/>
    <w:rsid w:val="002C51A0"/>
    <w:rsid w:val="002D0584"/>
    <w:rsid w:val="002D0B82"/>
    <w:rsid w:val="002D0E85"/>
    <w:rsid w:val="002D2296"/>
    <w:rsid w:val="002D242E"/>
    <w:rsid w:val="002D2E2A"/>
    <w:rsid w:val="002D302D"/>
    <w:rsid w:val="002D469F"/>
    <w:rsid w:val="002D4C73"/>
    <w:rsid w:val="002D5064"/>
    <w:rsid w:val="002D51BF"/>
    <w:rsid w:val="002D5295"/>
    <w:rsid w:val="002D52BF"/>
    <w:rsid w:val="002D554F"/>
    <w:rsid w:val="002D648A"/>
    <w:rsid w:val="002D6876"/>
    <w:rsid w:val="002D68BC"/>
    <w:rsid w:val="002D68FA"/>
    <w:rsid w:val="002D7ECA"/>
    <w:rsid w:val="002E0141"/>
    <w:rsid w:val="002E0906"/>
    <w:rsid w:val="002E0B5D"/>
    <w:rsid w:val="002E1495"/>
    <w:rsid w:val="002E1C30"/>
    <w:rsid w:val="002E265D"/>
    <w:rsid w:val="002E2900"/>
    <w:rsid w:val="002E29F3"/>
    <w:rsid w:val="002E2A61"/>
    <w:rsid w:val="002E2A96"/>
    <w:rsid w:val="002E3C0D"/>
    <w:rsid w:val="002E4065"/>
    <w:rsid w:val="002E43EC"/>
    <w:rsid w:val="002E4804"/>
    <w:rsid w:val="002E5B3C"/>
    <w:rsid w:val="002E7A79"/>
    <w:rsid w:val="002F015E"/>
    <w:rsid w:val="002F0450"/>
    <w:rsid w:val="002F0669"/>
    <w:rsid w:val="002F2105"/>
    <w:rsid w:val="002F216A"/>
    <w:rsid w:val="002F2193"/>
    <w:rsid w:val="002F25DD"/>
    <w:rsid w:val="002F2C6E"/>
    <w:rsid w:val="002F2DBB"/>
    <w:rsid w:val="002F39E4"/>
    <w:rsid w:val="002F3C88"/>
    <w:rsid w:val="002F4067"/>
    <w:rsid w:val="002F468B"/>
    <w:rsid w:val="002F47B2"/>
    <w:rsid w:val="002F5B28"/>
    <w:rsid w:val="002F5EDD"/>
    <w:rsid w:val="002F60AC"/>
    <w:rsid w:val="002F6293"/>
    <w:rsid w:val="002F66ED"/>
    <w:rsid w:val="002F68E9"/>
    <w:rsid w:val="002F7339"/>
    <w:rsid w:val="002F7461"/>
    <w:rsid w:val="003005C4"/>
    <w:rsid w:val="00301B0C"/>
    <w:rsid w:val="003025E2"/>
    <w:rsid w:val="0030335B"/>
    <w:rsid w:val="00304790"/>
    <w:rsid w:val="00306D24"/>
    <w:rsid w:val="00307712"/>
    <w:rsid w:val="00307E12"/>
    <w:rsid w:val="003105CA"/>
    <w:rsid w:val="00313CA2"/>
    <w:rsid w:val="0031404A"/>
    <w:rsid w:val="0031428C"/>
    <w:rsid w:val="00314B7C"/>
    <w:rsid w:val="00314E47"/>
    <w:rsid w:val="00314E49"/>
    <w:rsid w:val="00315445"/>
    <w:rsid w:val="00317183"/>
    <w:rsid w:val="0031799C"/>
    <w:rsid w:val="003204AE"/>
    <w:rsid w:val="003208EF"/>
    <w:rsid w:val="00321858"/>
    <w:rsid w:val="003231A6"/>
    <w:rsid w:val="00323992"/>
    <w:rsid w:val="003245A4"/>
    <w:rsid w:val="00324846"/>
    <w:rsid w:val="00324ABD"/>
    <w:rsid w:val="00324D9B"/>
    <w:rsid w:val="0032505C"/>
    <w:rsid w:val="00325C30"/>
    <w:rsid w:val="0032618C"/>
    <w:rsid w:val="00326DB0"/>
    <w:rsid w:val="003272A6"/>
    <w:rsid w:val="003273CB"/>
    <w:rsid w:val="00327423"/>
    <w:rsid w:val="0033125E"/>
    <w:rsid w:val="00331A87"/>
    <w:rsid w:val="003321F4"/>
    <w:rsid w:val="0033415D"/>
    <w:rsid w:val="003343DE"/>
    <w:rsid w:val="00334549"/>
    <w:rsid w:val="00334FF0"/>
    <w:rsid w:val="00336913"/>
    <w:rsid w:val="00337106"/>
    <w:rsid w:val="0033718C"/>
    <w:rsid w:val="00337407"/>
    <w:rsid w:val="00337FD3"/>
    <w:rsid w:val="003403BF"/>
    <w:rsid w:val="00340625"/>
    <w:rsid w:val="00340E02"/>
    <w:rsid w:val="00341592"/>
    <w:rsid w:val="00341CAB"/>
    <w:rsid w:val="00342A07"/>
    <w:rsid w:val="00342CDD"/>
    <w:rsid w:val="003437FE"/>
    <w:rsid w:val="00343E6E"/>
    <w:rsid w:val="003450C8"/>
    <w:rsid w:val="003454AC"/>
    <w:rsid w:val="003472DB"/>
    <w:rsid w:val="00347304"/>
    <w:rsid w:val="0034782B"/>
    <w:rsid w:val="003511A7"/>
    <w:rsid w:val="003514C5"/>
    <w:rsid w:val="00351E5C"/>
    <w:rsid w:val="00352004"/>
    <w:rsid w:val="00352823"/>
    <w:rsid w:val="00352EEE"/>
    <w:rsid w:val="0035377F"/>
    <w:rsid w:val="00354B82"/>
    <w:rsid w:val="0035580F"/>
    <w:rsid w:val="0035713F"/>
    <w:rsid w:val="00357CB4"/>
    <w:rsid w:val="003604EE"/>
    <w:rsid w:val="00361687"/>
    <w:rsid w:val="00361C58"/>
    <w:rsid w:val="003621B2"/>
    <w:rsid w:val="0036286B"/>
    <w:rsid w:val="00363371"/>
    <w:rsid w:val="00363AE2"/>
    <w:rsid w:val="00364989"/>
    <w:rsid w:val="00365FE3"/>
    <w:rsid w:val="003664C0"/>
    <w:rsid w:val="0036668A"/>
    <w:rsid w:val="00366D16"/>
    <w:rsid w:val="00366FFF"/>
    <w:rsid w:val="00367364"/>
    <w:rsid w:val="003679DD"/>
    <w:rsid w:val="00367E04"/>
    <w:rsid w:val="00372895"/>
    <w:rsid w:val="003737CD"/>
    <w:rsid w:val="00373BFF"/>
    <w:rsid w:val="0037477F"/>
    <w:rsid w:val="003747B8"/>
    <w:rsid w:val="00375734"/>
    <w:rsid w:val="00375B8F"/>
    <w:rsid w:val="00375BEB"/>
    <w:rsid w:val="003761F2"/>
    <w:rsid w:val="00376374"/>
    <w:rsid w:val="00376A05"/>
    <w:rsid w:val="003774FE"/>
    <w:rsid w:val="00380617"/>
    <w:rsid w:val="003831E4"/>
    <w:rsid w:val="003838DB"/>
    <w:rsid w:val="00383A3A"/>
    <w:rsid w:val="00383EA9"/>
    <w:rsid w:val="0038455D"/>
    <w:rsid w:val="003846F8"/>
    <w:rsid w:val="00386AC6"/>
    <w:rsid w:val="00386B09"/>
    <w:rsid w:val="0038732E"/>
    <w:rsid w:val="00387644"/>
    <w:rsid w:val="00390498"/>
    <w:rsid w:val="00390740"/>
    <w:rsid w:val="00390E30"/>
    <w:rsid w:val="003929CA"/>
    <w:rsid w:val="00393ABE"/>
    <w:rsid w:val="003940D8"/>
    <w:rsid w:val="00394416"/>
    <w:rsid w:val="0039458D"/>
    <w:rsid w:val="00394D61"/>
    <w:rsid w:val="00395133"/>
    <w:rsid w:val="00397538"/>
    <w:rsid w:val="003A1F5A"/>
    <w:rsid w:val="003A2A6E"/>
    <w:rsid w:val="003A2ECE"/>
    <w:rsid w:val="003A4252"/>
    <w:rsid w:val="003A50B9"/>
    <w:rsid w:val="003A539A"/>
    <w:rsid w:val="003A556B"/>
    <w:rsid w:val="003A6132"/>
    <w:rsid w:val="003A613F"/>
    <w:rsid w:val="003A617B"/>
    <w:rsid w:val="003A62A4"/>
    <w:rsid w:val="003A657E"/>
    <w:rsid w:val="003A68DD"/>
    <w:rsid w:val="003A7476"/>
    <w:rsid w:val="003A7D42"/>
    <w:rsid w:val="003A7D86"/>
    <w:rsid w:val="003A7F4D"/>
    <w:rsid w:val="003B0A9A"/>
    <w:rsid w:val="003B0AA1"/>
    <w:rsid w:val="003B0BD0"/>
    <w:rsid w:val="003B0CC3"/>
    <w:rsid w:val="003B1402"/>
    <w:rsid w:val="003B200A"/>
    <w:rsid w:val="003B243D"/>
    <w:rsid w:val="003B304F"/>
    <w:rsid w:val="003B3295"/>
    <w:rsid w:val="003B369A"/>
    <w:rsid w:val="003B387E"/>
    <w:rsid w:val="003B5D18"/>
    <w:rsid w:val="003B5F57"/>
    <w:rsid w:val="003B67CD"/>
    <w:rsid w:val="003B795D"/>
    <w:rsid w:val="003C0313"/>
    <w:rsid w:val="003C07AA"/>
    <w:rsid w:val="003C26A6"/>
    <w:rsid w:val="003C26C1"/>
    <w:rsid w:val="003C2898"/>
    <w:rsid w:val="003C2EAA"/>
    <w:rsid w:val="003C3FC8"/>
    <w:rsid w:val="003C3FCC"/>
    <w:rsid w:val="003C40DA"/>
    <w:rsid w:val="003C5154"/>
    <w:rsid w:val="003C5164"/>
    <w:rsid w:val="003C5C11"/>
    <w:rsid w:val="003C5DC2"/>
    <w:rsid w:val="003C6A5A"/>
    <w:rsid w:val="003C6AAD"/>
    <w:rsid w:val="003C6E99"/>
    <w:rsid w:val="003D141F"/>
    <w:rsid w:val="003D1D4D"/>
    <w:rsid w:val="003D2950"/>
    <w:rsid w:val="003D3235"/>
    <w:rsid w:val="003D37DD"/>
    <w:rsid w:val="003D3E8F"/>
    <w:rsid w:val="003D45DF"/>
    <w:rsid w:val="003D47C6"/>
    <w:rsid w:val="003D4F0A"/>
    <w:rsid w:val="003D5E5D"/>
    <w:rsid w:val="003D6D54"/>
    <w:rsid w:val="003D7177"/>
    <w:rsid w:val="003D733F"/>
    <w:rsid w:val="003D73E2"/>
    <w:rsid w:val="003D7A03"/>
    <w:rsid w:val="003D7E38"/>
    <w:rsid w:val="003D7EAC"/>
    <w:rsid w:val="003E10A2"/>
    <w:rsid w:val="003E14AD"/>
    <w:rsid w:val="003E2B87"/>
    <w:rsid w:val="003E379A"/>
    <w:rsid w:val="003E4E08"/>
    <w:rsid w:val="003E52B0"/>
    <w:rsid w:val="003E5E6F"/>
    <w:rsid w:val="003E64DC"/>
    <w:rsid w:val="003E7A43"/>
    <w:rsid w:val="003F0B58"/>
    <w:rsid w:val="003F0D40"/>
    <w:rsid w:val="003F0DE6"/>
    <w:rsid w:val="003F1713"/>
    <w:rsid w:val="003F2236"/>
    <w:rsid w:val="003F27B7"/>
    <w:rsid w:val="003F4051"/>
    <w:rsid w:val="003F4125"/>
    <w:rsid w:val="003F5673"/>
    <w:rsid w:val="003F5812"/>
    <w:rsid w:val="003F5E08"/>
    <w:rsid w:val="003F667E"/>
    <w:rsid w:val="003F68F0"/>
    <w:rsid w:val="003F7526"/>
    <w:rsid w:val="003F7A78"/>
    <w:rsid w:val="003F7AAE"/>
    <w:rsid w:val="004005F4"/>
    <w:rsid w:val="00400631"/>
    <w:rsid w:val="00400BB7"/>
    <w:rsid w:val="00400CBA"/>
    <w:rsid w:val="00400E4A"/>
    <w:rsid w:val="004010CE"/>
    <w:rsid w:val="00402750"/>
    <w:rsid w:val="00402879"/>
    <w:rsid w:val="00402E9A"/>
    <w:rsid w:val="00403189"/>
    <w:rsid w:val="00403FA8"/>
    <w:rsid w:val="00404040"/>
    <w:rsid w:val="00404213"/>
    <w:rsid w:val="004048AC"/>
    <w:rsid w:val="00404B8E"/>
    <w:rsid w:val="00406319"/>
    <w:rsid w:val="004068C2"/>
    <w:rsid w:val="0040791F"/>
    <w:rsid w:val="00410A93"/>
    <w:rsid w:val="00410B25"/>
    <w:rsid w:val="00411AC8"/>
    <w:rsid w:val="0041296F"/>
    <w:rsid w:val="004131C3"/>
    <w:rsid w:val="00413A6A"/>
    <w:rsid w:val="004149E8"/>
    <w:rsid w:val="00415E7F"/>
    <w:rsid w:val="00415E86"/>
    <w:rsid w:val="0041614A"/>
    <w:rsid w:val="00420288"/>
    <w:rsid w:val="00420FCC"/>
    <w:rsid w:val="00421C78"/>
    <w:rsid w:val="004224CE"/>
    <w:rsid w:val="00422D1E"/>
    <w:rsid w:val="00422F3A"/>
    <w:rsid w:val="00424A78"/>
    <w:rsid w:val="0042547B"/>
    <w:rsid w:val="00425498"/>
    <w:rsid w:val="004254DB"/>
    <w:rsid w:val="004258AA"/>
    <w:rsid w:val="00425A0A"/>
    <w:rsid w:val="004279CE"/>
    <w:rsid w:val="00427EEA"/>
    <w:rsid w:val="00431836"/>
    <w:rsid w:val="004321E6"/>
    <w:rsid w:val="0043278E"/>
    <w:rsid w:val="0043384D"/>
    <w:rsid w:val="0043435F"/>
    <w:rsid w:val="00435EEE"/>
    <w:rsid w:val="004360AC"/>
    <w:rsid w:val="00436B83"/>
    <w:rsid w:val="0043707A"/>
    <w:rsid w:val="00440563"/>
    <w:rsid w:val="004408EB"/>
    <w:rsid w:val="00441061"/>
    <w:rsid w:val="0044281D"/>
    <w:rsid w:val="00443300"/>
    <w:rsid w:val="004438FA"/>
    <w:rsid w:val="00443E81"/>
    <w:rsid w:val="0044407E"/>
    <w:rsid w:val="00444B65"/>
    <w:rsid w:val="0044632A"/>
    <w:rsid w:val="00446686"/>
    <w:rsid w:val="00446F19"/>
    <w:rsid w:val="00450C70"/>
    <w:rsid w:val="004513C1"/>
    <w:rsid w:val="004526E9"/>
    <w:rsid w:val="004530B3"/>
    <w:rsid w:val="00453344"/>
    <w:rsid w:val="00453B11"/>
    <w:rsid w:val="00453E28"/>
    <w:rsid w:val="004546B8"/>
    <w:rsid w:val="0045482A"/>
    <w:rsid w:val="00454E76"/>
    <w:rsid w:val="0045550A"/>
    <w:rsid w:val="00455786"/>
    <w:rsid w:val="004559E9"/>
    <w:rsid w:val="00457080"/>
    <w:rsid w:val="00460891"/>
    <w:rsid w:val="004609C6"/>
    <w:rsid w:val="00460B83"/>
    <w:rsid w:val="00460F43"/>
    <w:rsid w:val="00461D43"/>
    <w:rsid w:val="00461F53"/>
    <w:rsid w:val="00462B34"/>
    <w:rsid w:val="00463D2C"/>
    <w:rsid w:val="00464FB2"/>
    <w:rsid w:val="0046541C"/>
    <w:rsid w:val="00465DA9"/>
    <w:rsid w:val="004665F2"/>
    <w:rsid w:val="0046745E"/>
    <w:rsid w:val="00467B9C"/>
    <w:rsid w:val="00467C96"/>
    <w:rsid w:val="00467F07"/>
    <w:rsid w:val="0047112B"/>
    <w:rsid w:val="00471F82"/>
    <w:rsid w:val="00472495"/>
    <w:rsid w:val="0047266C"/>
    <w:rsid w:val="0047291C"/>
    <w:rsid w:val="00472B4D"/>
    <w:rsid w:val="00472CA1"/>
    <w:rsid w:val="00472FC4"/>
    <w:rsid w:val="004736BE"/>
    <w:rsid w:val="00474CFE"/>
    <w:rsid w:val="0047556D"/>
    <w:rsid w:val="00475789"/>
    <w:rsid w:val="00475BC7"/>
    <w:rsid w:val="00476170"/>
    <w:rsid w:val="004764EA"/>
    <w:rsid w:val="00477190"/>
    <w:rsid w:val="0048064F"/>
    <w:rsid w:val="004806FA"/>
    <w:rsid w:val="00480EB4"/>
    <w:rsid w:val="00481BB0"/>
    <w:rsid w:val="00481EB5"/>
    <w:rsid w:val="004820B0"/>
    <w:rsid w:val="004827B3"/>
    <w:rsid w:val="00482E2F"/>
    <w:rsid w:val="004859B4"/>
    <w:rsid w:val="0048686C"/>
    <w:rsid w:val="00486ACD"/>
    <w:rsid w:val="00487483"/>
    <w:rsid w:val="00487513"/>
    <w:rsid w:val="00492C65"/>
    <w:rsid w:val="00493806"/>
    <w:rsid w:val="00493F58"/>
    <w:rsid w:val="0049403F"/>
    <w:rsid w:val="00494323"/>
    <w:rsid w:val="00494349"/>
    <w:rsid w:val="00494485"/>
    <w:rsid w:val="004949A7"/>
    <w:rsid w:val="00494F61"/>
    <w:rsid w:val="004958C0"/>
    <w:rsid w:val="0049602F"/>
    <w:rsid w:val="00496FBF"/>
    <w:rsid w:val="00497C4A"/>
    <w:rsid w:val="004A0360"/>
    <w:rsid w:val="004A0F27"/>
    <w:rsid w:val="004A0F37"/>
    <w:rsid w:val="004A0F68"/>
    <w:rsid w:val="004A3608"/>
    <w:rsid w:val="004A3D05"/>
    <w:rsid w:val="004A417D"/>
    <w:rsid w:val="004A4FBD"/>
    <w:rsid w:val="004A5F8A"/>
    <w:rsid w:val="004A7810"/>
    <w:rsid w:val="004A7CA2"/>
    <w:rsid w:val="004A7E67"/>
    <w:rsid w:val="004A7E93"/>
    <w:rsid w:val="004B0E6C"/>
    <w:rsid w:val="004B14F4"/>
    <w:rsid w:val="004B2EBA"/>
    <w:rsid w:val="004B3068"/>
    <w:rsid w:val="004B35E8"/>
    <w:rsid w:val="004B3CFB"/>
    <w:rsid w:val="004B3FB8"/>
    <w:rsid w:val="004B4309"/>
    <w:rsid w:val="004B5643"/>
    <w:rsid w:val="004B5730"/>
    <w:rsid w:val="004B5D6B"/>
    <w:rsid w:val="004B6006"/>
    <w:rsid w:val="004B7171"/>
    <w:rsid w:val="004B73B3"/>
    <w:rsid w:val="004B76F8"/>
    <w:rsid w:val="004C029E"/>
    <w:rsid w:val="004C0360"/>
    <w:rsid w:val="004C0655"/>
    <w:rsid w:val="004C0C1A"/>
    <w:rsid w:val="004C1FA6"/>
    <w:rsid w:val="004C4C12"/>
    <w:rsid w:val="004C53C2"/>
    <w:rsid w:val="004C5CFD"/>
    <w:rsid w:val="004D0376"/>
    <w:rsid w:val="004D09F1"/>
    <w:rsid w:val="004D12C0"/>
    <w:rsid w:val="004D1435"/>
    <w:rsid w:val="004D22AA"/>
    <w:rsid w:val="004D2BC6"/>
    <w:rsid w:val="004D3713"/>
    <w:rsid w:val="004D6797"/>
    <w:rsid w:val="004D691D"/>
    <w:rsid w:val="004D6DB8"/>
    <w:rsid w:val="004D7E99"/>
    <w:rsid w:val="004E12ED"/>
    <w:rsid w:val="004E2BDB"/>
    <w:rsid w:val="004E2C4E"/>
    <w:rsid w:val="004E349C"/>
    <w:rsid w:val="004E40C4"/>
    <w:rsid w:val="004E4744"/>
    <w:rsid w:val="004F1438"/>
    <w:rsid w:val="004F1645"/>
    <w:rsid w:val="004F2600"/>
    <w:rsid w:val="004F28E8"/>
    <w:rsid w:val="004F2C64"/>
    <w:rsid w:val="004F50AF"/>
    <w:rsid w:val="004F58BF"/>
    <w:rsid w:val="004F5C44"/>
    <w:rsid w:val="004F65C5"/>
    <w:rsid w:val="004F681D"/>
    <w:rsid w:val="004F6A40"/>
    <w:rsid w:val="004F732A"/>
    <w:rsid w:val="004F7364"/>
    <w:rsid w:val="004F7A9A"/>
    <w:rsid w:val="004F7C7C"/>
    <w:rsid w:val="005009B0"/>
    <w:rsid w:val="00500FA4"/>
    <w:rsid w:val="00501A00"/>
    <w:rsid w:val="00501C45"/>
    <w:rsid w:val="0050208F"/>
    <w:rsid w:val="00502857"/>
    <w:rsid w:val="005030D8"/>
    <w:rsid w:val="00503DE7"/>
    <w:rsid w:val="005044A9"/>
    <w:rsid w:val="00504E38"/>
    <w:rsid w:val="00504E60"/>
    <w:rsid w:val="00505994"/>
    <w:rsid w:val="00505FD4"/>
    <w:rsid w:val="00506549"/>
    <w:rsid w:val="00506E25"/>
    <w:rsid w:val="00507156"/>
    <w:rsid w:val="00507B6B"/>
    <w:rsid w:val="0051132C"/>
    <w:rsid w:val="00511511"/>
    <w:rsid w:val="00511EF1"/>
    <w:rsid w:val="0051240B"/>
    <w:rsid w:val="0051294D"/>
    <w:rsid w:val="00513483"/>
    <w:rsid w:val="00513BD7"/>
    <w:rsid w:val="00514A55"/>
    <w:rsid w:val="00514EF5"/>
    <w:rsid w:val="00514F93"/>
    <w:rsid w:val="00515223"/>
    <w:rsid w:val="005162A5"/>
    <w:rsid w:val="00516AD4"/>
    <w:rsid w:val="00516BDC"/>
    <w:rsid w:val="0051719E"/>
    <w:rsid w:val="005174C8"/>
    <w:rsid w:val="00517626"/>
    <w:rsid w:val="0051782D"/>
    <w:rsid w:val="00517EB9"/>
    <w:rsid w:val="0052087E"/>
    <w:rsid w:val="005217D9"/>
    <w:rsid w:val="00521B09"/>
    <w:rsid w:val="0052315E"/>
    <w:rsid w:val="0052315F"/>
    <w:rsid w:val="00523FE0"/>
    <w:rsid w:val="0052455A"/>
    <w:rsid w:val="00525A6D"/>
    <w:rsid w:val="00526208"/>
    <w:rsid w:val="0052665F"/>
    <w:rsid w:val="0052690A"/>
    <w:rsid w:val="00530564"/>
    <w:rsid w:val="00530ED3"/>
    <w:rsid w:val="0053438E"/>
    <w:rsid w:val="005355EE"/>
    <w:rsid w:val="00535B16"/>
    <w:rsid w:val="00535CF7"/>
    <w:rsid w:val="005366D0"/>
    <w:rsid w:val="0053763E"/>
    <w:rsid w:val="00537E27"/>
    <w:rsid w:val="00540B4D"/>
    <w:rsid w:val="00540FFA"/>
    <w:rsid w:val="00541A50"/>
    <w:rsid w:val="00542930"/>
    <w:rsid w:val="005435B3"/>
    <w:rsid w:val="00543DFE"/>
    <w:rsid w:val="0054509D"/>
    <w:rsid w:val="00546825"/>
    <w:rsid w:val="0054707C"/>
    <w:rsid w:val="005478E3"/>
    <w:rsid w:val="00550849"/>
    <w:rsid w:val="005508B9"/>
    <w:rsid w:val="00551788"/>
    <w:rsid w:val="005519BE"/>
    <w:rsid w:val="0055481E"/>
    <w:rsid w:val="00554BF3"/>
    <w:rsid w:val="00555447"/>
    <w:rsid w:val="005559BC"/>
    <w:rsid w:val="00555ADC"/>
    <w:rsid w:val="0055655F"/>
    <w:rsid w:val="0055657D"/>
    <w:rsid w:val="00557A26"/>
    <w:rsid w:val="00557F42"/>
    <w:rsid w:val="00560876"/>
    <w:rsid w:val="00560D0D"/>
    <w:rsid w:val="00565001"/>
    <w:rsid w:val="00565FB1"/>
    <w:rsid w:val="005662FB"/>
    <w:rsid w:val="005668CF"/>
    <w:rsid w:val="00567781"/>
    <w:rsid w:val="00567ECC"/>
    <w:rsid w:val="005709F3"/>
    <w:rsid w:val="005713B1"/>
    <w:rsid w:val="00572FDD"/>
    <w:rsid w:val="005734F1"/>
    <w:rsid w:val="0057405B"/>
    <w:rsid w:val="00575A87"/>
    <w:rsid w:val="0057654D"/>
    <w:rsid w:val="005778D7"/>
    <w:rsid w:val="005779A9"/>
    <w:rsid w:val="005803A4"/>
    <w:rsid w:val="005805C1"/>
    <w:rsid w:val="005806EC"/>
    <w:rsid w:val="00583090"/>
    <w:rsid w:val="005835F4"/>
    <w:rsid w:val="00583EFE"/>
    <w:rsid w:val="005841A3"/>
    <w:rsid w:val="00585043"/>
    <w:rsid w:val="005865E4"/>
    <w:rsid w:val="0058678A"/>
    <w:rsid w:val="00590EAE"/>
    <w:rsid w:val="0059112A"/>
    <w:rsid w:val="005916D3"/>
    <w:rsid w:val="00592259"/>
    <w:rsid w:val="00592C1D"/>
    <w:rsid w:val="005931AB"/>
    <w:rsid w:val="00593216"/>
    <w:rsid w:val="00594BC3"/>
    <w:rsid w:val="00595034"/>
    <w:rsid w:val="005958A6"/>
    <w:rsid w:val="00596129"/>
    <w:rsid w:val="00596CA7"/>
    <w:rsid w:val="00596DC8"/>
    <w:rsid w:val="00596E16"/>
    <w:rsid w:val="00596EB2"/>
    <w:rsid w:val="005975BC"/>
    <w:rsid w:val="005A0496"/>
    <w:rsid w:val="005A0593"/>
    <w:rsid w:val="005A0DA7"/>
    <w:rsid w:val="005A16A3"/>
    <w:rsid w:val="005A1985"/>
    <w:rsid w:val="005A1C48"/>
    <w:rsid w:val="005A1FDC"/>
    <w:rsid w:val="005A2258"/>
    <w:rsid w:val="005A253A"/>
    <w:rsid w:val="005A3A68"/>
    <w:rsid w:val="005A4246"/>
    <w:rsid w:val="005A4572"/>
    <w:rsid w:val="005A5F6C"/>
    <w:rsid w:val="005A5FD2"/>
    <w:rsid w:val="005A610B"/>
    <w:rsid w:val="005A72F4"/>
    <w:rsid w:val="005A76D9"/>
    <w:rsid w:val="005A7F50"/>
    <w:rsid w:val="005A7FF2"/>
    <w:rsid w:val="005B2130"/>
    <w:rsid w:val="005B29C0"/>
    <w:rsid w:val="005B3496"/>
    <w:rsid w:val="005B3609"/>
    <w:rsid w:val="005B40D2"/>
    <w:rsid w:val="005B4421"/>
    <w:rsid w:val="005B46C9"/>
    <w:rsid w:val="005B49F0"/>
    <w:rsid w:val="005B58D8"/>
    <w:rsid w:val="005B5EF2"/>
    <w:rsid w:val="005B6509"/>
    <w:rsid w:val="005B6DC6"/>
    <w:rsid w:val="005B76EE"/>
    <w:rsid w:val="005B7929"/>
    <w:rsid w:val="005B7C6C"/>
    <w:rsid w:val="005C07FA"/>
    <w:rsid w:val="005C123C"/>
    <w:rsid w:val="005C25D1"/>
    <w:rsid w:val="005C35A9"/>
    <w:rsid w:val="005C464B"/>
    <w:rsid w:val="005C55ED"/>
    <w:rsid w:val="005C580B"/>
    <w:rsid w:val="005C74A0"/>
    <w:rsid w:val="005C7E5C"/>
    <w:rsid w:val="005D03A5"/>
    <w:rsid w:val="005D052C"/>
    <w:rsid w:val="005D0B63"/>
    <w:rsid w:val="005D1551"/>
    <w:rsid w:val="005D16FE"/>
    <w:rsid w:val="005D1E2D"/>
    <w:rsid w:val="005D39C1"/>
    <w:rsid w:val="005D3A24"/>
    <w:rsid w:val="005D4084"/>
    <w:rsid w:val="005D4777"/>
    <w:rsid w:val="005D4C2B"/>
    <w:rsid w:val="005D5A3C"/>
    <w:rsid w:val="005D6342"/>
    <w:rsid w:val="005D663F"/>
    <w:rsid w:val="005E02A4"/>
    <w:rsid w:val="005E264A"/>
    <w:rsid w:val="005E2958"/>
    <w:rsid w:val="005E3338"/>
    <w:rsid w:val="005E383B"/>
    <w:rsid w:val="005E4F4A"/>
    <w:rsid w:val="005E559B"/>
    <w:rsid w:val="005E5E6B"/>
    <w:rsid w:val="005E6DA5"/>
    <w:rsid w:val="005E7953"/>
    <w:rsid w:val="005E7E82"/>
    <w:rsid w:val="005F0EEE"/>
    <w:rsid w:val="005F141F"/>
    <w:rsid w:val="005F1BE1"/>
    <w:rsid w:val="005F1EFD"/>
    <w:rsid w:val="005F2789"/>
    <w:rsid w:val="005F2A7A"/>
    <w:rsid w:val="005F2D8A"/>
    <w:rsid w:val="005F30CA"/>
    <w:rsid w:val="005F34CF"/>
    <w:rsid w:val="005F3972"/>
    <w:rsid w:val="005F41F3"/>
    <w:rsid w:val="005F527E"/>
    <w:rsid w:val="005F67D4"/>
    <w:rsid w:val="005F6C28"/>
    <w:rsid w:val="005F7144"/>
    <w:rsid w:val="005F74A5"/>
    <w:rsid w:val="005F7AB6"/>
    <w:rsid w:val="005F7E3C"/>
    <w:rsid w:val="00600FA8"/>
    <w:rsid w:val="0060184A"/>
    <w:rsid w:val="00603EF6"/>
    <w:rsid w:val="00604604"/>
    <w:rsid w:val="00604BB7"/>
    <w:rsid w:val="006063DA"/>
    <w:rsid w:val="006064D9"/>
    <w:rsid w:val="00606872"/>
    <w:rsid w:val="00606CE3"/>
    <w:rsid w:val="00607FDD"/>
    <w:rsid w:val="0061106C"/>
    <w:rsid w:val="00611401"/>
    <w:rsid w:val="00611AA9"/>
    <w:rsid w:val="00611DD3"/>
    <w:rsid w:val="00611EF0"/>
    <w:rsid w:val="00612219"/>
    <w:rsid w:val="00612E04"/>
    <w:rsid w:val="00614588"/>
    <w:rsid w:val="006161A4"/>
    <w:rsid w:val="00616DFB"/>
    <w:rsid w:val="006173A4"/>
    <w:rsid w:val="00617C44"/>
    <w:rsid w:val="00620BF3"/>
    <w:rsid w:val="00620F5E"/>
    <w:rsid w:val="00621043"/>
    <w:rsid w:val="00622658"/>
    <w:rsid w:val="00622CE4"/>
    <w:rsid w:val="006234A7"/>
    <w:rsid w:val="00623886"/>
    <w:rsid w:val="00623ABF"/>
    <w:rsid w:val="00623F7C"/>
    <w:rsid w:val="006248FA"/>
    <w:rsid w:val="00624AEF"/>
    <w:rsid w:val="00625350"/>
    <w:rsid w:val="006255A6"/>
    <w:rsid w:val="006257F9"/>
    <w:rsid w:val="00625917"/>
    <w:rsid w:val="00625A25"/>
    <w:rsid w:val="006277D2"/>
    <w:rsid w:val="0062789F"/>
    <w:rsid w:val="006301BE"/>
    <w:rsid w:val="006303BF"/>
    <w:rsid w:val="00630516"/>
    <w:rsid w:val="00630603"/>
    <w:rsid w:val="0063096E"/>
    <w:rsid w:val="00630BD3"/>
    <w:rsid w:val="006310EF"/>
    <w:rsid w:val="006312C8"/>
    <w:rsid w:val="0063213C"/>
    <w:rsid w:val="0063299A"/>
    <w:rsid w:val="00632A35"/>
    <w:rsid w:val="00632AAE"/>
    <w:rsid w:val="00633349"/>
    <w:rsid w:val="00633D61"/>
    <w:rsid w:val="00633F0B"/>
    <w:rsid w:val="0063402B"/>
    <w:rsid w:val="00634A87"/>
    <w:rsid w:val="006350E0"/>
    <w:rsid w:val="00636113"/>
    <w:rsid w:val="006364AC"/>
    <w:rsid w:val="00636570"/>
    <w:rsid w:val="00636AA3"/>
    <w:rsid w:val="00636C45"/>
    <w:rsid w:val="00637312"/>
    <w:rsid w:val="0063786F"/>
    <w:rsid w:val="00637901"/>
    <w:rsid w:val="00637E1B"/>
    <w:rsid w:val="006402DF"/>
    <w:rsid w:val="00641435"/>
    <w:rsid w:val="00641628"/>
    <w:rsid w:val="0064164B"/>
    <w:rsid w:val="0064213F"/>
    <w:rsid w:val="00642539"/>
    <w:rsid w:val="00642C01"/>
    <w:rsid w:val="00642F1A"/>
    <w:rsid w:val="00643288"/>
    <w:rsid w:val="00643923"/>
    <w:rsid w:val="00644468"/>
    <w:rsid w:val="006447C5"/>
    <w:rsid w:val="00645B12"/>
    <w:rsid w:val="00645C64"/>
    <w:rsid w:val="00645F5E"/>
    <w:rsid w:val="00646945"/>
    <w:rsid w:val="00646C56"/>
    <w:rsid w:val="0064734B"/>
    <w:rsid w:val="0064795C"/>
    <w:rsid w:val="00647B1E"/>
    <w:rsid w:val="00647C55"/>
    <w:rsid w:val="0065008B"/>
    <w:rsid w:val="0065181E"/>
    <w:rsid w:val="00651BAE"/>
    <w:rsid w:val="00652E98"/>
    <w:rsid w:val="00653533"/>
    <w:rsid w:val="00653A3B"/>
    <w:rsid w:val="00653FD9"/>
    <w:rsid w:val="00654BD8"/>
    <w:rsid w:val="00654C5B"/>
    <w:rsid w:val="00654D42"/>
    <w:rsid w:val="00654F39"/>
    <w:rsid w:val="0065558D"/>
    <w:rsid w:val="006561D6"/>
    <w:rsid w:val="00656240"/>
    <w:rsid w:val="00656328"/>
    <w:rsid w:val="00660279"/>
    <w:rsid w:val="006606FA"/>
    <w:rsid w:val="006622B9"/>
    <w:rsid w:val="00662A8B"/>
    <w:rsid w:val="00662E18"/>
    <w:rsid w:val="00662E1E"/>
    <w:rsid w:val="0066371E"/>
    <w:rsid w:val="00664FAF"/>
    <w:rsid w:val="006653E3"/>
    <w:rsid w:val="006654CA"/>
    <w:rsid w:val="00665797"/>
    <w:rsid w:val="00665F5B"/>
    <w:rsid w:val="0066607E"/>
    <w:rsid w:val="00670C6F"/>
    <w:rsid w:val="006724AD"/>
    <w:rsid w:val="00672BAB"/>
    <w:rsid w:val="0067314A"/>
    <w:rsid w:val="00673D1E"/>
    <w:rsid w:val="00674BCF"/>
    <w:rsid w:val="006779CF"/>
    <w:rsid w:val="00677A8F"/>
    <w:rsid w:val="00677F8A"/>
    <w:rsid w:val="00680CC2"/>
    <w:rsid w:val="00680F2E"/>
    <w:rsid w:val="00681513"/>
    <w:rsid w:val="00681E08"/>
    <w:rsid w:val="006821E3"/>
    <w:rsid w:val="00682259"/>
    <w:rsid w:val="006823C1"/>
    <w:rsid w:val="006829ED"/>
    <w:rsid w:val="00682E6B"/>
    <w:rsid w:val="00683AD6"/>
    <w:rsid w:val="00683DFD"/>
    <w:rsid w:val="006842AE"/>
    <w:rsid w:val="006853B2"/>
    <w:rsid w:val="00686773"/>
    <w:rsid w:val="00686FFC"/>
    <w:rsid w:val="00687672"/>
    <w:rsid w:val="00687D9C"/>
    <w:rsid w:val="0069097D"/>
    <w:rsid w:val="00690E6B"/>
    <w:rsid w:val="00691211"/>
    <w:rsid w:val="00691225"/>
    <w:rsid w:val="00691DE3"/>
    <w:rsid w:val="00693A76"/>
    <w:rsid w:val="00696A43"/>
    <w:rsid w:val="0069799F"/>
    <w:rsid w:val="006A06FE"/>
    <w:rsid w:val="006A114B"/>
    <w:rsid w:val="006A1154"/>
    <w:rsid w:val="006A5773"/>
    <w:rsid w:val="006A5804"/>
    <w:rsid w:val="006A58F0"/>
    <w:rsid w:val="006A62DF"/>
    <w:rsid w:val="006A773A"/>
    <w:rsid w:val="006B0372"/>
    <w:rsid w:val="006B0764"/>
    <w:rsid w:val="006B0A85"/>
    <w:rsid w:val="006B149C"/>
    <w:rsid w:val="006B2A58"/>
    <w:rsid w:val="006B32EC"/>
    <w:rsid w:val="006B353A"/>
    <w:rsid w:val="006B3B90"/>
    <w:rsid w:val="006B4467"/>
    <w:rsid w:val="006B543B"/>
    <w:rsid w:val="006B5AC6"/>
    <w:rsid w:val="006B5C3F"/>
    <w:rsid w:val="006B66DB"/>
    <w:rsid w:val="006B66E4"/>
    <w:rsid w:val="006B6C46"/>
    <w:rsid w:val="006B6E78"/>
    <w:rsid w:val="006B7939"/>
    <w:rsid w:val="006C0039"/>
    <w:rsid w:val="006C015E"/>
    <w:rsid w:val="006C0389"/>
    <w:rsid w:val="006C1035"/>
    <w:rsid w:val="006C1927"/>
    <w:rsid w:val="006C2097"/>
    <w:rsid w:val="006C23D5"/>
    <w:rsid w:val="006C2585"/>
    <w:rsid w:val="006C3389"/>
    <w:rsid w:val="006C3BBA"/>
    <w:rsid w:val="006C4008"/>
    <w:rsid w:val="006C4C0A"/>
    <w:rsid w:val="006C562A"/>
    <w:rsid w:val="006C5931"/>
    <w:rsid w:val="006C6796"/>
    <w:rsid w:val="006C6FB8"/>
    <w:rsid w:val="006C73EF"/>
    <w:rsid w:val="006C7E76"/>
    <w:rsid w:val="006D0B17"/>
    <w:rsid w:val="006D0D9A"/>
    <w:rsid w:val="006D1723"/>
    <w:rsid w:val="006D21D0"/>
    <w:rsid w:val="006D3892"/>
    <w:rsid w:val="006D3A1D"/>
    <w:rsid w:val="006D4F8F"/>
    <w:rsid w:val="006D50F7"/>
    <w:rsid w:val="006D5446"/>
    <w:rsid w:val="006D59BA"/>
    <w:rsid w:val="006D5C2D"/>
    <w:rsid w:val="006D5D3F"/>
    <w:rsid w:val="006D60ED"/>
    <w:rsid w:val="006D678F"/>
    <w:rsid w:val="006D773C"/>
    <w:rsid w:val="006E07F4"/>
    <w:rsid w:val="006E0E81"/>
    <w:rsid w:val="006E1166"/>
    <w:rsid w:val="006E188F"/>
    <w:rsid w:val="006E2094"/>
    <w:rsid w:val="006E310C"/>
    <w:rsid w:val="006E37A0"/>
    <w:rsid w:val="006E58F4"/>
    <w:rsid w:val="006E596E"/>
    <w:rsid w:val="006E5F8C"/>
    <w:rsid w:val="006E678B"/>
    <w:rsid w:val="006E6E27"/>
    <w:rsid w:val="006F033F"/>
    <w:rsid w:val="006F0B53"/>
    <w:rsid w:val="006F24D8"/>
    <w:rsid w:val="006F2688"/>
    <w:rsid w:val="006F33B8"/>
    <w:rsid w:val="006F443F"/>
    <w:rsid w:val="006F4C9C"/>
    <w:rsid w:val="006F4F95"/>
    <w:rsid w:val="006F640F"/>
    <w:rsid w:val="006F6B08"/>
    <w:rsid w:val="006F762A"/>
    <w:rsid w:val="0070083E"/>
    <w:rsid w:val="0070084A"/>
    <w:rsid w:val="00700B99"/>
    <w:rsid w:val="00701B6B"/>
    <w:rsid w:val="007023AC"/>
    <w:rsid w:val="00702847"/>
    <w:rsid w:val="0070384F"/>
    <w:rsid w:val="00703A9E"/>
    <w:rsid w:val="00703D6D"/>
    <w:rsid w:val="00703FBF"/>
    <w:rsid w:val="00704152"/>
    <w:rsid w:val="00704FB5"/>
    <w:rsid w:val="007066E7"/>
    <w:rsid w:val="00706B71"/>
    <w:rsid w:val="00706EF7"/>
    <w:rsid w:val="0070759F"/>
    <w:rsid w:val="00707D71"/>
    <w:rsid w:val="00711B4D"/>
    <w:rsid w:val="00712736"/>
    <w:rsid w:val="00712A09"/>
    <w:rsid w:val="00712EE5"/>
    <w:rsid w:val="0071343E"/>
    <w:rsid w:val="00713493"/>
    <w:rsid w:val="00713494"/>
    <w:rsid w:val="00713933"/>
    <w:rsid w:val="00714031"/>
    <w:rsid w:val="0071466E"/>
    <w:rsid w:val="0071473A"/>
    <w:rsid w:val="007149E2"/>
    <w:rsid w:val="00714A6C"/>
    <w:rsid w:val="00714CD3"/>
    <w:rsid w:val="007154E8"/>
    <w:rsid w:val="007155CF"/>
    <w:rsid w:val="0071587F"/>
    <w:rsid w:val="00715B86"/>
    <w:rsid w:val="007166D2"/>
    <w:rsid w:val="007173F3"/>
    <w:rsid w:val="007206A8"/>
    <w:rsid w:val="0072116D"/>
    <w:rsid w:val="007211D7"/>
    <w:rsid w:val="00721975"/>
    <w:rsid w:val="0072207B"/>
    <w:rsid w:val="0072226F"/>
    <w:rsid w:val="0072255B"/>
    <w:rsid w:val="00722D0B"/>
    <w:rsid w:val="00723488"/>
    <w:rsid w:val="00725602"/>
    <w:rsid w:val="0072582A"/>
    <w:rsid w:val="00725B78"/>
    <w:rsid w:val="00725D3C"/>
    <w:rsid w:val="00725EF1"/>
    <w:rsid w:val="007261C6"/>
    <w:rsid w:val="00726664"/>
    <w:rsid w:val="00727082"/>
    <w:rsid w:val="00730D86"/>
    <w:rsid w:val="0073233C"/>
    <w:rsid w:val="00732D0C"/>
    <w:rsid w:val="00733929"/>
    <w:rsid w:val="00733EAD"/>
    <w:rsid w:val="00734F54"/>
    <w:rsid w:val="00735076"/>
    <w:rsid w:val="00735346"/>
    <w:rsid w:val="00736F1F"/>
    <w:rsid w:val="0073759D"/>
    <w:rsid w:val="00737C04"/>
    <w:rsid w:val="007410D7"/>
    <w:rsid w:val="007418C7"/>
    <w:rsid w:val="00741AC5"/>
    <w:rsid w:val="00742014"/>
    <w:rsid w:val="00743DAB"/>
    <w:rsid w:val="00744110"/>
    <w:rsid w:val="00744595"/>
    <w:rsid w:val="00745645"/>
    <w:rsid w:val="007459D1"/>
    <w:rsid w:val="007466C0"/>
    <w:rsid w:val="0074688D"/>
    <w:rsid w:val="007473D4"/>
    <w:rsid w:val="00747A52"/>
    <w:rsid w:val="007500E0"/>
    <w:rsid w:val="00750796"/>
    <w:rsid w:val="00750D66"/>
    <w:rsid w:val="00750E41"/>
    <w:rsid w:val="00750F1E"/>
    <w:rsid w:val="00751C12"/>
    <w:rsid w:val="00752691"/>
    <w:rsid w:val="007528F2"/>
    <w:rsid w:val="00752925"/>
    <w:rsid w:val="00753705"/>
    <w:rsid w:val="00753CE0"/>
    <w:rsid w:val="0075412D"/>
    <w:rsid w:val="007542E8"/>
    <w:rsid w:val="00754711"/>
    <w:rsid w:val="00755615"/>
    <w:rsid w:val="00755906"/>
    <w:rsid w:val="007609B6"/>
    <w:rsid w:val="00762851"/>
    <w:rsid w:val="00762CFA"/>
    <w:rsid w:val="00763700"/>
    <w:rsid w:val="0076427C"/>
    <w:rsid w:val="00765217"/>
    <w:rsid w:val="00765778"/>
    <w:rsid w:val="007659AA"/>
    <w:rsid w:val="007673C3"/>
    <w:rsid w:val="00770653"/>
    <w:rsid w:val="00770F58"/>
    <w:rsid w:val="00771CB5"/>
    <w:rsid w:val="00771E7F"/>
    <w:rsid w:val="0077266C"/>
    <w:rsid w:val="00772802"/>
    <w:rsid w:val="007742F3"/>
    <w:rsid w:val="00774754"/>
    <w:rsid w:val="00775066"/>
    <w:rsid w:val="00776233"/>
    <w:rsid w:val="00776406"/>
    <w:rsid w:val="00776A9F"/>
    <w:rsid w:val="00776ACA"/>
    <w:rsid w:val="00776D06"/>
    <w:rsid w:val="0077712F"/>
    <w:rsid w:val="0078005A"/>
    <w:rsid w:val="00781012"/>
    <w:rsid w:val="00781B6F"/>
    <w:rsid w:val="00781F9C"/>
    <w:rsid w:val="00782DFD"/>
    <w:rsid w:val="0078301C"/>
    <w:rsid w:val="00784424"/>
    <w:rsid w:val="00785474"/>
    <w:rsid w:val="007868EE"/>
    <w:rsid w:val="00787B99"/>
    <w:rsid w:val="0079095F"/>
    <w:rsid w:val="0079169B"/>
    <w:rsid w:val="00791CEA"/>
    <w:rsid w:val="0079221B"/>
    <w:rsid w:val="00792AEC"/>
    <w:rsid w:val="00792F0E"/>
    <w:rsid w:val="007930EE"/>
    <w:rsid w:val="007932D9"/>
    <w:rsid w:val="00793D50"/>
    <w:rsid w:val="0079421C"/>
    <w:rsid w:val="0079526D"/>
    <w:rsid w:val="00795A2C"/>
    <w:rsid w:val="00797390"/>
    <w:rsid w:val="007A024B"/>
    <w:rsid w:val="007A05B6"/>
    <w:rsid w:val="007A09A7"/>
    <w:rsid w:val="007A0F4D"/>
    <w:rsid w:val="007A1C0A"/>
    <w:rsid w:val="007A1C59"/>
    <w:rsid w:val="007A3FB0"/>
    <w:rsid w:val="007A4C09"/>
    <w:rsid w:val="007A571F"/>
    <w:rsid w:val="007A5B41"/>
    <w:rsid w:val="007A63EC"/>
    <w:rsid w:val="007A6F38"/>
    <w:rsid w:val="007A7156"/>
    <w:rsid w:val="007B0EED"/>
    <w:rsid w:val="007B201B"/>
    <w:rsid w:val="007B2997"/>
    <w:rsid w:val="007B2ADE"/>
    <w:rsid w:val="007B387A"/>
    <w:rsid w:val="007B3932"/>
    <w:rsid w:val="007B4EB7"/>
    <w:rsid w:val="007B5614"/>
    <w:rsid w:val="007B5792"/>
    <w:rsid w:val="007B6413"/>
    <w:rsid w:val="007B64BF"/>
    <w:rsid w:val="007B671D"/>
    <w:rsid w:val="007B7DB0"/>
    <w:rsid w:val="007C1681"/>
    <w:rsid w:val="007C2791"/>
    <w:rsid w:val="007C2A8B"/>
    <w:rsid w:val="007C31E2"/>
    <w:rsid w:val="007C4258"/>
    <w:rsid w:val="007C5CE1"/>
    <w:rsid w:val="007C67C8"/>
    <w:rsid w:val="007C6F85"/>
    <w:rsid w:val="007C77F7"/>
    <w:rsid w:val="007C7B33"/>
    <w:rsid w:val="007D0569"/>
    <w:rsid w:val="007D0E99"/>
    <w:rsid w:val="007D16B1"/>
    <w:rsid w:val="007D19E4"/>
    <w:rsid w:val="007D217F"/>
    <w:rsid w:val="007D3355"/>
    <w:rsid w:val="007D37E3"/>
    <w:rsid w:val="007D3E53"/>
    <w:rsid w:val="007D5163"/>
    <w:rsid w:val="007D5A28"/>
    <w:rsid w:val="007D5FC8"/>
    <w:rsid w:val="007D7400"/>
    <w:rsid w:val="007D7761"/>
    <w:rsid w:val="007D79FF"/>
    <w:rsid w:val="007E02A7"/>
    <w:rsid w:val="007E1EE3"/>
    <w:rsid w:val="007E1FC4"/>
    <w:rsid w:val="007E2559"/>
    <w:rsid w:val="007E366C"/>
    <w:rsid w:val="007E36C1"/>
    <w:rsid w:val="007E468A"/>
    <w:rsid w:val="007E51A5"/>
    <w:rsid w:val="007E54E5"/>
    <w:rsid w:val="007E5A5B"/>
    <w:rsid w:val="007E66ED"/>
    <w:rsid w:val="007E67FA"/>
    <w:rsid w:val="007E6B19"/>
    <w:rsid w:val="007E75A4"/>
    <w:rsid w:val="007E79BC"/>
    <w:rsid w:val="007E7AE3"/>
    <w:rsid w:val="007E7F4C"/>
    <w:rsid w:val="007F05B6"/>
    <w:rsid w:val="007F0755"/>
    <w:rsid w:val="007F082F"/>
    <w:rsid w:val="007F18C1"/>
    <w:rsid w:val="007F19BE"/>
    <w:rsid w:val="007F2953"/>
    <w:rsid w:val="007F3018"/>
    <w:rsid w:val="007F3084"/>
    <w:rsid w:val="007F3D64"/>
    <w:rsid w:val="007F4226"/>
    <w:rsid w:val="007F4CEA"/>
    <w:rsid w:val="007F4FE0"/>
    <w:rsid w:val="007F52DA"/>
    <w:rsid w:val="007F5503"/>
    <w:rsid w:val="007F5B12"/>
    <w:rsid w:val="00801B17"/>
    <w:rsid w:val="0080302A"/>
    <w:rsid w:val="00803E7F"/>
    <w:rsid w:val="008060C3"/>
    <w:rsid w:val="008063A1"/>
    <w:rsid w:val="0080683C"/>
    <w:rsid w:val="00806A43"/>
    <w:rsid w:val="00807003"/>
    <w:rsid w:val="0080720A"/>
    <w:rsid w:val="00807236"/>
    <w:rsid w:val="00807C6E"/>
    <w:rsid w:val="00807DD2"/>
    <w:rsid w:val="00807DF7"/>
    <w:rsid w:val="00807F00"/>
    <w:rsid w:val="00811CB8"/>
    <w:rsid w:val="00812206"/>
    <w:rsid w:val="008126EF"/>
    <w:rsid w:val="00812D20"/>
    <w:rsid w:val="008134BD"/>
    <w:rsid w:val="008135A2"/>
    <w:rsid w:val="00814656"/>
    <w:rsid w:val="00817CE3"/>
    <w:rsid w:val="00820E45"/>
    <w:rsid w:val="0082118C"/>
    <w:rsid w:val="00821E2C"/>
    <w:rsid w:val="00822835"/>
    <w:rsid w:val="00822B56"/>
    <w:rsid w:val="00826383"/>
    <w:rsid w:val="00826758"/>
    <w:rsid w:val="00826DD0"/>
    <w:rsid w:val="00827D7E"/>
    <w:rsid w:val="008318A6"/>
    <w:rsid w:val="00831F0C"/>
    <w:rsid w:val="0083222C"/>
    <w:rsid w:val="008333BE"/>
    <w:rsid w:val="008345E4"/>
    <w:rsid w:val="008353E0"/>
    <w:rsid w:val="00835C11"/>
    <w:rsid w:val="00835DA4"/>
    <w:rsid w:val="008365F0"/>
    <w:rsid w:val="008373A2"/>
    <w:rsid w:val="008407E5"/>
    <w:rsid w:val="00841534"/>
    <w:rsid w:val="00841A46"/>
    <w:rsid w:val="00841CB8"/>
    <w:rsid w:val="0084293F"/>
    <w:rsid w:val="00842AF1"/>
    <w:rsid w:val="0084325C"/>
    <w:rsid w:val="00844F60"/>
    <w:rsid w:val="008462F1"/>
    <w:rsid w:val="008472CD"/>
    <w:rsid w:val="0084759F"/>
    <w:rsid w:val="008477CD"/>
    <w:rsid w:val="00850390"/>
    <w:rsid w:val="00850541"/>
    <w:rsid w:val="00850FDE"/>
    <w:rsid w:val="008511C8"/>
    <w:rsid w:val="0085175F"/>
    <w:rsid w:val="00851B7D"/>
    <w:rsid w:val="00851DA5"/>
    <w:rsid w:val="00852876"/>
    <w:rsid w:val="0085309B"/>
    <w:rsid w:val="008543F5"/>
    <w:rsid w:val="00855004"/>
    <w:rsid w:val="008557E3"/>
    <w:rsid w:val="00855C79"/>
    <w:rsid w:val="00856C10"/>
    <w:rsid w:val="008572C4"/>
    <w:rsid w:val="0085733E"/>
    <w:rsid w:val="008604A8"/>
    <w:rsid w:val="00861518"/>
    <w:rsid w:val="00861AFA"/>
    <w:rsid w:val="00862248"/>
    <w:rsid w:val="008622D6"/>
    <w:rsid w:val="00862824"/>
    <w:rsid w:val="0086360F"/>
    <w:rsid w:val="00863C61"/>
    <w:rsid w:val="00864CF2"/>
    <w:rsid w:val="00865522"/>
    <w:rsid w:val="00865ADF"/>
    <w:rsid w:val="00865C11"/>
    <w:rsid w:val="008661E6"/>
    <w:rsid w:val="0086644C"/>
    <w:rsid w:val="008665C5"/>
    <w:rsid w:val="008666B5"/>
    <w:rsid w:val="00867F60"/>
    <w:rsid w:val="008703B3"/>
    <w:rsid w:val="00870D0B"/>
    <w:rsid w:val="0087171E"/>
    <w:rsid w:val="00871F18"/>
    <w:rsid w:val="008735A2"/>
    <w:rsid w:val="0087432E"/>
    <w:rsid w:val="0087558B"/>
    <w:rsid w:val="00876985"/>
    <w:rsid w:val="00876B4D"/>
    <w:rsid w:val="00877699"/>
    <w:rsid w:val="00881DD8"/>
    <w:rsid w:val="00881FB7"/>
    <w:rsid w:val="00882493"/>
    <w:rsid w:val="00882AC0"/>
    <w:rsid w:val="00883780"/>
    <w:rsid w:val="0088387E"/>
    <w:rsid w:val="00883B99"/>
    <w:rsid w:val="0088472F"/>
    <w:rsid w:val="00884826"/>
    <w:rsid w:val="00884BC1"/>
    <w:rsid w:val="00884E23"/>
    <w:rsid w:val="00885066"/>
    <w:rsid w:val="00885F85"/>
    <w:rsid w:val="008862B7"/>
    <w:rsid w:val="0088665E"/>
    <w:rsid w:val="0088685F"/>
    <w:rsid w:val="00886BA7"/>
    <w:rsid w:val="00886EF6"/>
    <w:rsid w:val="008874AA"/>
    <w:rsid w:val="00890576"/>
    <w:rsid w:val="008911C9"/>
    <w:rsid w:val="00891299"/>
    <w:rsid w:val="008912D5"/>
    <w:rsid w:val="008923C8"/>
    <w:rsid w:val="00892460"/>
    <w:rsid w:val="008924B6"/>
    <w:rsid w:val="00893260"/>
    <w:rsid w:val="008932A8"/>
    <w:rsid w:val="00893705"/>
    <w:rsid w:val="00893756"/>
    <w:rsid w:val="00894A9E"/>
    <w:rsid w:val="008950F6"/>
    <w:rsid w:val="0089653F"/>
    <w:rsid w:val="0089663C"/>
    <w:rsid w:val="00896815"/>
    <w:rsid w:val="008969DA"/>
    <w:rsid w:val="0089720A"/>
    <w:rsid w:val="00897F12"/>
    <w:rsid w:val="008A02C8"/>
    <w:rsid w:val="008A0744"/>
    <w:rsid w:val="008A091E"/>
    <w:rsid w:val="008A0A6E"/>
    <w:rsid w:val="008A0D0F"/>
    <w:rsid w:val="008A0FD2"/>
    <w:rsid w:val="008A120C"/>
    <w:rsid w:val="008A1766"/>
    <w:rsid w:val="008A2735"/>
    <w:rsid w:val="008A29EE"/>
    <w:rsid w:val="008A2FB3"/>
    <w:rsid w:val="008A398B"/>
    <w:rsid w:val="008A4CA4"/>
    <w:rsid w:val="008A5601"/>
    <w:rsid w:val="008A59AD"/>
    <w:rsid w:val="008A5C37"/>
    <w:rsid w:val="008B09FA"/>
    <w:rsid w:val="008B0B21"/>
    <w:rsid w:val="008B0EEB"/>
    <w:rsid w:val="008B1244"/>
    <w:rsid w:val="008B12AF"/>
    <w:rsid w:val="008B1733"/>
    <w:rsid w:val="008B22B3"/>
    <w:rsid w:val="008B2647"/>
    <w:rsid w:val="008B2BE4"/>
    <w:rsid w:val="008B431D"/>
    <w:rsid w:val="008B4754"/>
    <w:rsid w:val="008B51FD"/>
    <w:rsid w:val="008B56B7"/>
    <w:rsid w:val="008B5807"/>
    <w:rsid w:val="008B5BBE"/>
    <w:rsid w:val="008B64F3"/>
    <w:rsid w:val="008B7681"/>
    <w:rsid w:val="008C1939"/>
    <w:rsid w:val="008C19EC"/>
    <w:rsid w:val="008C2EBE"/>
    <w:rsid w:val="008C3396"/>
    <w:rsid w:val="008C404E"/>
    <w:rsid w:val="008C4620"/>
    <w:rsid w:val="008C5A3E"/>
    <w:rsid w:val="008C621C"/>
    <w:rsid w:val="008C697C"/>
    <w:rsid w:val="008C75ED"/>
    <w:rsid w:val="008C7649"/>
    <w:rsid w:val="008C79FC"/>
    <w:rsid w:val="008D0D62"/>
    <w:rsid w:val="008D0E7C"/>
    <w:rsid w:val="008D3C5A"/>
    <w:rsid w:val="008D425A"/>
    <w:rsid w:val="008D46A5"/>
    <w:rsid w:val="008D4B2E"/>
    <w:rsid w:val="008D5801"/>
    <w:rsid w:val="008D68A7"/>
    <w:rsid w:val="008D74F1"/>
    <w:rsid w:val="008D7C77"/>
    <w:rsid w:val="008E0991"/>
    <w:rsid w:val="008E0A15"/>
    <w:rsid w:val="008E338E"/>
    <w:rsid w:val="008E34D2"/>
    <w:rsid w:val="008E3A58"/>
    <w:rsid w:val="008E3C5F"/>
    <w:rsid w:val="008E3D20"/>
    <w:rsid w:val="008E43CE"/>
    <w:rsid w:val="008E4726"/>
    <w:rsid w:val="008E57FE"/>
    <w:rsid w:val="008E5954"/>
    <w:rsid w:val="008E5AED"/>
    <w:rsid w:val="008E7937"/>
    <w:rsid w:val="008F0ADF"/>
    <w:rsid w:val="008F1DD4"/>
    <w:rsid w:val="008F25B5"/>
    <w:rsid w:val="008F2665"/>
    <w:rsid w:val="008F39E9"/>
    <w:rsid w:val="008F3F11"/>
    <w:rsid w:val="008F5DB5"/>
    <w:rsid w:val="008F5F6E"/>
    <w:rsid w:val="008F6376"/>
    <w:rsid w:val="00900644"/>
    <w:rsid w:val="00901444"/>
    <w:rsid w:val="009019FB"/>
    <w:rsid w:val="0090243E"/>
    <w:rsid w:val="009024D3"/>
    <w:rsid w:val="00905B05"/>
    <w:rsid w:val="00906369"/>
    <w:rsid w:val="00906B94"/>
    <w:rsid w:val="00906DB5"/>
    <w:rsid w:val="00906E71"/>
    <w:rsid w:val="00907020"/>
    <w:rsid w:val="009070D7"/>
    <w:rsid w:val="0090744F"/>
    <w:rsid w:val="0090753C"/>
    <w:rsid w:val="009079A6"/>
    <w:rsid w:val="00907C46"/>
    <w:rsid w:val="00910140"/>
    <w:rsid w:val="00911B66"/>
    <w:rsid w:val="00911C16"/>
    <w:rsid w:val="00911F18"/>
    <w:rsid w:val="00912A7E"/>
    <w:rsid w:val="00912EDC"/>
    <w:rsid w:val="009135F7"/>
    <w:rsid w:val="00913A34"/>
    <w:rsid w:val="00913D13"/>
    <w:rsid w:val="009148DA"/>
    <w:rsid w:val="00914CD7"/>
    <w:rsid w:val="00915330"/>
    <w:rsid w:val="009154D3"/>
    <w:rsid w:val="009163BE"/>
    <w:rsid w:val="00916E69"/>
    <w:rsid w:val="009170AC"/>
    <w:rsid w:val="00917525"/>
    <w:rsid w:val="0091777D"/>
    <w:rsid w:val="00917940"/>
    <w:rsid w:val="0092057D"/>
    <w:rsid w:val="009218DE"/>
    <w:rsid w:val="009219F1"/>
    <w:rsid w:val="0092254E"/>
    <w:rsid w:val="00922D00"/>
    <w:rsid w:val="00923F17"/>
    <w:rsid w:val="00924A4B"/>
    <w:rsid w:val="00926166"/>
    <w:rsid w:val="009266DA"/>
    <w:rsid w:val="00926B06"/>
    <w:rsid w:val="00926CB2"/>
    <w:rsid w:val="00930C40"/>
    <w:rsid w:val="00930DE8"/>
    <w:rsid w:val="00931656"/>
    <w:rsid w:val="009318DD"/>
    <w:rsid w:val="009320C4"/>
    <w:rsid w:val="0093224A"/>
    <w:rsid w:val="00932738"/>
    <w:rsid w:val="00933059"/>
    <w:rsid w:val="00933756"/>
    <w:rsid w:val="009348B2"/>
    <w:rsid w:val="00935060"/>
    <w:rsid w:val="00935413"/>
    <w:rsid w:val="00935497"/>
    <w:rsid w:val="00935960"/>
    <w:rsid w:val="00935F5D"/>
    <w:rsid w:val="009360DA"/>
    <w:rsid w:val="009365FD"/>
    <w:rsid w:val="009366ED"/>
    <w:rsid w:val="009368E0"/>
    <w:rsid w:val="00936A37"/>
    <w:rsid w:val="00936E4D"/>
    <w:rsid w:val="0093794F"/>
    <w:rsid w:val="009407A6"/>
    <w:rsid w:val="0094119B"/>
    <w:rsid w:val="009414E8"/>
    <w:rsid w:val="0094260B"/>
    <w:rsid w:val="00942661"/>
    <w:rsid w:val="00943C90"/>
    <w:rsid w:val="00944B45"/>
    <w:rsid w:val="00944FFC"/>
    <w:rsid w:val="00945307"/>
    <w:rsid w:val="0094558D"/>
    <w:rsid w:val="00946FCE"/>
    <w:rsid w:val="00947813"/>
    <w:rsid w:val="009515BC"/>
    <w:rsid w:val="00953ED0"/>
    <w:rsid w:val="0095492E"/>
    <w:rsid w:val="00955F7D"/>
    <w:rsid w:val="009560C9"/>
    <w:rsid w:val="00957FA8"/>
    <w:rsid w:val="00957FD1"/>
    <w:rsid w:val="00961D29"/>
    <w:rsid w:val="0096242F"/>
    <w:rsid w:val="00962747"/>
    <w:rsid w:val="00962836"/>
    <w:rsid w:val="00962E3B"/>
    <w:rsid w:val="00962FF5"/>
    <w:rsid w:val="00964905"/>
    <w:rsid w:val="00964A4E"/>
    <w:rsid w:val="009651A1"/>
    <w:rsid w:val="00965419"/>
    <w:rsid w:val="00965B02"/>
    <w:rsid w:val="00965C07"/>
    <w:rsid w:val="00965D2D"/>
    <w:rsid w:val="0096748D"/>
    <w:rsid w:val="00967556"/>
    <w:rsid w:val="0096769D"/>
    <w:rsid w:val="009707BE"/>
    <w:rsid w:val="00970E9A"/>
    <w:rsid w:val="00971847"/>
    <w:rsid w:val="00971FD5"/>
    <w:rsid w:val="00972182"/>
    <w:rsid w:val="00972964"/>
    <w:rsid w:val="009731CC"/>
    <w:rsid w:val="009735DA"/>
    <w:rsid w:val="0097563E"/>
    <w:rsid w:val="0097695C"/>
    <w:rsid w:val="009774C5"/>
    <w:rsid w:val="0097762F"/>
    <w:rsid w:val="00980D88"/>
    <w:rsid w:val="009816B8"/>
    <w:rsid w:val="0098217C"/>
    <w:rsid w:val="00983B45"/>
    <w:rsid w:val="0098493D"/>
    <w:rsid w:val="00984B5E"/>
    <w:rsid w:val="009863B6"/>
    <w:rsid w:val="00986C7A"/>
    <w:rsid w:val="00986CA0"/>
    <w:rsid w:val="0098766F"/>
    <w:rsid w:val="009908A2"/>
    <w:rsid w:val="00990BC3"/>
    <w:rsid w:val="009911BF"/>
    <w:rsid w:val="00991594"/>
    <w:rsid w:val="00992741"/>
    <w:rsid w:val="00993635"/>
    <w:rsid w:val="00993912"/>
    <w:rsid w:val="00994050"/>
    <w:rsid w:val="00995580"/>
    <w:rsid w:val="009962CF"/>
    <w:rsid w:val="0099641F"/>
    <w:rsid w:val="009968B4"/>
    <w:rsid w:val="00996954"/>
    <w:rsid w:val="009969D6"/>
    <w:rsid w:val="00996B6B"/>
    <w:rsid w:val="00997025"/>
    <w:rsid w:val="009A0016"/>
    <w:rsid w:val="009A0BAB"/>
    <w:rsid w:val="009A0E2F"/>
    <w:rsid w:val="009A27E5"/>
    <w:rsid w:val="009A391E"/>
    <w:rsid w:val="009A5DB1"/>
    <w:rsid w:val="009A678F"/>
    <w:rsid w:val="009A7C5A"/>
    <w:rsid w:val="009A7E51"/>
    <w:rsid w:val="009B0665"/>
    <w:rsid w:val="009B21B9"/>
    <w:rsid w:val="009B39E0"/>
    <w:rsid w:val="009B4CD0"/>
    <w:rsid w:val="009B4DA7"/>
    <w:rsid w:val="009B69BA"/>
    <w:rsid w:val="009C21C6"/>
    <w:rsid w:val="009C33FC"/>
    <w:rsid w:val="009C383B"/>
    <w:rsid w:val="009C3A80"/>
    <w:rsid w:val="009C5238"/>
    <w:rsid w:val="009D128A"/>
    <w:rsid w:val="009D12B4"/>
    <w:rsid w:val="009D1A0C"/>
    <w:rsid w:val="009D1E70"/>
    <w:rsid w:val="009D2135"/>
    <w:rsid w:val="009D2B67"/>
    <w:rsid w:val="009D2FA7"/>
    <w:rsid w:val="009D3271"/>
    <w:rsid w:val="009D4CAE"/>
    <w:rsid w:val="009D55F9"/>
    <w:rsid w:val="009D5A11"/>
    <w:rsid w:val="009D62BE"/>
    <w:rsid w:val="009D7760"/>
    <w:rsid w:val="009E16E6"/>
    <w:rsid w:val="009E2342"/>
    <w:rsid w:val="009E28B9"/>
    <w:rsid w:val="009E2953"/>
    <w:rsid w:val="009E299B"/>
    <w:rsid w:val="009E2B51"/>
    <w:rsid w:val="009E2B66"/>
    <w:rsid w:val="009E2BDC"/>
    <w:rsid w:val="009E2ECF"/>
    <w:rsid w:val="009E30CE"/>
    <w:rsid w:val="009E31F6"/>
    <w:rsid w:val="009E595F"/>
    <w:rsid w:val="009E6BD0"/>
    <w:rsid w:val="009F04C3"/>
    <w:rsid w:val="009F0760"/>
    <w:rsid w:val="009F1C84"/>
    <w:rsid w:val="009F1E16"/>
    <w:rsid w:val="009F2621"/>
    <w:rsid w:val="009F4860"/>
    <w:rsid w:val="009F4A94"/>
    <w:rsid w:val="009F517E"/>
    <w:rsid w:val="009F703F"/>
    <w:rsid w:val="009F7C65"/>
    <w:rsid w:val="00A00057"/>
    <w:rsid w:val="00A00485"/>
    <w:rsid w:val="00A0049C"/>
    <w:rsid w:val="00A005FE"/>
    <w:rsid w:val="00A00814"/>
    <w:rsid w:val="00A00AED"/>
    <w:rsid w:val="00A011BB"/>
    <w:rsid w:val="00A01A5F"/>
    <w:rsid w:val="00A02262"/>
    <w:rsid w:val="00A02534"/>
    <w:rsid w:val="00A02C96"/>
    <w:rsid w:val="00A02E65"/>
    <w:rsid w:val="00A02F37"/>
    <w:rsid w:val="00A0340A"/>
    <w:rsid w:val="00A03C60"/>
    <w:rsid w:val="00A0440C"/>
    <w:rsid w:val="00A0585F"/>
    <w:rsid w:val="00A0694A"/>
    <w:rsid w:val="00A10198"/>
    <w:rsid w:val="00A102D4"/>
    <w:rsid w:val="00A10A30"/>
    <w:rsid w:val="00A1137C"/>
    <w:rsid w:val="00A113D7"/>
    <w:rsid w:val="00A11F0F"/>
    <w:rsid w:val="00A1324C"/>
    <w:rsid w:val="00A13ACC"/>
    <w:rsid w:val="00A14157"/>
    <w:rsid w:val="00A14CD8"/>
    <w:rsid w:val="00A16126"/>
    <w:rsid w:val="00A161E9"/>
    <w:rsid w:val="00A1709D"/>
    <w:rsid w:val="00A17F5B"/>
    <w:rsid w:val="00A2002D"/>
    <w:rsid w:val="00A20F0A"/>
    <w:rsid w:val="00A211CE"/>
    <w:rsid w:val="00A23094"/>
    <w:rsid w:val="00A23A16"/>
    <w:rsid w:val="00A24133"/>
    <w:rsid w:val="00A2502B"/>
    <w:rsid w:val="00A257B5"/>
    <w:rsid w:val="00A262BF"/>
    <w:rsid w:val="00A26393"/>
    <w:rsid w:val="00A26878"/>
    <w:rsid w:val="00A26C66"/>
    <w:rsid w:val="00A27809"/>
    <w:rsid w:val="00A30071"/>
    <w:rsid w:val="00A30155"/>
    <w:rsid w:val="00A30207"/>
    <w:rsid w:val="00A315DE"/>
    <w:rsid w:val="00A317B0"/>
    <w:rsid w:val="00A31B40"/>
    <w:rsid w:val="00A31B51"/>
    <w:rsid w:val="00A31B8D"/>
    <w:rsid w:val="00A32152"/>
    <w:rsid w:val="00A33353"/>
    <w:rsid w:val="00A33879"/>
    <w:rsid w:val="00A34591"/>
    <w:rsid w:val="00A34E44"/>
    <w:rsid w:val="00A351BB"/>
    <w:rsid w:val="00A3640F"/>
    <w:rsid w:val="00A40CE2"/>
    <w:rsid w:val="00A43EE4"/>
    <w:rsid w:val="00A44AF5"/>
    <w:rsid w:val="00A47176"/>
    <w:rsid w:val="00A475C5"/>
    <w:rsid w:val="00A4768C"/>
    <w:rsid w:val="00A50A68"/>
    <w:rsid w:val="00A50D3B"/>
    <w:rsid w:val="00A518AA"/>
    <w:rsid w:val="00A5208C"/>
    <w:rsid w:val="00A52730"/>
    <w:rsid w:val="00A5291C"/>
    <w:rsid w:val="00A52C9F"/>
    <w:rsid w:val="00A537A2"/>
    <w:rsid w:val="00A53954"/>
    <w:rsid w:val="00A54482"/>
    <w:rsid w:val="00A5466F"/>
    <w:rsid w:val="00A551F1"/>
    <w:rsid w:val="00A558A6"/>
    <w:rsid w:val="00A56348"/>
    <w:rsid w:val="00A567FF"/>
    <w:rsid w:val="00A5703F"/>
    <w:rsid w:val="00A57828"/>
    <w:rsid w:val="00A57AE1"/>
    <w:rsid w:val="00A57D39"/>
    <w:rsid w:val="00A6069D"/>
    <w:rsid w:val="00A60E9B"/>
    <w:rsid w:val="00A61732"/>
    <w:rsid w:val="00A6316B"/>
    <w:rsid w:val="00A63622"/>
    <w:rsid w:val="00A64C3E"/>
    <w:rsid w:val="00A65316"/>
    <w:rsid w:val="00A65CBC"/>
    <w:rsid w:val="00A6604F"/>
    <w:rsid w:val="00A66817"/>
    <w:rsid w:val="00A66C3B"/>
    <w:rsid w:val="00A674FF"/>
    <w:rsid w:val="00A70368"/>
    <w:rsid w:val="00A70F69"/>
    <w:rsid w:val="00A722FA"/>
    <w:rsid w:val="00A72611"/>
    <w:rsid w:val="00A72C1E"/>
    <w:rsid w:val="00A72FE6"/>
    <w:rsid w:val="00A73ABB"/>
    <w:rsid w:val="00A740E0"/>
    <w:rsid w:val="00A74D23"/>
    <w:rsid w:val="00A76D2C"/>
    <w:rsid w:val="00A77746"/>
    <w:rsid w:val="00A77C4B"/>
    <w:rsid w:val="00A806AA"/>
    <w:rsid w:val="00A81D46"/>
    <w:rsid w:val="00A83599"/>
    <w:rsid w:val="00A838BA"/>
    <w:rsid w:val="00A83BF6"/>
    <w:rsid w:val="00A85497"/>
    <w:rsid w:val="00A86D92"/>
    <w:rsid w:val="00A8720F"/>
    <w:rsid w:val="00A87F31"/>
    <w:rsid w:val="00A90D27"/>
    <w:rsid w:val="00A9103B"/>
    <w:rsid w:val="00A91284"/>
    <w:rsid w:val="00A91785"/>
    <w:rsid w:val="00A917F4"/>
    <w:rsid w:val="00A918A7"/>
    <w:rsid w:val="00A92871"/>
    <w:rsid w:val="00A929CE"/>
    <w:rsid w:val="00A934C1"/>
    <w:rsid w:val="00A93BEB"/>
    <w:rsid w:val="00A95264"/>
    <w:rsid w:val="00A9526C"/>
    <w:rsid w:val="00A955EB"/>
    <w:rsid w:val="00A96A34"/>
    <w:rsid w:val="00AA0E9A"/>
    <w:rsid w:val="00AA10F2"/>
    <w:rsid w:val="00AA14B5"/>
    <w:rsid w:val="00AA1F49"/>
    <w:rsid w:val="00AA246D"/>
    <w:rsid w:val="00AA24EA"/>
    <w:rsid w:val="00AA3293"/>
    <w:rsid w:val="00AA375B"/>
    <w:rsid w:val="00AA3A2E"/>
    <w:rsid w:val="00AA4099"/>
    <w:rsid w:val="00AA430D"/>
    <w:rsid w:val="00AA4580"/>
    <w:rsid w:val="00AA6791"/>
    <w:rsid w:val="00AA6913"/>
    <w:rsid w:val="00AA7815"/>
    <w:rsid w:val="00AA78C7"/>
    <w:rsid w:val="00AB0429"/>
    <w:rsid w:val="00AB05E0"/>
    <w:rsid w:val="00AB1243"/>
    <w:rsid w:val="00AB14EE"/>
    <w:rsid w:val="00AB2190"/>
    <w:rsid w:val="00AB2919"/>
    <w:rsid w:val="00AB32AB"/>
    <w:rsid w:val="00AB39EB"/>
    <w:rsid w:val="00AB3BAD"/>
    <w:rsid w:val="00AB3F27"/>
    <w:rsid w:val="00AB3FD9"/>
    <w:rsid w:val="00AB6C02"/>
    <w:rsid w:val="00AB7DE7"/>
    <w:rsid w:val="00AB7E07"/>
    <w:rsid w:val="00AC00D5"/>
    <w:rsid w:val="00AC1686"/>
    <w:rsid w:val="00AC17AC"/>
    <w:rsid w:val="00AC1BE7"/>
    <w:rsid w:val="00AC275F"/>
    <w:rsid w:val="00AC2E6E"/>
    <w:rsid w:val="00AC4C95"/>
    <w:rsid w:val="00AC50A4"/>
    <w:rsid w:val="00AC5A95"/>
    <w:rsid w:val="00AC6074"/>
    <w:rsid w:val="00AC6471"/>
    <w:rsid w:val="00AC663C"/>
    <w:rsid w:val="00AC6896"/>
    <w:rsid w:val="00AC692D"/>
    <w:rsid w:val="00AD09D7"/>
    <w:rsid w:val="00AD1751"/>
    <w:rsid w:val="00AD1AC1"/>
    <w:rsid w:val="00AD2B6E"/>
    <w:rsid w:val="00AD3443"/>
    <w:rsid w:val="00AD4466"/>
    <w:rsid w:val="00AD4AC9"/>
    <w:rsid w:val="00AD4B3C"/>
    <w:rsid w:val="00AD506D"/>
    <w:rsid w:val="00AD5396"/>
    <w:rsid w:val="00AD550F"/>
    <w:rsid w:val="00AD676E"/>
    <w:rsid w:val="00AD68A5"/>
    <w:rsid w:val="00AD6A1E"/>
    <w:rsid w:val="00AE02C8"/>
    <w:rsid w:val="00AE155B"/>
    <w:rsid w:val="00AE185D"/>
    <w:rsid w:val="00AE1BFE"/>
    <w:rsid w:val="00AE29EC"/>
    <w:rsid w:val="00AE2CFB"/>
    <w:rsid w:val="00AE3530"/>
    <w:rsid w:val="00AE3842"/>
    <w:rsid w:val="00AE3D83"/>
    <w:rsid w:val="00AE4374"/>
    <w:rsid w:val="00AE45B1"/>
    <w:rsid w:val="00AE485C"/>
    <w:rsid w:val="00AE4F3F"/>
    <w:rsid w:val="00AE5046"/>
    <w:rsid w:val="00AE5E09"/>
    <w:rsid w:val="00AE7B06"/>
    <w:rsid w:val="00AE7D4F"/>
    <w:rsid w:val="00AE7EE4"/>
    <w:rsid w:val="00AE7FE4"/>
    <w:rsid w:val="00AF17D3"/>
    <w:rsid w:val="00AF1D77"/>
    <w:rsid w:val="00AF263D"/>
    <w:rsid w:val="00AF38BA"/>
    <w:rsid w:val="00AF4A90"/>
    <w:rsid w:val="00AF4F67"/>
    <w:rsid w:val="00AF51F2"/>
    <w:rsid w:val="00AF5811"/>
    <w:rsid w:val="00AF5AE5"/>
    <w:rsid w:val="00AF5FE7"/>
    <w:rsid w:val="00AF6509"/>
    <w:rsid w:val="00B00BBE"/>
    <w:rsid w:val="00B0157B"/>
    <w:rsid w:val="00B01CF6"/>
    <w:rsid w:val="00B0456E"/>
    <w:rsid w:val="00B04947"/>
    <w:rsid w:val="00B04A15"/>
    <w:rsid w:val="00B05139"/>
    <w:rsid w:val="00B06A05"/>
    <w:rsid w:val="00B06BF6"/>
    <w:rsid w:val="00B06D59"/>
    <w:rsid w:val="00B06F7F"/>
    <w:rsid w:val="00B07268"/>
    <w:rsid w:val="00B07C4C"/>
    <w:rsid w:val="00B100F0"/>
    <w:rsid w:val="00B106FA"/>
    <w:rsid w:val="00B107AE"/>
    <w:rsid w:val="00B1089D"/>
    <w:rsid w:val="00B10FCA"/>
    <w:rsid w:val="00B11670"/>
    <w:rsid w:val="00B11832"/>
    <w:rsid w:val="00B11CE3"/>
    <w:rsid w:val="00B12C33"/>
    <w:rsid w:val="00B13403"/>
    <w:rsid w:val="00B1402E"/>
    <w:rsid w:val="00B14068"/>
    <w:rsid w:val="00B14865"/>
    <w:rsid w:val="00B153F9"/>
    <w:rsid w:val="00B16372"/>
    <w:rsid w:val="00B171BF"/>
    <w:rsid w:val="00B201AB"/>
    <w:rsid w:val="00B215F8"/>
    <w:rsid w:val="00B21D50"/>
    <w:rsid w:val="00B22F9B"/>
    <w:rsid w:val="00B23747"/>
    <w:rsid w:val="00B24090"/>
    <w:rsid w:val="00B24BAA"/>
    <w:rsid w:val="00B257E3"/>
    <w:rsid w:val="00B25F59"/>
    <w:rsid w:val="00B260C7"/>
    <w:rsid w:val="00B2642F"/>
    <w:rsid w:val="00B26750"/>
    <w:rsid w:val="00B27494"/>
    <w:rsid w:val="00B279B9"/>
    <w:rsid w:val="00B30E98"/>
    <w:rsid w:val="00B30F0B"/>
    <w:rsid w:val="00B32090"/>
    <w:rsid w:val="00B325BA"/>
    <w:rsid w:val="00B328E1"/>
    <w:rsid w:val="00B33C4B"/>
    <w:rsid w:val="00B33DD8"/>
    <w:rsid w:val="00B340E5"/>
    <w:rsid w:val="00B342DB"/>
    <w:rsid w:val="00B34705"/>
    <w:rsid w:val="00B34CF7"/>
    <w:rsid w:val="00B34F48"/>
    <w:rsid w:val="00B3506B"/>
    <w:rsid w:val="00B35347"/>
    <w:rsid w:val="00B3542D"/>
    <w:rsid w:val="00B365F4"/>
    <w:rsid w:val="00B36DCE"/>
    <w:rsid w:val="00B37EED"/>
    <w:rsid w:val="00B41FD7"/>
    <w:rsid w:val="00B42418"/>
    <w:rsid w:val="00B436B8"/>
    <w:rsid w:val="00B43719"/>
    <w:rsid w:val="00B44F0B"/>
    <w:rsid w:val="00B459E4"/>
    <w:rsid w:val="00B45A35"/>
    <w:rsid w:val="00B46174"/>
    <w:rsid w:val="00B464BF"/>
    <w:rsid w:val="00B479BF"/>
    <w:rsid w:val="00B516BB"/>
    <w:rsid w:val="00B51BA0"/>
    <w:rsid w:val="00B51E5A"/>
    <w:rsid w:val="00B535BD"/>
    <w:rsid w:val="00B53701"/>
    <w:rsid w:val="00B54057"/>
    <w:rsid w:val="00B55983"/>
    <w:rsid w:val="00B55C5E"/>
    <w:rsid w:val="00B56370"/>
    <w:rsid w:val="00B566FE"/>
    <w:rsid w:val="00B56A26"/>
    <w:rsid w:val="00B57224"/>
    <w:rsid w:val="00B6110A"/>
    <w:rsid w:val="00B6176A"/>
    <w:rsid w:val="00B61BF3"/>
    <w:rsid w:val="00B62803"/>
    <w:rsid w:val="00B62A0D"/>
    <w:rsid w:val="00B62B3F"/>
    <w:rsid w:val="00B6301A"/>
    <w:rsid w:val="00B63BC7"/>
    <w:rsid w:val="00B6467E"/>
    <w:rsid w:val="00B64698"/>
    <w:rsid w:val="00B64CAD"/>
    <w:rsid w:val="00B64EB6"/>
    <w:rsid w:val="00B6584F"/>
    <w:rsid w:val="00B664E7"/>
    <w:rsid w:val="00B66751"/>
    <w:rsid w:val="00B66A0C"/>
    <w:rsid w:val="00B66CB1"/>
    <w:rsid w:val="00B677ED"/>
    <w:rsid w:val="00B67AA6"/>
    <w:rsid w:val="00B67B6A"/>
    <w:rsid w:val="00B67DD1"/>
    <w:rsid w:val="00B7066C"/>
    <w:rsid w:val="00B7084D"/>
    <w:rsid w:val="00B70C45"/>
    <w:rsid w:val="00B713CB"/>
    <w:rsid w:val="00B717D8"/>
    <w:rsid w:val="00B72DF3"/>
    <w:rsid w:val="00B73388"/>
    <w:rsid w:val="00B7363F"/>
    <w:rsid w:val="00B74146"/>
    <w:rsid w:val="00B7467A"/>
    <w:rsid w:val="00B7557C"/>
    <w:rsid w:val="00B75840"/>
    <w:rsid w:val="00B76F6C"/>
    <w:rsid w:val="00B771D4"/>
    <w:rsid w:val="00B77A15"/>
    <w:rsid w:val="00B805BB"/>
    <w:rsid w:val="00B8063E"/>
    <w:rsid w:val="00B8080B"/>
    <w:rsid w:val="00B80E8B"/>
    <w:rsid w:val="00B811EF"/>
    <w:rsid w:val="00B8166D"/>
    <w:rsid w:val="00B828CA"/>
    <w:rsid w:val="00B833AF"/>
    <w:rsid w:val="00B83686"/>
    <w:rsid w:val="00B8467E"/>
    <w:rsid w:val="00B858C1"/>
    <w:rsid w:val="00B8676B"/>
    <w:rsid w:val="00B86EF1"/>
    <w:rsid w:val="00B87343"/>
    <w:rsid w:val="00B90674"/>
    <w:rsid w:val="00B9171B"/>
    <w:rsid w:val="00B92ADD"/>
    <w:rsid w:val="00B93144"/>
    <w:rsid w:val="00B934E3"/>
    <w:rsid w:val="00B94323"/>
    <w:rsid w:val="00B94CF9"/>
    <w:rsid w:val="00B95098"/>
    <w:rsid w:val="00B959E3"/>
    <w:rsid w:val="00B95B74"/>
    <w:rsid w:val="00B961B7"/>
    <w:rsid w:val="00B9633E"/>
    <w:rsid w:val="00B963D4"/>
    <w:rsid w:val="00B96A6B"/>
    <w:rsid w:val="00B96E12"/>
    <w:rsid w:val="00B9772B"/>
    <w:rsid w:val="00B97A9A"/>
    <w:rsid w:val="00B97B05"/>
    <w:rsid w:val="00B97D28"/>
    <w:rsid w:val="00BA2DDC"/>
    <w:rsid w:val="00BA2DEF"/>
    <w:rsid w:val="00BA3198"/>
    <w:rsid w:val="00BA3787"/>
    <w:rsid w:val="00BA42FB"/>
    <w:rsid w:val="00BA4768"/>
    <w:rsid w:val="00BA516F"/>
    <w:rsid w:val="00BA60B1"/>
    <w:rsid w:val="00BA628C"/>
    <w:rsid w:val="00BA6C00"/>
    <w:rsid w:val="00BA7059"/>
    <w:rsid w:val="00BB0051"/>
    <w:rsid w:val="00BB02C6"/>
    <w:rsid w:val="00BB03CC"/>
    <w:rsid w:val="00BB1082"/>
    <w:rsid w:val="00BB17A6"/>
    <w:rsid w:val="00BB2127"/>
    <w:rsid w:val="00BB2BC2"/>
    <w:rsid w:val="00BB2D44"/>
    <w:rsid w:val="00BB2EC7"/>
    <w:rsid w:val="00BB3039"/>
    <w:rsid w:val="00BB3805"/>
    <w:rsid w:val="00BB47C3"/>
    <w:rsid w:val="00BB52A5"/>
    <w:rsid w:val="00BB5CAE"/>
    <w:rsid w:val="00BB60C9"/>
    <w:rsid w:val="00BB64D4"/>
    <w:rsid w:val="00BB6740"/>
    <w:rsid w:val="00BB7651"/>
    <w:rsid w:val="00BB7EA1"/>
    <w:rsid w:val="00BB7F81"/>
    <w:rsid w:val="00BC02A4"/>
    <w:rsid w:val="00BC0EBD"/>
    <w:rsid w:val="00BC1616"/>
    <w:rsid w:val="00BC269B"/>
    <w:rsid w:val="00BC27D2"/>
    <w:rsid w:val="00BC2AF1"/>
    <w:rsid w:val="00BC371A"/>
    <w:rsid w:val="00BC3B53"/>
    <w:rsid w:val="00BC6348"/>
    <w:rsid w:val="00BC799F"/>
    <w:rsid w:val="00BD088C"/>
    <w:rsid w:val="00BD1B05"/>
    <w:rsid w:val="00BD35E1"/>
    <w:rsid w:val="00BD524D"/>
    <w:rsid w:val="00BD54FC"/>
    <w:rsid w:val="00BD5860"/>
    <w:rsid w:val="00BD63C3"/>
    <w:rsid w:val="00BD6A9F"/>
    <w:rsid w:val="00BD76A4"/>
    <w:rsid w:val="00BE0872"/>
    <w:rsid w:val="00BE1572"/>
    <w:rsid w:val="00BE1789"/>
    <w:rsid w:val="00BE1C8A"/>
    <w:rsid w:val="00BE2353"/>
    <w:rsid w:val="00BE3344"/>
    <w:rsid w:val="00BE3E02"/>
    <w:rsid w:val="00BE477E"/>
    <w:rsid w:val="00BE4857"/>
    <w:rsid w:val="00BE4BEA"/>
    <w:rsid w:val="00BE5847"/>
    <w:rsid w:val="00BE5BE0"/>
    <w:rsid w:val="00BE5BF3"/>
    <w:rsid w:val="00BE66DA"/>
    <w:rsid w:val="00BE6F3C"/>
    <w:rsid w:val="00BE70E8"/>
    <w:rsid w:val="00BE727A"/>
    <w:rsid w:val="00BF035C"/>
    <w:rsid w:val="00BF06ED"/>
    <w:rsid w:val="00BF0E76"/>
    <w:rsid w:val="00BF19DC"/>
    <w:rsid w:val="00BF1D19"/>
    <w:rsid w:val="00BF2B3E"/>
    <w:rsid w:val="00BF2DAF"/>
    <w:rsid w:val="00BF4E1B"/>
    <w:rsid w:val="00BF7909"/>
    <w:rsid w:val="00BF79ED"/>
    <w:rsid w:val="00BF7D88"/>
    <w:rsid w:val="00BF7E44"/>
    <w:rsid w:val="00C00E98"/>
    <w:rsid w:val="00C033B1"/>
    <w:rsid w:val="00C035AC"/>
    <w:rsid w:val="00C03976"/>
    <w:rsid w:val="00C03BBA"/>
    <w:rsid w:val="00C0480F"/>
    <w:rsid w:val="00C05D08"/>
    <w:rsid w:val="00C05F04"/>
    <w:rsid w:val="00C05F0E"/>
    <w:rsid w:val="00C06994"/>
    <w:rsid w:val="00C06E20"/>
    <w:rsid w:val="00C07D18"/>
    <w:rsid w:val="00C1043C"/>
    <w:rsid w:val="00C107A6"/>
    <w:rsid w:val="00C112EF"/>
    <w:rsid w:val="00C11CB7"/>
    <w:rsid w:val="00C11DAC"/>
    <w:rsid w:val="00C12A51"/>
    <w:rsid w:val="00C13509"/>
    <w:rsid w:val="00C135C9"/>
    <w:rsid w:val="00C14938"/>
    <w:rsid w:val="00C15565"/>
    <w:rsid w:val="00C1591E"/>
    <w:rsid w:val="00C161A4"/>
    <w:rsid w:val="00C16824"/>
    <w:rsid w:val="00C2001B"/>
    <w:rsid w:val="00C20232"/>
    <w:rsid w:val="00C20D36"/>
    <w:rsid w:val="00C21038"/>
    <w:rsid w:val="00C2396B"/>
    <w:rsid w:val="00C24C25"/>
    <w:rsid w:val="00C2583C"/>
    <w:rsid w:val="00C26506"/>
    <w:rsid w:val="00C2785F"/>
    <w:rsid w:val="00C3046B"/>
    <w:rsid w:val="00C30BA6"/>
    <w:rsid w:val="00C30D2F"/>
    <w:rsid w:val="00C31409"/>
    <w:rsid w:val="00C31467"/>
    <w:rsid w:val="00C31572"/>
    <w:rsid w:val="00C3185D"/>
    <w:rsid w:val="00C328DA"/>
    <w:rsid w:val="00C33111"/>
    <w:rsid w:val="00C334D3"/>
    <w:rsid w:val="00C33A1F"/>
    <w:rsid w:val="00C34CCB"/>
    <w:rsid w:val="00C34D57"/>
    <w:rsid w:val="00C34DB7"/>
    <w:rsid w:val="00C3587B"/>
    <w:rsid w:val="00C35A11"/>
    <w:rsid w:val="00C35A81"/>
    <w:rsid w:val="00C36538"/>
    <w:rsid w:val="00C36696"/>
    <w:rsid w:val="00C36720"/>
    <w:rsid w:val="00C37518"/>
    <w:rsid w:val="00C37554"/>
    <w:rsid w:val="00C37F00"/>
    <w:rsid w:val="00C41BB9"/>
    <w:rsid w:val="00C421C9"/>
    <w:rsid w:val="00C42351"/>
    <w:rsid w:val="00C42A3A"/>
    <w:rsid w:val="00C4368D"/>
    <w:rsid w:val="00C44776"/>
    <w:rsid w:val="00C449F3"/>
    <w:rsid w:val="00C44AC6"/>
    <w:rsid w:val="00C4517F"/>
    <w:rsid w:val="00C45232"/>
    <w:rsid w:val="00C454FB"/>
    <w:rsid w:val="00C4551E"/>
    <w:rsid w:val="00C45701"/>
    <w:rsid w:val="00C45A6B"/>
    <w:rsid w:val="00C46C6E"/>
    <w:rsid w:val="00C46E94"/>
    <w:rsid w:val="00C50C8C"/>
    <w:rsid w:val="00C51371"/>
    <w:rsid w:val="00C51F08"/>
    <w:rsid w:val="00C52BA5"/>
    <w:rsid w:val="00C532D9"/>
    <w:rsid w:val="00C53323"/>
    <w:rsid w:val="00C538EF"/>
    <w:rsid w:val="00C540AD"/>
    <w:rsid w:val="00C54235"/>
    <w:rsid w:val="00C54AB8"/>
    <w:rsid w:val="00C54D8C"/>
    <w:rsid w:val="00C54FF2"/>
    <w:rsid w:val="00C54FF7"/>
    <w:rsid w:val="00C555FD"/>
    <w:rsid w:val="00C56757"/>
    <w:rsid w:val="00C62D49"/>
    <w:rsid w:val="00C635FF"/>
    <w:rsid w:val="00C658B7"/>
    <w:rsid w:val="00C66CEF"/>
    <w:rsid w:val="00C670FE"/>
    <w:rsid w:val="00C67817"/>
    <w:rsid w:val="00C71E3C"/>
    <w:rsid w:val="00C722F8"/>
    <w:rsid w:val="00C72413"/>
    <w:rsid w:val="00C72ADD"/>
    <w:rsid w:val="00C72D2E"/>
    <w:rsid w:val="00C746EA"/>
    <w:rsid w:val="00C74844"/>
    <w:rsid w:val="00C751CC"/>
    <w:rsid w:val="00C75492"/>
    <w:rsid w:val="00C76804"/>
    <w:rsid w:val="00C769CE"/>
    <w:rsid w:val="00C76BFF"/>
    <w:rsid w:val="00C77C78"/>
    <w:rsid w:val="00C77EED"/>
    <w:rsid w:val="00C81083"/>
    <w:rsid w:val="00C8127C"/>
    <w:rsid w:val="00C8146C"/>
    <w:rsid w:val="00C827C0"/>
    <w:rsid w:val="00C846DD"/>
    <w:rsid w:val="00C84BED"/>
    <w:rsid w:val="00C85032"/>
    <w:rsid w:val="00C85249"/>
    <w:rsid w:val="00C85CA6"/>
    <w:rsid w:val="00C861C1"/>
    <w:rsid w:val="00C86302"/>
    <w:rsid w:val="00C8660B"/>
    <w:rsid w:val="00C87D87"/>
    <w:rsid w:val="00C90A6A"/>
    <w:rsid w:val="00C90B07"/>
    <w:rsid w:val="00C9147E"/>
    <w:rsid w:val="00C91B26"/>
    <w:rsid w:val="00C925ED"/>
    <w:rsid w:val="00C9339F"/>
    <w:rsid w:val="00C9483E"/>
    <w:rsid w:val="00C948A5"/>
    <w:rsid w:val="00C94B8F"/>
    <w:rsid w:val="00C94D33"/>
    <w:rsid w:val="00C95C52"/>
    <w:rsid w:val="00C96A10"/>
    <w:rsid w:val="00C9753B"/>
    <w:rsid w:val="00C97B3E"/>
    <w:rsid w:val="00CA0B97"/>
    <w:rsid w:val="00CA0B9F"/>
    <w:rsid w:val="00CA19CD"/>
    <w:rsid w:val="00CA21C5"/>
    <w:rsid w:val="00CA2339"/>
    <w:rsid w:val="00CA25C6"/>
    <w:rsid w:val="00CA2F30"/>
    <w:rsid w:val="00CA3AA2"/>
    <w:rsid w:val="00CA4276"/>
    <w:rsid w:val="00CA4A62"/>
    <w:rsid w:val="00CA4C7F"/>
    <w:rsid w:val="00CA4DD2"/>
    <w:rsid w:val="00CA544B"/>
    <w:rsid w:val="00CA54C1"/>
    <w:rsid w:val="00CA597B"/>
    <w:rsid w:val="00CA640D"/>
    <w:rsid w:val="00CA659E"/>
    <w:rsid w:val="00CB0A77"/>
    <w:rsid w:val="00CB23DD"/>
    <w:rsid w:val="00CB25E1"/>
    <w:rsid w:val="00CB2757"/>
    <w:rsid w:val="00CB2FE7"/>
    <w:rsid w:val="00CB3B57"/>
    <w:rsid w:val="00CB42AE"/>
    <w:rsid w:val="00CB6405"/>
    <w:rsid w:val="00CB65BE"/>
    <w:rsid w:val="00CB6768"/>
    <w:rsid w:val="00CB78F5"/>
    <w:rsid w:val="00CB7E59"/>
    <w:rsid w:val="00CC1577"/>
    <w:rsid w:val="00CC17DB"/>
    <w:rsid w:val="00CC18BB"/>
    <w:rsid w:val="00CC2EFF"/>
    <w:rsid w:val="00CC2F01"/>
    <w:rsid w:val="00CC3692"/>
    <w:rsid w:val="00CC39C4"/>
    <w:rsid w:val="00CC4819"/>
    <w:rsid w:val="00CC507B"/>
    <w:rsid w:val="00CC6110"/>
    <w:rsid w:val="00CC6429"/>
    <w:rsid w:val="00CC6453"/>
    <w:rsid w:val="00CC697C"/>
    <w:rsid w:val="00CC6A5E"/>
    <w:rsid w:val="00CC785D"/>
    <w:rsid w:val="00CD09BD"/>
    <w:rsid w:val="00CD09F1"/>
    <w:rsid w:val="00CD1133"/>
    <w:rsid w:val="00CD12AA"/>
    <w:rsid w:val="00CD2D8A"/>
    <w:rsid w:val="00CD31EA"/>
    <w:rsid w:val="00CD610E"/>
    <w:rsid w:val="00CD67EC"/>
    <w:rsid w:val="00CD692F"/>
    <w:rsid w:val="00CD6C23"/>
    <w:rsid w:val="00CE0392"/>
    <w:rsid w:val="00CE3057"/>
    <w:rsid w:val="00CE3ABD"/>
    <w:rsid w:val="00CE4079"/>
    <w:rsid w:val="00CE45C4"/>
    <w:rsid w:val="00CE4690"/>
    <w:rsid w:val="00CE49CB"/>
    <w:rsid w:val="00CE4F98"/>
    <w:rsid w:val="00CE5481"/>
    <w:rsid w:val="00CE5866"/>
    <w:rsid w:val="00CE71AE"/>
    <w:rsid w:val="00CE749E"/>
    <w:rsid w:val="00CF0045"/>
    <w:rsid w:val="00CF0149"/>
    <w:rsid w:val="00CF0F8B"/>
    <w:rsid w:val="00CF295B"/>
    <w:rsid w:val="00CF33AE"/>
    <w:rsid w:val="00CF3B4C"/>
    <w:rsid w:val="00CF4300"/>
    <w:rsid w:val="00CF48BD"/>
    <w:rsid w:val="00CF5594"/>
    <w:rsid w:val="00CF7194"/>
    <w:rsid w:val="00CF7C90"/>
    <w:rsid w:val="00CF7EA0"/>
    <w:rsid w:val="00D00600"/>
    <w:rsid w:val="00D00769"/>
    <w:rsid w:val="00D01133"/>
    <w:rsid w:val="00D020F0"/>
    <w:rsid w:val="00D02E08"/>
    <w:rsid w:val="00D0329F"/>
    <w:rsid w:val="00D0475B"/>
    <w:rsid w:val="00D06299"/>
    <w:rsid w:val="00D06F9E"/>
    <w:rsid w:val="00D1045D"/>
    <w:rsid w:val="00D11592"/>
    <w:rsid w:val="00D118E6"/>
    <w:rsid w:val="00D12800"/>
    <w:rsid w:val="00D133AA"/>
    <w:rsid w:val="00D139CC"/>
    <w:rsid w:val="00D13B0B"/>
    <w:rsid w:val="00D13CCF"/>
    <w:rsid w:val="00D14CF7"/>
    <w:rsid w:val="00D14DFC"/>
    <w:rsid w:val="00D15E67"/>
    <w:rsid w:val="00D164AE"/>
    <w:rsid w:val="00D16FFB"/>
    <w:rsid w:val="00D170A6"/>
    <w:rsid w:val="00D17443"/>
    <w:rsid w:val="00D20018"/>
    <w:rsid w:val="00D20632"/>
    <w:rsid w:val="00D206FA"/>
    <w:rsid w:val="00D20ABB"/>
    <w:rsid w:val="00D20DFD"/>
    <w:rsid w:val="00D2118F"/>
    <w:rsid w:val="00D2136B"/>
    <w:rsid w:val="00D215BA"/>
    <w:rsid w:val="00D21C32"/>
    <w:rsid w:val="00D23FF4"/>
    <w:rsid w:val="00D245B6"/>
    <w:rsid w:val="00D24AEE"/>
    <w:rsid w:val="00D2526C"/>
    <w:rsid w:val="00D259D5"/>
    <w:rsid w:val="00D261FB"/>
    <w:rsid w:val="00D2793C"/>
    <w:rsid w:val="00D27C2D"/>
    <w:rsid w:val="00D27F9D"/>
    <w:rsid w:val="00D3073E"/>
    <w:rsid w:val="00D30C44"/>
    <w:rsid w:val="00D31676"/>
    <w:rsid w:val="00D316C8"/>
    <w:rsid w:val="00D31DAD"/>
    <w:rsid w:val="00D3228C"/>
    <w:rsid w:val="00D32A1D"/>
    <w:rsid w:val="00D334EE"/>
    <w:rsid w:val="00D33513"/>
    <w:rsid w:val="00D337D5"/>
    <w:rsid w:val="00D339C7"/>
    <w:rsid w:val="00D34788"/>
    <w:rsid w:val="00D34817"/>
    <w:rsid w:val="00D35A97"/>
    <w:rsid w:val="00D365BB"/>
    <w:rsid w:val="00D371EF"/>
    <w:rsid w:val="00D37357"/>
    <w:rsid w:val="00D3795A"/>
    <w:rsid w:val="00D37AB5"/>
    <w:rsid w:val="00D40C74"/>
    <w:rsid w:val="00D41501"/>
    <w:rsid w:val="00D4173C"/>
    <w:rsid w:val="00D425DB"/>
    <w:rsid w:val="00D43282"/>
    <w:rsid w:val="00D43797"/>
    <w:rsid w:val="00D43EA4"/>
    <w:rsid w:val="00D44508"/>
    <w:rsid w:val="00D456CA"/>
    <w:rsid w:val="00D462B5"/>
    <w:rsid w:val="00D467B7"/>
    <w:rsid w:val="00D46B6F"/>
    <w:rsid w:val="00D47810"/>
    <w:rsid w:val="00D5128E"/>
    <w:rsid w:val="00D51C47"/>
    <w:rsid w:val="00D52F6B"/>
    <w:rsid w:val="00D52FD0"/>
    <w:rsid w:val="00D53017"/>
    <w:rsid w:val="00D53F14"/>
    <w:rsid w:val="00D54385"/>
    <w:rsid w:val="00D554FA"/>
    <w:rsid w:val="00D57012"/>
    <w:rsid w:val="00D575B8"/>
    <w:rsid w:val="00D601C9"/>
    <w:rsid w:val="00D608A1"/>
    <w:rsid w:val="00D61B5A"/>
    <w:rsid w:val="00D61C5E"/>
    <w:rsid w:val="00D620B5"/>
    <w:rsid w:val="00D6259C"/>
    <w:rsid w:val="00D625C9"/>
    <w:rsid w:val="00D62CFC"/>
    <w:rsid w:val="00D62ED7"/>
    <w:rsid w:val="00D63039"/>
    <w:rsid w:val="00D63461"/>
    <w:rsid w:val="00D638A5"/>
    <w:rsid w:val="00D63A28"/>
    <w:rsid w:val="00D63B91"/>
    <w:rsid w:val="00D64A4A"/>
    <w:rsid w:val="00D65B3B"/>
    <w:rsid w:val="00D6679C"/>
    <w:rsid w:val="00D66E31"/>
    <w:rsid w:val="00D70236"/>
    <w:rsid w:val="00D70EA9"/>
    <w:rsid w:val="00D71306"/>
    <w:rsid w:val="00D716D2"/>
    <w:rsid w:val="00D73325"/>
    <w:rsid w:val="00D73C6E"/>
    <w:rsid w:val="00D73CAB"/>
    <w:rsid w:val="00D73EE6"/>
    <w:rsid w:val="00D74138"/>
    <w:rsid w:val="00D742D2"/>
    <w:rsid w:val="00D744DC"/>
    <w:rsid w:val="00D75324"/>
    <w:rsid w:val="00D75748"/>
    <w:rsid w:val="00D75CF7"/>
    <w:rsid w:val="00D75F59"/>
    <w:rsid w:val="00D77455"/>
    <w:rsid w:val="00D776C3"/>
    <w:rsid w:val="00D80153"/>
    <w:rsid w:val="00D80FE7"/>
    <w:rsid w:val="00D81AC7"/>
    <w:rsid w:val="00D82035"/>
    <w:rsid w:val="00D82EEA"/>
    <w:rsid w:val="00D83668"/>
    <w:rsid w:val="00D8495C"/>
    <w:rsid w:val="00D84BE6"/>
    <w:rsid w:val="00D863DE"/>
    <w:rsid w:val="00D86737"/>
    <w:rsid w:val="00D8696A"/>
    <w:rsid w:val="00D86B9E"/>
    <w:rsid w:val="00D87815"/>
    <w:rsid w:val="00D9114A"/>
    <w:rsid w:val="00D9153B"/>
    <w:rsid w:val="00D923D8"/>
    <w:rsid w:val="00D9357F"/>
    <w:rsid w:val="00D9374A"/>
    <w:rsid w:val="00D94ACA"/>
    <w:rsid w:val="00D956DC"/>
    <w:rsid w:val="00D95903"/>
    <w:rsid w:val="00D95D78"/>
    <w:rsid w:val="00D9603C"/>
    <w:rsid w:val="00D961CD"/>
    <w:rsid w:val="00D97C2F"/>
    <w:rsid w:val="00DA0810"/>
    <w:rsid w:val="00DA118D"/>
    <w:rsid w:val="00DA11DA"/>
    <w:rsid w:val="00DA1705"/>
    <w:rsid w:val="00DA2C4F"/>
    <w:rsid w:val="00DA3F29"/>
    <w:rsid w:val="00DA3FCE"/>
    <w:rsid w:val="00DA52F3"/>
    <w:rsid w:val="00DA55B1"/>
    <w:rsid w:val="00DA56C5"/>
    <w:rsid w:val="00DA7077"/>
    <w:rsid w:val="00DB0D0C"/>
    <w:rsid w:val="00DB229F"/>
    <w:rsid w:val="00DB2431"/>
    <w:rsid w:val="00DB4203"/>
    <w:rsid w:val="00DB4AA0"/>
    <w:rsid w:val="00DB4FD8"/>
    <w:rsid w:val="00DB501E"/>
    <w:rsid w:val="00DB66E8"/>
    <w:rsid w:val="00DB6D69"/>
    <w:rsid w:val="00DB7C3B"/>
    <w:rsid w:val="00DB7CA1"/>
    <w:rsid w:val="00DB7EB8"/>
    <w:rsid w:val="00DC081B"/>
    <w:rsid w:val="00DC12FE"/>
    <w:rsid w:val="00DC25DA"/>
    <w:rsid w:val="00DC3D07"/>
    <w:rsid w:val="00DC3D70"/>
    <w:rsid w:val="00DC4920"/>
    <w:rsid w:val="00DC4B92"/>
    <w:rsid w:val="00DC5149"/>
    <w:rsid w:val="00DC5389"/>
    <w:rsid w:val="00DC5DE8"/>
    <w:rsid w:val="00DC6F48"/>
    <w:rsid w:val="00DC7A0F"/>
    <w:rsid w:val="00DD009E"/>
    <w:rsid w:val="00DD070F"/>
    <w:rsid w:val="00DD0A8C"/>
    <w:rsid w:val="00DD0FB8"/>
    <w:rsid w:val="00DD19B7"/>
    <w:rsid w:val="00DD1B88"/>
    <w:rsid w:val="00DD1F47"/>
    <w:rsid w:val="00DD2091"/>
    <w:rsid w:val="00DD293B"/>
    <w:rsid w:val="00DD2950"/>
    <w:rsid w:val="00DD2A5F"/>
    <w:rsid w:val="00DD30BF"/>
    <w:rsid w:val="00DD37F4"/>
    <w:rsid w:val="00DD3A8E"/>
    <w:rsid w:val="00DD3C08"/>
    <w:rsid w:val="00DD5F66"/>
    <w:rsid w:val="00DD6017"/>
    <w:rsid w:val="00DD6FFB"/>
    <w:rsid w:val="00DD7557"/>
    <w:rsid w:val="00DE0165"/>
    <w:rsid w:val="00DE0318"/>
    <w:rsid w:val="00DE0476"/>
    <w:rsid w:val="00DE0CD6"/>
    <w:rsid w:val="00DE1871"/>
    <w:rsid w:val="00DE28EE"/>
    <w:rsid w:val="00DE2AAC"/>
    <w:rsid w:val="00DE3458"/>
    <w:rsid w:val="00DE3795"/>
    <w:rsid w:val="00DE3DDB"/>
    <w:rsid w:val="00DE4296"/>
    <w:rsid w:val="00DE529A"/>
    <w:rsid w:val="00DE7674"/>
    <w:rsid w:val="00DE7992"/>
    <w:rsid w:val="00DF1125"/>
    <w:rsid w:val="00DF1801"/>
    <w:rsid w:val="00DF27AC"/>
    <w:rsid w:val="00DF27F9"/>
    <w:rsid w:val="00DF28E7"/>
    <w:rsid w:val="00DF31DA"/>
    <w:rsid w:val="00DF3883"/>
    <w:rsid w:val="00DF399A"/>
    <w:rsid w:val="00DF4696"/>
    <w:rsid w:val="00DF4DD9"/>
    <w:rsid w:val="00DF6195"/>
    <w:rsid w:val="00DF6280"/>
    <w:rsid w:val="00DF7B14"/>
    <w:rsid w:val="00DF7FD2"/>
    <w:rsid w:val="00E00009"/>
    <w:rsid w:val="00E01369"/>
    <w:rsid w:val="00E01577"/>
    <w:rsid w:val="00E0185E"/>
    <w:rsid w:val="00E01EF4"/>
    <w:rsid w:val="00E01F9A"/>
    <w:rsid w:val="00E02CF2"/>
    <w:rsid w:val="00E02E82"/>
    <w:rsid w:val="00E044F1"/>
    <w:rsid w:val="00E04947"/>
    <w:rsid w:val="00E04A3D"/>
    <w:rsid w:val="00E056DB"/>
    <w:rsid w:val="00E05A7F"/>
    <w:rsid w:val="00E069F7"/>
    <w:rsid w:val="00E06C35"/>
    <w:rsid w:val="00E06E7C"/>
    <w:rsid w:val="00E0710D"/>
    <w:rsid w:val="00E07EDC"/>
    <w:rsid w:val="00E07F71"/>
    <w:rsid w:val="00E1011D"/>
    <w:rsid w:val="00E112CD"/>
    <w:rsid w:val="00E114D8"/>
    <w:rsid w:val="00E13024"/>
    <w:rsid w:val="00E1347F"/>
    <w:rsid w:val="00E146C6"/>
    <w:rsid w:val="00E14CD0"/>
    <w:rsid w:val="00E15F19"/>
    <w:rsid w:val="00E160E2"/>
    <w:rsid w:val="00E1621B"/>
    <w:rsid w:val="00E173D6"/>
    <w:rsid w:val="00E17A41"/>
    <w:rsid w:val="00E2083E"/>
    <w:rsid w:val="00E20A78"/>
    <w:rsid w:val="00E21114"/>
    <w:rsid w:val="00E21915"/>
    <w:rsid w:val="00E2227C"/>
    <w:rsid w:val="00E22B84"/>
    <w:rsid w:val="00E237A7"/>
    <w:rsid w:val="00E23F6B"/>
    <w:rsid w:val="00E2534C"/>
    <w:rsid w:val="00E26045"/>
    <w:rsid w:val="00E26BDB"/>
    <w:rsid w:val="00E27304"/>
    <w:rsid w:val="00E27A14"/>
    <w:rsid w:val="00E30151"/>
    <w:rsid w:val="00E31174"/>
    <w:rsid w:val="00E3196C"/>
    <w:rsid w:val="00E337F5"/>
    <w:rsid w:val="00E33950"/>
    <w:rsid w:val="00E339E4"/>
    <w:rsid w:val="00E34AA4"/>
    <w:rsid w:val="00E34EBC"/>
    <w:rsid w:val="00E35E6F"/>
    <w:rsid w:val="00E363BE"/>
    <w:rsid w:val="00E365CC"/>
    <w:rsid w:val="00E36A38"/>
    <w:rsid w:val="00E37211"/>
    <w:rsid w:val="00E37848"/>
    <w:rsid w:val="00E4004A"/>
    <w:rsid w:val="00E402B2"/>
    <w:rsid w:val="00E4034D"/>
    <w:rsid w:val="00E404B3"/>
    <w:rsid w:val="00E40DE1"/>
    <w:rsid w:val="00E41CA7"/>
    <w:rsid w:val="00E41EE7"/>
    <w:rsid w:val="00E42035"/>
    <w:rsid w:val="00E42084"/>
    <w:rsid w:val="00E450F0"/>
    <w:rsid w:val="00E456E2"/>
    <w:rsid w:val="00E50F59"/>
    <w:rsid w:val="00E52C12"/>
    <w:rsid w:val="00E53166"/>
    <w:rsid w:val="00E533A0"/>
    <w:rsid w:val="00E538F2"/>
    <w:rsid w:val="00E54C88"/>
    <w:rsid w:val="00E54F3E"/>
    <w:rsid w:val="00E55808"/>
    <w:rsid w:val="00E559EA"/>
    <w:rsid w:val="00E5696D"/>
    <w:rsid w:val="00E56E45"/>
    <w:rsid w:val="00E572F6"/>
    <w:rsid w:val="00E5740F"/>
    <w:rsid w:val="00E57852"/>
    <w:rsid w:val="00E57D14"/>
    <w:rsid w:val="00E6112D"/>
    <w:rsid w:val="00E611AB"/>
    <w:rsid w:val="00E615A3"/>
    <w:rsid w:val="00E6161C"/>
    <w:rsid w:val="00E62132"/>
    <w:rsid w:val="00E6289D"/>
    <w:rsid w:val="00E62DEC"/>
    <w:rsid w:val="00E63233"/>
    <w:rsid w:val="00E64275"/>
    <w:rsid w:val="00E651BE"/>
    <w:rsid w:val="00E65F4E"/>
    <w:rsid w:val="00E65F8A"/>
    <w:rsid w:val="00E66B29"/>
    <w:rsid w:val="00E66ECB"/>
    <w:rsid w:val="00E67421"/>
    <w:rsid w:val="00E67486"/>
    <w:rsid w:val="00E6794A"/>
    <w:rsid w:val="00E70819"/>
    <w:rsid w:val="00E70BFF"/>
    <w:rsid w:val="00E7102C"/>
    <w:rsid w:val="00E714D6"/>
    <w:rsid w:val="00E71774"/>
    <w:rsid w:val="00E725BB"/>
    <w:rsid w:val="00E727CE"/>
    <w:rsid w:val="00E749E1"/>
    <w:rsid w:val="00E74A17"/>
    <w:rsid w:val="00E7579E"/>
    <w:rsid w:val="00E75B58"/>
    <w:rsid w:val="00E75D3A"/>
    <w:rsid w:val="00E7756C"/>
    <w:rsid w:val="00E8007A"/>
    <w:rsid w:val="00E80578"/>
    <w:rsid w:val="00E807A4"/>
    <w:rsid w:val="00E80B43"/>
    <w:rsid w:val="00E819B8"/>
    <w:rsid w:val="00E8329C"/>
    <w:rsid w:val="00E833CB"/>
    <w:rsid w:val="00E83408"/>
    <w:rsid w:val="00E83995"/>
    <w:rsid w:val="00E83BD3"/>
    <w:rsid w:val="00E83CBA"/>
    <w:rsid w:val="00E83D2E"/>
    <w:rsid w:val="00E83FB2"/>
    <w:rsid w:val="00E84DFA"/>
    <w:rsid w:val="00E84F25"/>
    <w:rsid w:val="00E8516D"/>
    <w:rsid w:val="00E86DAE"/>
    <w:rsid w:val="00E87FAA"/>
    <w:rsid w:val="00E90615"/>
    <w:rsid w:val="00E91FE0"/>
    <w:rsid w:val="00E92B67"/>
    <w:rsid w:val="00E93059"/>
    <w:rsid w:val="00E94835"/>
    <w:rsid w:val="00E94BE8"/>
    <w:rsid w:val="00E9542D"/>
    <w:rsid w:val="00E95AC2"/>
    <w:rsid w:val="00E95BCC"/>
    <w:rsid w:val="00E97167"/>
    <w:rsid w:val="00E97B45"/>
    <w:rsid w:val="00E97DBB"/>
    <w:rsid w:val="00EA0169"/>
    <w:rsid w:val="00EA0A7D"/>
    <w:rsid w:val="00EA3781"/>
    <w:rsid w:val="00EA3FFE"/>
    <w:rsid w:val="00EA5023"/>
    <w:rsid w:val="00EA6633"/>
    <w:rsid w:val="00EA6B24"/>
    <w:rsid w:val="00EA6E34"/>
    <w:rsid w:val="00EA7061"/>
    <w:rsid w:val="00EA723D"/>
    <w:rsid w:val="00EA7351"/>
    <w:rsid w:val="00EB13FE"/>
    <w:rsid w:val="00EB15C0"/>
    <w:rsid w:val="00EB2087"/>
    <w:rsid w:val="00EB254B"/>
    <w:rsid w:val="00EB3270"/>
    <w:rsid w:val="00EB3656"/>
    <w:rsid w:val="00EB39F1"/>
    <w:rsid w:val="00EB453B"/>
    <w:rsid w:val="00EB472E"/>
    <w:rsid w:val="00EB5434"/>
    <w:rsid w:val="00EB5D6C"/>
    <w:rsid w:val="00EB6971"/>
    <w:rsid w:val="00EB6A9B"/>
    <w:rsid w:val="00EB76D6"/>
    <w:rsid w:val="00EC0178"/>
    <w:rsid w:val="00EC033C"/>
    <w:rsid w:val="00EC049F"/>
    <w:rsid w:val="00EC0650"/>
    <w:rsid w:val="00EC1F68"/>
    <w:rsid w:val="00EC2FB5"/>
    <w:rsid w:val="00EC4480"/>
    <w:rsid w:val="00EC53AE"/>
    <w:rsid w:val="00EC603D"/>
    <w:rsid w:val="00EC7091"/>
    <w:rsid w:val="00EC7399"/>
    <w:rsid w:val="00EC739D"/>
    <w:rsid w:val="00EC7E12"/>
    <w:rsid w:val="00ED024E"/>
    <w:rsid w:val="00ED0696"/>
    <w:rsid w:val="00ED0ABE"/>
    <w:rsid w:val="00ED0C60"/>
    <w:rsid w:val="00ED0DDA"/>
    <w:rsid w:val="00ED190B"/>
    <w:rsid w:val="00ED194C"/>
    <w:rsid w:val="00ED2C26"/>
    <w:rsid w:val="00ED3898"/>
    <w:rsid w:val="00ED4A1C"/>
    <w:rsid w:val="00ED5EAA"/>
    <w:rsid w:val="00ED5EC2"/>
    <w:rsid w:val="00ED69F9"/>
    <w:rsid w:val="00EE0DF2"/>
    <w:rsid w:val="00EE11D9"/>
    <w:rsid w:val="00EE21DD"/>
    <w:rsid w:val="00EE29C0"/>
    <w:rsid w:val="00EE3796"/>
    <w:rsid w:val="00EE3A71"/>
    <w:rsid w:val="00EE56DF"/>
    <w:rsid w:val="00EF0452"/>
    <w:rsid w:val="00EF1376"/>
    <w:rsid w:val="00EF17A2"/>
    <w:rsid w:val="00EF1A24"/>
    <w:rsid w:val="00EF1BF1"/>
    <w:rsid w:val="00EF1E75"/>
    <w:rsid w:val="00EF1EA3"/>
    <w:rsid w:val="00EF29B9"/>
    <w:rsid w:val="00EF2FDB"/>
    <w:rsid w:val="00EF60BB"/>
    <w:rsid w:val="00EF71E1"/>
    <w:rsid w:val="00EF7566"/>
    <w:rsid w:val="00EF7B8D"/>
    <w:rsid w:val="00EF7DEE"/>
    <w:rsid w:val="00F00023"/>
    <w:rsid w:val="00F01BD5"/>
    <w:rsid w:val="00F0264E"/>
    <w:rsid w:val="00F05087"/>
    <w:rsid w:val="00F05661"/>
    <w:rsid w:val="00F05EAF"/>
    <w:rsid w:val="00F06D7C"/>
    <w:rsid w:val="00F07088"/>
    <w:rsid w:val="00F078F9"/>
    <w:rsid w:val="00F07E6D"/>
    <w:rsid w:val="00F1049D"/>
    <w:rsid w:val="00F10A3F"/>
    <w:rsid w:val="00F11460"/>
    <w:rsid w:val="00F1161D"/>
    <w:rsid w:val="00F117FD"/>
    <w:rsid w:val="00F119F0"/>
    <w:rsid w:val="00F121DE"/>
    <w:rsid w:val="00F12265"/>
    <w:rsid w:val="00F128C7"/>
    <w:rsid w:val="00F147FD"/>
    <w:rsid w:val="00F14A03"/>
    <w:rsid w:val="00F15FC1"/>
    <w:rsid w:val="00F1641B"/>
    <w:rsid w:val="00F16B58"/>
    <w:rsid w:val="00F17248"/>
    <w:rsid w:val="00F17762"/>
    <w:rsid w:val="00F178FC"/>
    <w:rsid w:val="00F179EF"/>
    <w:rsid w:val="00F2113F"/>
    <w:rsid w:val="00F214AC"/>
    <w:rsid w:val="00F21DC5"/>
    <w:rsid w:val="00F21EE2"/>
    <w:rsid w:val="00F22CF2"/>
    <w:rsid w:val="00F23C5A"/>
    <w:rsid w:val="00F23E91"/>
    <w:rsid w:val="00F26F21"/>
    <w:rsid w:val="00F277D4"/>
    <w:rsid w:val="00F27FEC"/>
    <w:rsid w:val="00F30394"/>
    <w:rsid w:val="00F30C66"/>
    <w:rsid w:val="00F31104"/>
    <w:rsid w:val="00F32599"/>
    <w:rsid w:val="00F34864"/>
    <w:rsid w:val="00F34E93"/>
    <w:rsid w:val="00F350FA"/>
    <w:rsid w:val="00F352D4"/>
    <w:rsid w:val="00F36303"/>
    <w:rsid w:val="00F3666F"/>
    <w:rsid w:val="00F36C78"/>
    <w:rsid w:val="00F404FA"/>
    <w:rsid w:val="00F409C7"/>
    <w:rsid w:val="00F412D8"/>
    <w:rsid w:val="00F41378"/>
    <w:rsid w:val="00F43298"/>
    <w:rsid w:val="00F437D3"/>
    <w:rsid w:val="00F44140"/>
    <w:rsid w:val="00F4474B"/>
    <w:rsid w:val="00F44A79"/>
    <w:rsid w:val="00F44EE2"/>
    <w:rsid w:val="00F45967"/>
    <w:rsid w:val="00F45C59"/>
    <w:rsid w:val="00F45E02"/>
    <w:rsid w:val="00F503EF"/>
    <w:rsid w:val="00F50B58"/>
    <w:rsid w:val="00F51263"/>
    <w:rsid w:val="00F513E5"/>
    <w:rsid w:val="00F5219B"/>
    <w:rsid w:val="00F526B0"/>
    <w:rsid w:val="00F53138"/>
    <w:rsid w:val="00F5342B"/>
    <w:rsid w:val="00F534C0"/>
    <w:rsid w:val="00F5398C"/>
    <w:rsid w:val="00F53EE4"/>
    <w:rsid w:val="00F54930"/>
    <w:rsid w:val="00F549B1"/>
    <w:rsid w:val="00F54D8C"/>
    <w:rsid w:val="00F5523B"/>
    <w:rsid w:val="00F560A2"/>
    <w:rsid w:val="00F571AC"/>
    <w:rsid w:val="00F579F0"/>
    <w:rsid w:val="00F57F95"/>
    <w:rsid w:val="00F60352"/>
    <w:rsid w:val="00F6190A"/>
    <w:rsid w:val="00F62287"/>
    <w:rsid w:val="00F62378"/>
    <w:rsid w:val="00F623B6"/>
    <w:rsid w:val="00F6280F"/>
    <w:rsid w:val="00F62819"/>
    <w:rsid w:val="00F62824"/>
    <w:rsid w:val="00F6336F"/>
    <w:rsid w:val="00F6394B"/>
    <w:rsid w:val="00F64938"/>
    <w:rsid w:val="00F65D5F"/>
    <w:rsid w:val="00F6608E"/>
    <w:rsid w:val="00F70823"/>
    <w:rsid w:val="00F708D9"/>
    <w:rsid w:val="00F71BA7"/>
    <w:rsid w:val="00F720FB"/>
    <w:rsid w:val="00F72BD7"/>
    <w:rsid w:val="00F7496B"/>
    <w:rsid w:val="00F74A8C"/>
    <w:rsid w:val="00F7796F"/>
    <w:rsid w:val="00F77F0E"/>
    <w:rsid w:val="00F80602"/>
    <w:rsid w:val="00F81376"/>
    <w:rsid w:val="00F81923"/>
    <w:rsid w:val="00F82030"/>
    <w:rsid w:val="00F8206C"/>
    <w:rsid w:val="00F824ED"/>
    <w:rsid w:val="00F829A1"/>
    <w:rsid w:val="00F84A09"/>
    <w:rsid w:val="00F84C20"/>
    <w:rsid w:val="00F85609"/>
    <w:rsid w:val="00F9006B"/>
    <w:rsid w:val="00F90782"/>
    <w:rsid w:val="00F90912"/>
    <w:rsid w:val="00F91960"/>
    <w:rsid w:val="00F92112"/>
    <w:rsid w:val="00F921ED"/>
    <w:rsid w:val="00F9230A"/>
    <w:rsid w:val="00F92366"/>
    <w:rsid w:val="00F92753"/>
    <w:rsid w:val="00F9598E"/>
    <w:rsid w:val="00F95AD4"/>
    <w:rsid w:val="00F961CC"/>
    <w:rsid w:val="00F963F7"/>
    <w:rsid w:val="00F96B32"/>
    <w:rsid w:val="00F9735A"/>
    <w:rsid w:val="00FA092F"/>
    <w:rsid w:val="00FA18D7"/>
    <w:rsid w:val="00FA1A2F"/>
    <w:rsid w:val="00FA2849"/>
    <w:rsid w:val="00FA3412"/>
    <w:rsid w:val="00FA42F4"/>
    <w:rsid w:val="00FA496F"/>
    <w:rsid w:val="00FA4FEC"/>
    <w:rsid w:val="00FA5315"/>
    <w:rsid w:val="00FA6175"/>
    <w:rsid w:val="00FA6803"/>
    <w:rsid w:val="00FB03B2"/>
    <w:rsid w:val="00FB0730"/>
    <w:rsid w:val="00FB0BC1"/>
    <w:rsid w:val="00FB14A0"/>
    <w:rsid w:val="00FB178E"/>
    <w:rsid w:val="00FB2585"/>
    <w:rsid w:val="00FB26FE"/>
    <w:rsid w:val="00FB273D"/>
    <w:rsid w:val="00FB2D07"/>
    <w:rsid w:val="00FB2DB5"/>
    <w:rsid w:val="00FB4E4A"/>
    <w:rsid w:val="00FB4F0F"/>
    <w:rsid w:val="00FB55E0"/>
    <w:rsid w:val="00FB5E6C"/>
    <w:rsid w:val="00FB61A0"/>
    <w:rsid w:val="00FB6D3A"/>
    <w:rsid w:val="00FB74C3"/>
    <w:rsid w:val="00FB7924"/>
    <w:rsid w:val="00FB7F35"/>
    <w:rsid w:val="00FC04F5"/>
    <w:rsid w:val="00FC08DB"/>
    <w:rsid w:val="00FC11D6"/>
    <w:rsid w:val="00FC19EF"/>
    <w:rsid w:val="00FC2D07"/>
    <w:rsid w:val="00FC48DD"/>
    <w:rsid w:val="00FC5128"/>
    <w:rsid w:val="00FC52B5"/>
    <w:rsid w:val="00FC569E"/>
    <w:rsid w:val="00FC5FC5"/>
    <w:rsid w:val="00FC67E5"/>
    <w:rsid w:val="00FC6BFF"/>
    <w:rsid w:val="00FC7530"/>
    <w:rsid w:val="00FC7563"/>
    <w:rsid w:val="00FC79F3"/>
    <w:rsid w:val="00FC7BAA"/>
    <w:rsid w:val="00FD01BC"/>
    <w:rsid w:val="00FD04EB"/>
    <w:rsid w:val="00FD1036"/>
    <w:rsid w:val="00FD131D"/>
    <w:rsid w:val="00FD5177"/>
    <w:rsid w:val="00FD57B3"/>
    <w:rsid w:val="00FD5B4C"/>
    <w:rsid w:val="00FE203E"/>
    <w:rsid w:val="00FE35E1"/>
    <w:rsid w:val="00FE37FE"/>
    <w:rsid w:val="00FE38F9"/>
    <w:rsid w:val="00FE3BFC"/>
    <w:rsid w:val="00FE467E"/>
    <w:rsid w:val="00FE6262"/>
    <w:rsid w:val="00FE6D86"/>
    <w:rsid w:val="00FE7198"/>
    <w:rsid w:val="00FF0A7E"/>
    <w:rsid w:val="00FF0DA7"/>
    <w:rsid w:val="00FF173B"/>
    <w:rsid w:val="00FF3276"/>
    <w:rsid w:val="00FF426D"/>
    <w:rsid w:val="00FF43CF"/>
    <w:rsid w:val="00FF45AF"/>
    <w:rsid w:val="00FF5918"/>
    <w:rsid w:val="00FF5A77"/>
    <w:rsid w:val="00FF5B26"/>
    <w:rsid w:val="00FF792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1578839"/>
  <w15:docId w15:val="{2C47EAC6-10D3-4EF8-9919-E6FBAA39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locked="1" w:qFormat="1"/>
    <w:lsdException w:name="heading 1" w:locked="1" w:qFormat="1"/>
    <w:lsdException w:name="heading 2" w:lock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iPriority="99" w:unhideWhenUsed="1"/>
    <w:lsdException w:name="header" w:semiHidden="1" w:uiPriority="99" w:unhideWhenUsed="1"/>
    <w:lsdException w:name="footer" w:locked="1"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9153B"/>
  </w:style>
  <w:style w:type="paragraph" w:styleId="Heading1">
    <w:name w:val="heading 1"/>
    <w:basedOn w:val="Normal"/>
    <w:next w:val="Normal"/>
    <w:link w:val="Heading1Char"/>
    <w:qFormat/>
    <w:rsid w:val="00D9153B"/>
    <w:pPr>
      <w:keepNext/>
      <w:widowControl w:val="0"/>
      <w:suppressAutoHyphens/>
      <w:outlineLvl w:val="0"/>
    </w:pPr>
    <w:rPr>
      <w:rFonts w:ascii="Courier" w:hAnsi="Courier"/>
      <w:b/>
      <w:spacing w:val="-3"/>
      <w:sz w:val="28"/>
    </w:rPr>
  </w:style>
  <w:style w:type="paragraph" w:styleId="Heading2">
    <w:name w:val="heading 2"/>
    <w:basedOn w:val="Normal"/>
    <w:next w:val="Normal"/>
    <w:link w:val="Heading2Char"/>
    <w:qFormat/>
    <w:rsid w:val="00D9153B"/>
    <w:pPr>
      <w:keepNext/>
      <w:jc w:val="center"/>
      <w:outlineLvl w:val="1"/>
    </w:pPr>
    <w:rPr>
      <w:rFonts w:ascii="Arial" w:hAnsi="Arial"/>
      <w:b/>
      <w:sz w:val="28"/>
    </w:rPr>
  </w:style>
  <w:style w:type="paragraph" w:styleId="Heading4">
    <w:name w:val="heading 4"/>
    <w:basedOn w:val="Normal"/>
    <w:next w:val="Normal"/>
    <w:qFormat/>
    <w:rsid w:val="00D9153B"/>
    <w:pPr>
      <w:keepNext/>
      <w:outlineLvl w:val="3"/>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9153B"/>
    <w:pPr>
      <w:widowControl w:val="0"/>
      <w:tabs>
        <w:tab w:val="center" w:pos="4320"/>
        <w:tab w:val="right" w:pos="8640"/>
      </w:tabs>
    </w:pPr>
    <w:rPr>
      <w:rFonts w:ascii="Courier" w:hAnsi="Courier"/>
      <w:sz w:val="22"/>
    </w:rPr>
  </w:style>
  <w:style w:type="paragraph" w:styleId="FootnoteText">
    <w:name w:val="footnote text"/>
    <w:aliases w:val="Lábjegyzet-szöveg, Tegn1, Tegn1 Char, Char Char Char,Footnote Text Char1 Char,Footnote Text Char2 Char Char,Footnote Text Char Char2 Char Char,Footnote Text Char1 Char Char Char,Footnote Text Char Char Char Char Char,ft,Podrozdział,Char,fn"/>
    <w:basedOn w:val="Normal"/>
    <w:link w:val="FootnoteTextChar"/>
    <w:uiPriority w:val="99"/>
    <w:qFormat/>
    <w:rsid w:val="00D9153B"/>
    <w:pPr>
      <w:widowControl w:val="0"/>
    </w:pPr>
    <w:rPr>
      <w:rFonts w:ascii="Courier" w:hAnsi="Courier"/>
    </w:rPr>
  </w:style>
  <w:style w:type="paragraph" w:styleId="Subtitle">
    <w:name w:val="Subtitle"/>
    <w:basedOn w:val="Normal"/>
    <w:link w:val="SubtitleChar"/>
    <w:qFormat/>
    <w:rsid w:val="00D9153B"/>
    <w:pPr>
      <w:spacing w:after="60"/>
      <w:jc w:val="center"/>
      <w:outlineLvl w:val="1"/>
    </w:pPr>
    <w:rPr>
      <w:rFonts w:ascii="Arial" w:hAnsi="Arial" w:cs="Arial"/>
      <w:sz w:val="24"/>
      <w:szCs w:val="24"/>
    </w:rPr>
  </w:style>
  <w:style w:type="character" w:styleId="FootnoteReference">
    <w:name w:val="footnote reference"/>
    <w:aliases w:val="ftref,Footnote Reference Superscript,BVI fnr,16 Point,Superscript 6 Point,Footnote Reference Char Char Char,Carattere Char Carattere Carattere Char Carattere Char Carattere Char Char Char1 Char,4_G,RSC_WP (footnote reference),16 Poin"/>
    <w:link w:val="Char2"/>
    <w:uiPriority w:val="99"/>
    <w:qFormat/>
    <w:rsid w:val="00D9153B"/>
    <w:rPr>
      <w:rFonts w:cs="Times New Roman"/>
      <w:vertAlign w:val="superscript"/>
    </w:rPr>
  </w:style>
  <w:style w:type="paragraph" w:styleId="Footer">
    <w:name w:val="footer"/>
    <w:basedOn w:val="Normal"/>
    <w:link w:val="FooterChar"/>
    <w:uiPriority w:val="99"/>
    <w:rsid w:val="00D9153B"/>
    <w:pPr>
      <w:tabs>
        <w:tab w:val="center" w:pos="4320"/>
        <w:tab w:val="right" w:pos="8640"/>
      </w:tabs>
    </w:pPr>
  </w:style>
  <w:style w:type="paragraph" w:customStyle="1" w:styleId="HCh">
    <w:name w:val="_ H _Ch"/>
    <w:basedOn w:val="Normal"/>
    <w:next w:val="Normal"/>
    <w:rsid w:val="00D9153B"/>
    <w:pPr>
      <w:keepNext/>
      <w:keepLines/>
      <w:suppressAutoHyphens/>
      <w:spacing w:line="300" w:lineRule="exact"/>
      <w:outlineLvl w:val="0"/>
    </w:pPr>
    <w:rPr>
      <w:b/>
      <w:spacing w:val="-2"/>
      <w:w w:val="103"/>
      <w:kern w:val="14"/>
      <w:sz w:val="28"/>
      <w:lang w:val="en-GB"/>
    </w:rPr>
  </w:style>
  <w:style w:type="paragraph" w:customStyle="1" w:styleId="SingleTxt">
    <w:name w:val="__Single Txt"/>
    <w:basedOn w:val="Normal"/>
    <w:rsid w:val="00D9153B"/>
    <w:pPr>
      <w:tabs>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after="120" w:line="240" w:lineRule="exact"/>
      <w:ind w:left="1267" w:right="1267"/>
      <w:jc w:val="both"/>
    </w:pPr>
    <w:rPr>
      <w:spacing w:val="4"/>
      <w:w w:val="103"/>
      <w:kern w:val="14"/>
      <w:lang w:val="en-GB"/>
    </w:rPr>
  </w:style>
  <w:style w:type="paragraph" w:customStyle="1" w:styleId="XLarge">
    <w:name w:val="XLarge"/>
    <w:basedOn w:val="Normal"/>
    <w:rsid w:val="00D9153B"/>
    <w:pPr>
      <w:keepNext/>
      <w:keepLines/>
      <w:tabs>
        <w:tab w:val="right" w:leader="dot" w:pos="360"/>
      </w:tabs>
      <w:suppressAutoHyphens/>
      <w:spacing w:line="390" w:lineRule="exact"/>
      <w:outlineLvl w:val="0"/>
    </w:pPr>
    <w:rPr>
      <w:b/>
      <w:spacing w:val="-4"/>
      <w:w w:val="98"/>
      <w:kern w:val="14"/>
      <w:sz w:val="40"/>
      <w:lang w:val="en-GB"/>
    </w:rPr>
  </w:style>
  <w:style w:type="paragraph" w:styleId="BalloonText">
    <w:name w:val="Balloon Text"/>
    <w:basedOn w:val="Normal"/>
    <w:semiHidden/>
    <w:rsid w:val="005D4084"/>
    <w:rPr>
      <w:rFonts w:ascii="Tahoma" w:hAnsi="Tahoma" w:cs="Tahoma"/>
      <w:sz w:val="16"/>
      <w:szCs w:val="16"/>
    </w:rPr>
  </w:style>
  <w:style w:type="character" w:styleId="Hyperlink">
    <w:name w:val="Hyperlink"/>
    <w:uiPriority w:val="99"/>
    <w:rsid w:val="0079421C"/>
    <w:rPr>
      <w:rFonts w:cs="Times New Roman"/>
      <w:color w:val="336699"/>
      <w:u w:val="none"/>
      <w:effect w:val="none"/>
    </w:rPr>
  </w:style>
  <w:style w:type="paragraph" w:styleId="ListParagraph">
    <w:name w:val="List Paragraph"/>
    <w:aliases w:val="Bullets,List Paragraph1,List Paragraph (numbered (a)),Akapit z listą BS,WB Para,Lapis Bulleted List,Dot pt,F5 List Paragraph,No Spacing1,List Paragraph Char Char Char,Indicator Text,Numbered Para 1,Bullet 1,List Paragraph12,Bullet Points"/>
    <w:basedOn w:val="Normal"/>
    <w:link w:val="ListParagraphChar"/>
    <w:uiPriority w:val="34"/>
    <w:qFormat/>
    <w:rsid w:val="00896815"/>
    <w:pPr>
      <w:ind w:left="720"/>
    </w:pPr>
  </w:style>
  <w:style w:type="paragraph" w:styleId="DocumentMap">
    <w:name w:val="Document Map"/>
    <w:basedOn w:val="Normal"/>
    <w:link w:val="DocumentMapChar"/>
    <w:semiHidden/>
    <w:rsid w:val="00993912"/>
    <w:rPr>
      <w:rFonts w:ascii="Tahoma" w:hAnsi="Tahoma"/>
      <w:sz w:val="16"/>
      <w:szCs w:val="16"/>
    </w:rPr>
  </w:style>
  <w:style w:type="character" w:customStyle="1" w:styleId="DocumentMapChar">
    <w:name w:val="Document Map Char"/>
    <w:link w:val="DocumentMap"/>
    <w:locked/>
    <w:rsid w:val="00993912"/>
    <w:rPr>
      <w:rFonts w:ascii="Tahoma" w:hAnsi="Tahoma" w:cs="Tahoma"/>
      <w:sz w:val="16"/>
      <w:szCs w:val="16"/>
    </w:rPr>
  </w:style>
  <w:style w:type="character" w:styleId="CommentReference">
    <w:name w:val="annotation reference"/>
    <w:uiPriority w:val="99"/>
    <w:semiHidden/>
    <w:rsid w:val="00400E4A"/>
    <w:rPr>
      <w:rFonts w:cs="Times New Roman"/>
      <w:sz w:val="6"/>
      <w:szCs w:val="6"/>
    </w:rPr>
  </w:style>
  <w:style w:type="character" w:customStyle="1" w:styleId="FooterChar">
    <w:name w:val="Footer Char"/>
    <w:link w:val="Footer"/>
    <w:uiPriority w:val="99"/>
    <w:locked/>
    <w:rsid w:val="005841A3"/>
    <w:rPr>
      <w:rFonts w:cs="Times New Roman"/>
    </w:rPr>
  </w:style>
  <w:style w:type="paragraph" w:styleId="CommentText">
    <w:name w:val="annotation text"/>
    <w:basedOn w:val="Normal"/>
    <w:link w:val="CommentTextChar"/>
    <w:uiPriority w:val="99"/>
    <w:rsid w:val="008543F5"/>
  </w:style>
  <w:style w:type="character" w:customStyle="1" w:styleId="CommentTextChar">
    <w:name w:val="Comment Text Char"/>
    <w:basedOn w:val="DefaultParagraphFont"/>
    <w:link w:val="CommentText"/>
    <w:uiPriority w:val="99"/>
    <w:rsid w:val="008543F5"/>
  </w:style>
  <w:style w:type="paragraph" w:styleId="CommentSubject">
    <w:name w:val="annotation subject"/>
    <w:basedOn w:val="CommentText"/>
    <w:next w:val="CommentText"/>
    <w:link w:val="CommentSubjectChar"/>
    <w:rsid w:val="008543F5"/>
    <w:rPr>
      <w:b/>
      <w:bCs/>
    </w:rPr>
  </w:style>
  <w:style w:type="character" w:customStyle="1" w:styleId="CommentSubjectChar">
    <w:name w:val="Comment Subject Char"/>
    <w:link w:val="CommentSubject"/>
    <w:rsid w:val="008543F5"/>
    <w:rPr>
      <w:b/>
      <w:bCs/>
    </w:rPr>
  </w:style>
  <w:style w:type="character" w:customStyle="1" w:styleId="Heading1Char">
    <w:name w:val="Heading 1 Char"/>
    <w:link w:val="Heading1"/>
    <w:rsid w:val="001D42D1"/>
    <w:rPr>
      <w:rFonts w:ascii="Courier" w:hAnsi="Courier"/>
      <w:b/>
      <w:spacing w:val="-3"/>
      <w:sz w:val="28"/>
    </w:rPr>
  </w:style>
  <w:style w:type="character" w:customStyle="1" w:styleId="HeaderChar">
    <w:name w:val="Header Char"/>
    <w:link w:val="Header"/>
    <w:uiPriority w:val="99"/>
    <w:rsid w:val="00852876"/>
    <w:rPr>
      <w:rFonts w:ascii="Courier" w:hAnsi="Courier"/>
      <w:sz w:val="22"/>
    </w:rPr>
  </w:style>
  <w:style w:type="character" w:styleId="PageNumber">
    <w:name w:val="page number"/>
    <w:basedOn w:val="DefaultParagraphFont"/>
    <w:semiHidden/>
    <w:rsid w:val="00D6679C"/>
  </w:style>
  <w:style w:type="character" w:customStyle="1" w:styleId="SubtitleChar">
    <w:name w:val="Subtitle Char"/>
    <w:basedOn w:val="DefaultParagraphFont"/>
    <w:link w:val="Subtitle"/>
    <w:rsid w:val="00D6679C"/>
    <w:rPr>
      <w:rFonts w:ascii="Arial" w:hAnsi="Arial" w:cs="Arial"/>
      <w:sz w:val="24"/>
      <w:szCs w:val="24"/>
      <w:lang w:val="en-US" w:eastAsia="en-US"/>
    </w:rPr>
  </w:style>
  <w:style w:type="paragraph" w:styleId="BodyText">
    <w:name w:val="Body Text"/>
    <w:basedOn w:val="Normal"/>
    <w:link w:val="BodyTextChar"/>
    <w:semiHidden/>
    <w:rsid w:val="00D6679C"/>
    <w:rPr>
      <w:b/>
      <w:bCs/>
      <w:sz w:val="24"/>
    </w:rPr>
  </w:style>
  <w:style w:type="character" w:customStyle="1" w:styleId="BodyTextChar">
    <w:name w:val="Body Text Char"/>
    <w:basedOn w:val="DefaultParagraphFont"/>
    <w:link w:val="BodyText"/>
    <w:semiHidden/>
    <w:rsid w:val="00D6679C"/>
    <w:rPr>
      <w:b/>
      <w:bCs/>
      <w:sz w:val="24"/>
      <w:lang w:val="en-US" w:eastAsia="en-US"/>
    </w:rPr>
  </w:style>
  <w:style w:type="paragraph" w:styleId="BodyText2">
    <w:name w:val="Body Text 2"/>
    <w:basedOn w:val="Normal"/>
    <w:link w:val="BodyText2Char"/>
    <w:semiHidden/>
    <w:rsid w:val="00D6679C"/>
    <w:rPr>
      <w:sz w:val="24"/>
    </w:rPr>
  </w:style>
  <w:style w:type="character" w:customStyle="1" w:styleId="BodyText2Char">
    <w:name w:val="Body Text 2 Char"/>
    <w:basedOn w:val="DefaultParagraphFont"/>
    <w:link w:val="BodyText2"/>
    <w:semiHidden/>
    <w:rsid w:val="00D6679C"/>
    <w:rPr>
      <w:sz w:val="24"/>
      <w:lang w:val="en-US" w:eastAsia="en-US"/>
    </w:rPr>
  </w:style>
  <w:style w:type="paragraph" w:styleId="BodyText3">
    <w:name w:val="Body Text 3"/>
    <w:basedOn w:val="Normal"/>
    <w:link w:val="BodyText3Char"/>
    <w:semiHidden/>
    <w:rsid w:val="00D6679C"/>
    <w:pPr>
      <w:tabs>
        <w:tab w:val="left" w:pos="-720"/>
        <w:tab w:val="left" w:pos="0"/>
        <w:tab w:val="left" w:pos="607"/>
        <w:tab w:val="left" w:pos="1180"/>
        <w:tab w:val="left" w:pos="1411"/>
        <w:tab w:val="left" w:pos="2116"/>
        <w:tab w:val="left" w:pos="2822"/>
        <w:tab w:val="left" w:pos="3528"/>
        <w:tab w:val="left" w:pos="4233"/>
        <w:tab w:val="left" w:pos="4939"/>
        <w:tab w:val="left" w:pos="5762"/>
        <w:tab w:val="left" w:pos="6468"/>
        <w:tab w:val="left" w:pos="7173"/>
        <w:tab w:val="left" w:pos="7879"/>
        <w:tab w:val="left" w:pos="8584"/>
        <w:tab w:val="left" w:pos="9290"/>
        <w:tab w:val="left" w:pos="9996"/>
        <w:tab w:val="left" w:pos="10701"/>
        <w:tab w:val="left" w:pos="11407"/>
      </w:tabs>
      <w:suppressAutoHyphens/>
      <w:jc w:val="both"/>
    </w:pPr>
    <w:rPr>
      <w:sz w:val="24"/>
    </w:rPr>
  </w:style>
  <w:style w:type="character" w:customStyle="1" w:styleId="BodyText3Char">
    <w:name w:val="Body Text 3 Char"/>
    <w:basedOn w:val="DefaultParagraphFont"/>
    <w:link w:val="BodyText3"/>
    <w:semiHidden/>
    <w:rsid w:val="00D6679C"/>
    <w:rPr>
      <w:sz w:val="24"/>
      <w:lang w:val="en-US" w:eastAsia="en-US"/>
    </w:rPr>
  </w:style>
  <w:style w:type="character" w:customStyle="1" w:styleId="FootnoteTextChar">
    <w:name w:val="Footnote Text Char"/>
    <w:aliases w:val="Lábjegyzet-szöveg Char, Tegn1 Char1, Tegn1 Char Char, Char Char Char Char,Footnote Text Char1 Char Char,Footnote Text Char2 Char Char Char,Footnote Text Char Char2 Char Char Char,Footnote Text Char1 Char Char Char Char,ft Char,fn Char"/>
    <w:basedOn w:val="DefaultParagraphFont"/>
    <w:link w:val="FootnoteText"/>
    <w:uiPriority w:val="99"/>
    <w:rsid w:val="00D6679C"/>
    <w:rPr>
      <w:rFonts w:ascii="Courier" w:hAnsi="Courier"/>
      <w:lang w:val="en-US" w:eastAsia="en-US"/>
    </w:rPr>
  </w:style>
  <w:style w:type="paragraph" w:styleId="NoSpacing">
    <w:name w:val="No Spacing"/>
    <w:link w:val="NoSpacingChar"/>
    <w:uiPriority w:val="99"/>
    <w:qFormat/>
    <w:rsid w:val="005C7E5C"/>
    <w:rPr>
      <w:rFonts w:ascii="Calibri" w:eastAsia="SimSun" w:hAnsi="Calibri"/>
      <w:sz w:val="22"/>
      <w:szCs w:val="22"/>
    </w:rPr>
  </w:style>
  <w:style w:type="paragraph" w:customStyle="1" w:styleId="Char2">
    <w:name w:val="Char2"/>
    <w:basedOn w:val="Normal"/>
    <w:link w:val="FootnoteReference"/>
    <w:uiPriority w:val="99"/>
    <w:rsid w:val="005C7E5C"/>
    <w:pPr>
      <w:spacing w:after="160" w:line="240" w:lineRule="exact"/>
    </w:pPr>
    <w:rPr>
      <w:vertAlign w:val="superscript"/>
    </w:rPr>
  </w:style>
  <w:style w:type="paragraph" w:customStyle="1" w:styleId="Default">
    <w:name w:val="Default"/>
    <w:rsid w:val="005C7E5C"/>
    <w:pPr>
      <w:autoSpaceDE w:val="0"/>
      <w:autoSpaceDN w:val="0"/>
      <w:adjustRightInd w:val="0"/>
    </w:pPr>
    <w:rPr>
      <w:rFonts w:ascii="Calibri" w:eastAsia="SimSun" w:hAnsi="Calibri" w:cs="Calibri"/>
      <w:color w:val="000000"/>
      <w:sz w:val="24"/>
      <w:szCs w:val="24"/>
    </w:rPr>
  </w:style>
  <w:style w:type="character" w:customStyle="1" w:styleId="ListParagraphChar">
    <w:name w:val="List Paragraph Char"/>
    <w:aliases w:val="Bullets Char,List Paragraph1 Char,List Paragraph (numbered (a)) Char,Akapit z listą BS Char,WB Para Char,Lapis Bulleted List Char,Dot pt Char,F5 List Paragraph Char,No Spacing1 Char,List Paragraph Char Char Char Char,Bullet 1 Char"/>
    <w:basedOn w:val="DefaultParagraphFont"/>
    <w:link w:val="ListParagraph"/>
    <w:uiPriority w:val="34"/>
    <w:qFormat/>
    <w:rsid w:val="005C7E5C"/>
    <w:rPr>
      <w:lang w:val="en-US" w:eastAsia="en-US"/>
    </w:rPr>
  </w:style>
  <w:style w:type="table" w:styleId="TableGrid">
    <w:name w:val="Table Grid"/>
    <w:basedOn w:val="TableNormal"/>
    <w:uiPriority w:val="59"/>
    <w:rsid w:val="000301CD"/>
    <w:rPr>
      <w:rFonts w:ascii="Calibri" w:eastAsia="SimSun" w:hAnsi="Calibr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locked/>
    <w:rsid w:val="00693A76"/>
    <w:pPr>
      <w:pBdr>
        <w:bottom w:val="single" w:sz="8" w:space="4" w:color="4F81BD"/>
      </w:pBdr>
      <w:spacing w:after="300"/>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rsid w:val="00693A76"/>
    <w:rPr>
      <w:rFonts w:ascii="Cambria" w:eastAsia="SimSun" w:hAnsi="Cambria" w:cs="Times New Roman"/>
      <w:color w:val="17365D"/>
      <w:spacing w:val="5"/>
      <w:kern w:val="28"/>
      <w:sz w:val="52"/>
      <w:szCs w:val="52"/>
      <w:lang w:val="en-US" w:eastAsia="en-US"/>
    </w:rPr>
  </w:style>
  <w:style w:type="character" w:customStyle="1" w:styleId="NoSpacingChar">
    <w:name w:val="No Spacing Char"/>
    <w:basedOn w:val="DefaultParagraphFont"/>
    <w:link w:val="NoSpacing"/>
    <w:uiPriority w:val="99"/>
    <w:locked/>
    <w:rsid w:val="00A102D4"/>
    <w:rPr>
      <w:rFonts w:ascii="Calibri" w:eastAsia="SimSun" w:hAnsi="Calibri"/>
      <w:sz w:val="22"/>
      <w:szCs w:val="22"/>
      <w:lang w:val="en-US" w:eastAsia="en-US" w:bidi="ar-SA"/>
    </w:rPr>
  </w:style>
  <w:style w:type="character" w:styleId="FollowedHyperlink">
    <w:name w:val="FollowedHyperlink"/>
    <w:basedOn w:val="DefaultParagraphFont"/>
    <w:semiHidden/>
    <w:unhideWhenUsed/>
    <w:rsid w:val="00325C30"/>
    <w:rPr>
      <w:color w:val="800080"/>
      <w:u w:val="single"/>
    </w:rPr>
  </w:style>
  <w:style w:type="character" w:customStyle="1" w:styleId="Heading2Char">
    <w:name w:val="Heading 2 Char"/>
    <w:basedOn w:val="DefaultParagraphFont"/>
    <w:link w:val="Heading2"/>
    <w:rsid w:val="00CA21C5"/>
    <w:rPr>
      <w:rFonts w:ascii="Arial" w:hAnsi="Arial"/>
      <w:b/>
      <w:sz w:val="28"/>
      <w:lang w:val="en-US" w:eastAsia="en-US"/>
    </w:rPr>
  </w:style>
  <w:style w:type="paragraph" w:customStyle="1" w:styleId="BVIfnrCharCharCharCharCharCharCharZchnCharCharCharCharCharChar">
    <w:name w:val="BVI fnr Char Char Char Char Char Char Char Zchn Char Char Char Char Char Char"/>
    <w:aliases w:val="ftref Char,Footnote Reference Char,ftref Char Char Char,BVI fnr Char,16 Point Char,Superscript 6 Point Char,Footnotes refss Char,Footnote Reference Number Char"/>
    <w:basedOn w:val="Normal"/>
    <w:uiPriority w:val="99"/>
    <w:rsid w:val="00FB61A0"/>
    <w:pPr>
      <w:spacing w:after="160" w:line="240" w:lineRule="exact"/>
    </w:pPr>
    <w:rPr>
      <w:vertAlign w:val="superscript"/>
    </w:rPr>
  </w:style>
  <w:style w:type="paragraph" w:customStyle="1" w:styleId="Pasus1">
    <w:name w:val="Pasus1"/>
    <w:basedOn w:val="Normal"/>
    <w:qFormat/>
    <w:rsid w:val="00FB61A0"/>
    <w:pPr>
      <w:spacing w:before="120" w:after="120"/>
    </w:pPr>
    <w:rPr>
      <w:rFonts w:ascii="Candara" w:hAnsi="Candara"/>
      <w:sz w:val="22"/>
      <w:szCs w:val="22"/>
    </w:rPr>
  </w:style>
  <w:style w:type="character" w:customStyle="1" w:styleId="roarvalidationrule">
    <w:name w:val="roar_validationrule"/>
    <w:basedOn w:val="DefaultParagraphFont"/>
    <w:rsid w:val="00CA4276"/>
  </w:style>
  <w:style w:type="character" w:styleId="HTMLCite">
    <w:name w:val="HTML Cite"/>
    <w:uiPriority w:val="99"/>
    <w:semiHidden/>
    <w:unhideWhenUsed/>
    <w:rsid w:val="00CA4276"/>
    <w:rPr>
      <w:i/>
      <w:iCs/>
    </w:rPr>
  </w:style>
  <w:style w:type="paragraph" w:styleId="NormalWeb">
    <w:name w:val="Normal (Web)"/>
    <w:basedOn w:val="Normal"/>
    <w:uiPriority w:val="99"/>
    <w:semiHidden/>
    <w:unhideWhenUsed/>
    <w:rsid w:val="00410B25"/>
    <w:pPr>
      <w:spacing w:before="100" w:beforeAutospacing="1" w:after="100" w:afterAutospacing="1"/>
    </w:pPr>
    <w:rPr>
      <w:sz w:val="24"/>
      <w:szCs w:val="24"/>
    </w:rPr>
  </w:style>
  <w:style w:type="character" w:customStyle="1" w:styleId="hps">
    <w:name w:val="hps"/>
    <w:basedOn w:val="DefaultParagraphFont"/>
    <w:rsid w:val="005559BC"/>
  </w:style>
  <w:style w:type="character" w:customStyle="1" w:styleId="apple-converted-space">
    <w:name w:val="apple-converted-space"/>
    <w:basedOn w:val="DefaultParagraphFont"/>
    <w:rsid w:val="00232459"/>
  </w:style>
  <w:style w:type="character" w:styleId="Strong">
    <w:name w:val="Strong"/>
    <w:basedOn w:val="DefaultParagraphFont"/>
    <w:uiPriority w:val="22"/>
    <w:qFormat/>
    <w:locked/>
    <w:rsid w:val="00B16372"/>
    <w:rPr>
      <w:b/>
      <w:bCs/>
      <w:vertAlign w:val="baseline"/>
    </w:rPr>
  </w:style>
  <w:style w:type="paragraph" w:styleId="Revision">
    <w:name w:val="Revision"/>
    <w:hidden/>
    <w:uiPriority w:val="99"/>
    <w:semiHidden/>
    <w:rsid w:val="006A62DF"/>
  </w:style>
  <w:style w:type="character" w:customStyle="1" w:styleId="Hyperlink1">
    <w:name w:val="Hyperlink1"/>
    <w:uiPriority w:val="99"/>
    <w:unhideWhenUsed/>
    <w:rsid w:val="00032A0F"/>
    <w:rPr>
      <w:color w:val="0000FF"/>
      <w:u w:val="single"/>
    </w:rPr>
  </w:style>
  <w:style w:type="character" w:styleId="Emphasis">
    <w:name w:val="Emphasis"/>
    <w:basedOn w:val="DefaultParagraphFont"/>
    <w:uiPriority w:val="20"/>
    <w:qFormat/>
    <w:locked/>
    <w:rsid w:val="00E87FAA"/>
    <w:rPr>
      <w:i/>
      <w:iCs/>
    </w:rPr>
  </w:style>
  <w:style w:type="character" w:customStyle="1" w:styleId="Mention1">
    <w:name w:val="Mention1"/>
    <w:basedOn w:val="DefaultParagraphFont"/>
    <w:uiPriority w:val="99"/>
    <w:semiHidden/>
    <w:unhideWhenUsed/>
    <w:rsid w:val="00A43EE4"/>
    <w:rPr>
      <w:color w:val="2B579A"/>
      <w:shd w:val="clear" w:color="auto" w:fill="E6E6E6"/>
    </w:rPr>
  </w:style>
  <w:style w:type="character" w:customStyle="1" w:styleId="formatdata">
    <w:name w:val="format_data"/>
    <w:basedOn w:val="DefaultParagraphFont"/>
    <w:rsid w:val="002129B7"/>
  </w:style>
  <w:style w:type="character" w:customStyle="1" w:styleId="preferred">
    <w:name w:val="preferred"/>
    <w:basedOn w:val="DefaultParagraphFont"/>
    <w:rsid w:val="00711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sChild>
        <w:div w:id="6">
          <w:marLeft w:val="547"/>
          <w:marRight w:val="0"/>
          <w:marTop w:val="115"/>
          <w:marBottom w:val="0"/>
          <w:divBdr>
            <w:top w:val="none" w:sz="0" w:space="0" w:color="auto"/>
            <w:left w:val="none" w:sz="0" w:space="0" w:color="auto"/>
            <w:bottom w:val="none" w:sz="0" w:space="0" w:color="auto"/>
            <w:right w:val="none" w:sz="0" w:space="0" w:color="auto"/>
          </w:divBdr>
        </w:div>
        <w:div w:id="12">
          <w:marLeft w:val="547"/>
          <w:marRight w:val="0"/>
          <w:marTop w:val="115"/>
          <w:marBottom w:val="0"/>
          <w:divBdr>
            <w:top w:val="none" w:sz="0" w:space="0" w:color="auto"/>
            <w:left w:val="none" w:sz="0" w:space="0" w:color="auto"/>
            <w:bottom w:val="none" w:sz="0" w:space="0" w:color="auto"/>
            <w:right w:val="none" w:sz="0" w:space="0" w:color="auto"/>
          </w:divBdr>
        </w:div>
      </w:divsChild>
    </w:div>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sChild>
        <w:div w:id="14">
          <w:marLeft w:val="547"/>
          <w:marRight w:val="0"/>
          <w:marTop w:val="115"/>
          <w:marBottom w:val="0"/>
          <w:divBdr>
            <w:top w:val="none" w:sz="0" w:space="0" w:color="auto"/>
            <w:left w:val="none" w:sz="0" w:space="0" w:color="auto"/>
            <w:bottom w:val="none" w:sz="0" w:space="0" w:color="auto"/>
            <w:right w:val="none" w:sz="0" w:space="0" w:color="auto"/>
          </w:divBdr>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sChild>
        <w:div w:id="2">
          <w:marLeft w:val="547"/>
          <w:marRight w:val="0"/>
          <w:marTop w:val="115"/>
          <w:marBottom w:val="0"/>
          <w:divBdr>
            <w:top w:val="none" w:sz="0" w:space="0" w:color="auto"/>
            <w:left w:val="none" w:sz="0" w:space="0" w:color="auto"/>
            <w:bottom w:val="none" w:sz="0" w:space="0" w:color="auto"/>
            <w:right w:val="none" w:sz="0" w:space="0" w:color="auto"/>
          </w:divBdr>
        </w:div>
        <w:div w:id="4">
          <w:marLeft w:val="547"/>
          <w:marRight w:val="0"/>
          <w:marTop w:val="115"/>
          <w:marBottom w:val="0"/>
          <w:divBdr>
            <w:top w:val="none" w:sz="0" w:space="0" w:color="auto"/>
            <w:left w:val="none" w:sz="0" w:space="0" w:color="auto"/>
            <w:bottom w:val="none" w:sz="0" w:space="0" w:color="auto"/>
            <w:right w:val="none" w:sz="0" w:space="0" w:color="auto"/>
          </w:divBdr>
        </w:div>
        <w:div w:id="9">
          <w:marLeft w:val="547"/>
          <w:marRight w:val="0"/>
          <w:marTop w:val="115"/>
          <w:marBottom w:val="0"/>
          <w:divBdr>
            <w:top w:val="none" w:sz="0" w:space="0" w:color="auto"/>
            <w:left w:val="none" w:sz="0" w:space="0" w:color="auto"/>
            <w:bottom w:val="none" w:sz="0" w:space="0" w:color="auto"/>
            <w:right w:val="none" w:sz="0" w:space="0" w:color="auto"/>
          </w:divBdr>
        </w:div>
        <w:div w:id="13">
          <w:marLeft w:val="547"/>
          <w:marRight w:val="0"/>
          <w:marTop w:val="115"/>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10129578">
      <w:bodyDiv w:val="1"/>
      <w:marLeft w:val="0"/>
      <w:marRight w:val="0"/>
      <w:marTop w:val="0"/>
      <w:marBottom w:val="0"/>
      <w:divBdr>
        <w:top w:val="none" w:sz="0" w:space="0" w:color="auto"/>
        <w:left w:val="none" w:sz="0" w:space="0" w:color="auto"/>
        <w:bottom w:val="none" w:sz="0" w:space="0" w:color="auto"/>
        <w:right w:val="none" w:sz="0" w:space="0" w:color="auto"/>
      </w:divBdr>
    </w:div>
    <w:div w:id="354431803">
      <w:bodyDiv w:val="1"/>
      <w:marLeft w:val="0"/>
      <w:marRight w:val="0"/>
      <w:marTop w:val="0"/>
      <w:marBottom w:val="0"/>
      <w:divBdr>
        <w:top w:val="none" w:sz="0" w:space="0" w:color="auto"/>
        <w:left w:val="none" w:sz="0" w:space="0" w:color="auto"/>
        <w:bottom w:val="none" w:sz="0" w:space="0" w:color="auto"/>
        <w:right w:val="none" w:sz="0" w:space="0" w:color="auto"/>
      </w:divBdr>
    </w:div>
    <w:div w:id="360864833">
      <w:bodyDiv w:val="1"/>
      <w:marLeft w:val="0"/>
      <w:marRight w:val="0"/>
      <w:marTop w:val="0"/>
      <w:marBottom w:val="0"/>
      <w:divBdr>
        <w:top w:val="none" w:sz="0" w:space="0" w:color="auto"/>
        <w:left w:val="none" w:sz="0" w:space="0" w:color="auto"/>
        <w:bottom w:val="none" w:sz="0" w:space="0" w:color="auto"/>
        <w:right w:val="none" w:sz="0" w:space="0" w:color="auto"/>
      </w:divBdr>
    </w:div>
    <w:div w:id="858734900">
      <w:bodyDiv w:val="1"/>
      <w:marLeft w:val="0"/>
      <w:marRight w:val="0"/>
      <w:marTop w:val="0"/>
      <w:marBottom w:val="0"/>
      <w:divBdr>
        <w:top w:val="none" w:sz="0" w:space="0" w:color="auto"/>
        <w:left w:val="none" w:sz="0" w:space="0" w:color="auto"/>
        <w:bottom w:val="none" w:sz="0" w:space="0" w:color="auto"/>
        <w:right w:val="none" w:sz="0" w:space="0" w:color="auto"/>
      </w:divBdr>
      <w:divsChild>
        <w:div w:id="2109152533">
          <w:marLeft w:val="0"/>
          <w:marRight w:val="0"/>
          <w:marTop w:val="0"/>
          <w:marBottom w:val="0"/>
          <w:divBdr>
            <w:top w:val="none" w:sz="0" w:space="0" w:color="auto"/>
            <w:left w:val="none" w:sz="0" w:space="0" w:color="auto"/>
            <w:bottom w:val="none" w:sz="0" w:space="0" w:color="auto"/>
            <w:right w:val="none" w:sz="0" w:space="0" w:color="auto"/>
          </w:divBdr>
          <w:divsChild>
            <w:div w:id="607665847">
              <w:marLeft w:val="0"/>
              <w:marRight w:val="0"/>
              <w:marTop w:val="0"/>
              <w:marBottom w:val="0"/>
              <w:divBdr>
                <w:top w:val="none" w:sz="0" w:space="0" w:color="auto"/>
                <w:left w:val="none" w:sz="0" w:space="0" w:color="auto"/>
                <w:bottom w:val="none" w:sz="0" w:space="0" w:color="auto"/>
                <w:right w:val="none" w:sz="0" w:space="0" w:color="auto"/>
              </w:divBdr>
              <w:divsChild>
                <w:div w:id="21205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06870">
      <w:bodyDiv w:val="1"/>
      <w:marLeft w:val="0"/>
      <w:marRight w:val="0"/>
      <w:marTop w:val="0"/>
      <w:marBottom w:val="0"/>
      <w:divBdr>
        <w:top w:val="none" w:sz="0" w:space="0" w:color="auto"/>
        <w:left w:val="none" w:sz="0" w:space="0" w:color="auto"/>
        <w:bottom w:val="none" w:sz="0" w:space="0" w:color="auto"/>
        <w:right w:val="none" w:sz="0" w:space="0" w:color="auto"/>
      </w:divBdr>
    </w:div>
    <w:div w:id="914437690">
      <w:bodyDiv w:val="1"/>
      <w:marLeft w:val="0"/>
      <w:marRight w:val="0"/>
      <w:marTop w:val="0"/>
      <w:marBottom w:val="0"/>
      <w:divBdr>
        <w:top w:val="none" w:sz="0" w:space="0" w:color="auto"/>
        <w:left w:val="none" w:sz="0" w:space="0" w:color="auto"/>
        <w:bottom w:val="none" w:sz="0" w:space="0" w:color="auto"/>
        <w:right w:val="none" w:sz="0" w:space="0" w:color="auto"/>
      </w:divBdr>
    </w:div>
    <w:div w:id="1161432549">
      <w:bodyDiv w:val="1"/>
      <w:marLeft w:val="0"/>
      <w:marRight w:val="0"/>
      <w:marTop w:val="0"/>
      <w:marBottom w:val="0"/>
      <w:divBdr>
        <w:top w:val="none" w:sz="0" w:space="0" w:color="auto"/>
        <w:left w:val="none" w:sz="0" w:space="0" w:color="auto"/>
        <w:bottom w:val="none" w:sz="0" w:space="0" w:color="auto"/>
        <w:right w:val="none" w:sz="0" w:space="0" w:color="auto"/>
      </w:divBdr>
    </w:div>
    <w:div w:id="1229337883">
      <w:bodyDiv w:val="1"/>
      <w:marLeft w:val="0"/>
      <w:marRight w:val="0"/>
      <w:marTop w:val="0"/>
      <w:marBottom w:val="0"/>
      <w:divBdr>
        <w:top w:val="none" w:sz="0" w:space="0" w:color="auto"/>
        <w:left w:val="none" w:sz="0" w:space="0" w:color="auto"/>
        <w:bottom w:val="none" w:sz="0" w:space="0" w:color="auto"/>
        <w:right w:val="none" w:sz="0" w:space="0" w:color="auto"/>
      </w:divBdr>
    </w:div>
    <w:div w:id="1360282189">
      <w:bodyDiv w:val="1"/>
      <w:marLeft w:val="0"/>
      <w:marRight w:val="0"/>
      <w:marTop w:val="0"/>
      <w:marBottom w:val="0"/>
      <w:divBdr>
        <w:top w:val="none" w:sz="0" w:space="0" w:color="auto"/>
        <w:left w:val="none" w:sz="0" w:space="0" w:color="auto"/>
        <w:bottom w:val="none" w:sz="0" w:space="0" w:color="auto"/>
        <w:right w:val="none" w:sz="0" w:space="0" w:color="auto"/>
      </w:divBdr>
    </w:div>
    <w:div w:id="1416708283">
      <w:bodyDiv w:val="1"/>
      <w:marLeft w:val="0"/>
      <w:marRight w:val="0"/>
      <w:marTop w:val="0"/>
      <w:marBottom w:val="0"/>
      <w:divBdr>
        <w:top w:val="none" w:sz="0" w:space="0" w:color="auto"/>
        <w:left w:val="none" w:sz="0" w:space="0" w:color="auto"/>
        <w:bottom w:val="none" w:sz="0" w:space="0" w:color="auto"/>
        <w:right w:val="none" w:sz="0" w:space="0" w:color="auto"/>
      </w:divBdr>
    </w:div>
    <w:div w:id="1635520366">
      <w:bodyDiv w:val="1"/>
      <w:marLeft w:val="0"/>
      <w:marRight w:val="0"/>
      <w:marTop w:val="0"/>
      <w:marBottom w:val="0"/>
      <w:divBdr>
        <w:top w:val="none" w:sz="0" w:space="0" w:color="auto"/>
        <w:left w:val="none" w:sz="0" w:space="0" w:color="auto"/>
        <w:bottom w:val="none" w:sz="0" w:space="0" w:color="auto"/>
        <w:right w:val="none" w:sz="0" w:space="0" w:color="auto"/>
      </w:divBdr>
    </w:div>
    <w:div w:id="1881891394">
      <w:bodyDiv w:val="1"/>
      <w:marLeft w:val="0"/>
      <w:marRight w:val="0"/>
      <w:marTop w:val="0"/>
      <w:marBottom w:val="0"/>
      <w:divBdr>
        <w:top w:val="none" w:sz="0" w:space="0" w:color="auto"/>
        <w:left w:val="none" w:sz="0" w:space="0" w:color="auto"/>
        <w:bottom w:val="none" w:sz="0" w:space="0" w:color="auto"/>
        <w:right w:val="none" w:sz="0" w:space="0" w:color="auto"/>
      </w:divBdr>
      <w:divsChild>
        <w:div w:id="975380428">
          <w:marLeft w:val="0"/>
          <w:marRight w:val="0"/>
          <w:marTop w:val="0"/>
          <w:marBottom w:val="0"/>
          <w:divBdr>
            <w:top w:val="none" w:sz="0" w:space="0" w:color="auto"/>
            <w:left w:val="none" w:sz="0" w:space="0" w:color="auto"/>
            <w:bottom w:val="none" w:sz="0" w:space="0" w:color="auto"/>
            <w:right w:val="none" w:sz="0" w:space="0" w:color="auto"/>
          </w:divBdr>
          <w:divsChild>
            <w:div w:id="1909806775">
              <w:marLeft w:val="0"/>
              <w:marRight w:val="0"/>
              <w:marTop w:val="0"/>
              <w:marBottom w:val="0"/>
              <w:divBdr>
                <w:top w:val="none" w:sz="0" w:space="0" w:color="auto"/>
                <w:left w:val="none" w:sz="0" w:space="0" w:color="auto"/>
                <w:bottom w:val="none" w:sz="0" w:space="0" w:color="auto"/>
                <w:right w:val="none" w:sz="0" w:space="0" w:color="auto"/>
              </w:divBdr>
              <w:divsChild>
                <w:div w:id="96870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7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worldjusticeproject.org/rule-of-law-index" TargetMode="External"/><Relationship Id="rId28" Type="http://schemas.openxmlformats.org/officeDocument/2006/relationships/header" Target="header9.xml"/><Relationship Id="rId10" Type="http://schemas.openxmlformats.org/officeDocument/2006/relationships/footnotes" Target="footnotes.xml"/><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footer" Target="footer6.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mes.kg/upload/kniga_2015/book_rus000.html"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Years xmlns="2d5f716b-b52a-4ee0-a811-6b2cc631bd0b">2018-2022</Years>
    <_dlc_DocId xmlns="05e84800-ff9a-43bb-bb7e-6161dfe90000">KKKATZMDSDUY-96-286</_dlc_DocId>
    <_dlc_DocIdUrl xmlns="05e84800-ff9a-43bb-bb7e-6161dfe90000">
      <Url>https://intranet.undp.org/unit/bpps/DI/CPDs/_layouts/15/DocIdRedir.aspx?ID=KKKATZMDSDUY-96-286</Url>
      <Description>KKKATZMDSDUY-96-286</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6B071905AED9CB45BA4149E3D72A32E2" ma:contentTypeVersion="1" ma:contentTypeDescription="Create a new document." ma:contentTypeScope="" ma:versionID="f9a99f5d4d551b70a107d01b16d9f4da">
  <xsd:schema xmlns:xsd="http://www.w3.org/2001/XMLSchema" xmlns:xs="http://www.w3.org/2001/XMLSchema" xmlns:p="http://schemas.microsoft.com/office/2006/metadata/properties" xmlns:ns2="2d5f716b-b52a-4ee0-a811-6b2cc631bd0b" xmlns:ns3="05e84800-ff9a-43bb-bb7e-6161dfe90000" targetNamespace="http://schemas.microsoft.com/office/2006/metadata/properties" ma:root="true" ma:fieldsID="ec99c671dc2aa336c1ae248f85e86fd8" ns2:_="" ns3:_="">
    <xsd:import namespace="2d5f716b-b52a-4ee0-a811-6b2cc631bd0b"/>
    <xsd:import namespace="05e84800-ff9a-43bb-bb7e-6161dfe90000"/>
    <xsd:element name="properties">
      <xsd:complexType>
        <xsd:sequence>
          <xsd:element name="documentManagement">
            <xsd:complexType>
              <xsd:all>
                <xsd:element ref="ns2:Year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5f716b-b52a-4ee0-a811-6b2cc631bd0b" elementFormDefault="qualified">
    <xsd:import namespace="http://schemas.microsoft.com/office/2006/documentManagement/types"/>
    <xsd:import namespace="http://schemas.microsoft.com/office/infopath/2007/PartnerControls"/>
    <xsd:element name="Years" ma:index="8" nillable="true" ma:displayName="Years" ma:internalName="Year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5e84800-ff9a-43bb-bb7e-6161dfe90000"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Country 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95045D-D671-4E04-ABA1-A9ECCD0E4167}"/>
</file>

<file path=customXml/itemProps2.xml><?xml version="1.0" encoding="utf-8"?>
<ds:datastoreItem xmlns:ds="http://schemas.openxmlformats.org/officeDocument/2006/customXml" ds:itemID="{75266CBB-34DC-49AC-9006-C8AD934FB972}"/>
</file>

<file path=customXml/itemProps3.xml><?xml version="1.0" encoding="utf-8"?>
<ds:datastoreItem xmlns:ds="http://schemas.openxmlformats.org/officeDocument/2006/customXml" ds:itemID="{3D1B8F7B-BA39-44ED-8DCD-42BF9FAEB5EA}"/>
</file>

<file path=customXml/itemProps4.xml><?xml version="1.0" encoding="utf-8"?>
<ds:datastoreItem xmlns:ds="http://schemas.openxmlformats.org/officeDocument/2006/customXml" ds:itemID="{8B32B6F8-4309-4EFC-934D-E16C8B01A7FA}"/>
</file>

<file path=customXml/itemProps5.xml><?xml version="1.0" encoding="utf-8"?>
<ds:datastoreItem xmlns:ds="http://schemas.openxmlformats.org/officeDocument/2006/customXml" ds:itemID="{22622F64-4237-4D59-9E4D-01E1D985FD46}"/>
</file>

<file path=docProps/app.xml><?xml version="1.0" encoding="utf-8"?>
<Properties xmlns="http://schemas.openxmlformats.org/officeDocument/2006/extended-properties" xmlns:vt="http://schemas.openxmlformats.org/officeDocument/2006/docPropsVTypes">
  <Template>Normal</Template>
  <TotalTime>1</TotalTime>
  <Pages>1</Pages>
  <Words>6102</Words>
  <Characters>34787</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Second/First/Annual session of (year)</vt:lpstr>
    </vt:vector>
  </TitlesOfParts>
  <Company>Microsoft</Company>
  <LinksUpToDate>false</LinksUpToDate>
  <CharactersWithSpaces>40808</CharactersWithSpaces>
  <SharedDoc>false</SharedDoc>
  <HLinks>
    <vt:vector size="30" baseType="variant">
      <vt:variant>
        <vt:i4>1835018</vt:i4>
      </vt:variant>
      <vt:variant>
        <vt:i4>9</vt:i4>
      </vt:variant>
      <vt:variant>
        <vt:i4>0</vt:i4>
      </vt:variant>
      <vt:variant>
        <vt:i4>5</vt:i4>
      </vt:variant>
      <vt:variant>
        <vt:lpwstr/>
      </vt:variant>
      <vt:variant>
        <vt:lpwstr>Targeting</vt:lpwstr>
      </vt:variant>
      <vt:variant>
        <vt:i4>983051</vt:i4>
      </vt:variant>
      <vt:variant>
        <vt:i4>6</vt:i4>
      </vt:variant>
      <vt:variant>
        <vt:i4>0</vt:i4>
      </vt:variant>
      <vt:variant>
        <vt:i4>5</vt:i4>
      </vt:variant>
      <vt:variant>
        <vt:lpwstr/>
      </vt:variant>
      <vt:variant>
        <vt:lpwstr>SocialProtect</vt:lpwstr>
      </vt:variant>
      <vt:variant>
        <vt:i4>6291582</vt:i4>
      </vt:variant>
      <vt:variant>
        <vt:i4>3</vt:i4>
      </vt:variant>
      <vt:variant>
        <vt:i4>0</vt:i4>
      </vt:variant>
      <vt:variant>
        <vt:i4>5</vt:i4>
      </vt:variant>
      <vt:variant>
        <vt:lpwstr/>
      </vt:variant>
      <vt:variant>
        <vt:lpwstr>EcoSysServices</vt:lpwstr>
      </vt:variant>
      <vt:variant>
        <vt:i4>7012453</vt:i4>
      </vt:variant>
      <vt:variant>
        <vt:i4>0</vt:i4>
      </vt:variant>
      <vt:variant>
        <vt:i4>0</vt:i4>
      </vt:variant>
      <vt:variant>
        <vt:i4>5</vt:i4>
      </vt:variant>
      <vt:variant>
        <vt:lpwstr/>
      </vt:variant>
      <vt:variant>
        <vt:lpwstr>SuSManSolutions</vt:lpwstr>
      </vt:variant>
      <vt:variant>
        <vt:i4>7012472</vt:i4>
      </vt:variant>
      <vt:variant>
        <vt:i4>0</vt:i4>
      </vt:variant>
      <vt:variant>
        <vt:i4>0</vt:i4>
      </vt:variant>
      <vt:variant>
        <vt:i4>5</vt:i4>
      </vt:variant>
      <vt:variant>
        <vt:lpwstr>https://www.worldwewant2015.org/node/377600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Kyrgyzstan</dc:title>
  <dc:creator>John Magoha</dc:creator>
  <cp:lastModifiedBy>UNDP/DIG</cp:lastModifiedBy>
  <cp:revision>3</cp:revision>
  <cp:lastPrinted>2017-05-18T14:41:00Z</cp:lastPrinted>
  <dcterms:created xsi:type="dcterms:W3CDTF">2017-08-03T14:59:00Z</dcterms:created>
  <dcterms:modified xsi:type="dcterms:W3CDTF">2017-08-03T14:59:00Z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0x0101006B071905AED9CB45BA4149E3D72A32E2</vt:lpwstr>
  </property>
  <property fmtid="{D5CDD505-2E9C-101B-9397-08002B2CF9AE}" pid="3" name="_dlc_DocIdItemGuid">
    <vt:lpwstr>a2f54785-ad44-4664-8f38-a1cfd73b2523</vt:lpwstr>
  </property>
  <property fmtid="{D5CDD505-2E9C-101B-9397-08002B2CF9AE}" pid="4" name="_dlc_DocId">
    <vt:lpwstr>UNITOFFICE-440-50</vt:lpwstr>
  </property>
  <property fmtid="{D5CDD505-2E9C-101B-9397-08002B2CF9AE}" pid="5" name="_dlc_DocIdUrl">
    <vt:lpwstr>https://intranet.undp.org/unit/office/exo/sp2014/SP201417/_layouts/DocIdRedir.aspx?ID=UNITOFFICE-440-50, UNITOFFICE-440-50</vt:lpwstr>
  </property>
</Properties>
</file>