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747D4" w14:textId="77777777" w:rsidR="008674FD" w:rsidRPr="00E8394D" w:rsidRDefault="008674FD" w:rsidP="008674FD">
      <w:pPr>
        <w:tabs>
          <w:tab w:val="left" w:pos="900"/>
          <w:tab w:val="left" w:pos="990"/>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 w:val="left" w:pos="8640"/>
          <w:tab w:val="left" w:pos="9180"/>
        </w:tabs>
        <w:ind w:right="1267" w:hanging="900"/>
        <w:rPr>
          <w:b/>
          <w:lang w:val="en-GB"/>
        </w:rPr>
      </w:pPr>
      <w:bookmarkStart w:id="0" w:name="_GoBack"/>
      <w:bookmarkEnd w:id="0"/>
      <w:r w:rsidRPr="00E8394D">
        <w:rPr>
          <w:b/>
          <w:lang w:val="en-GB"/>
        </w:rPr>
        <w:t>Second regular session 2017</w:t>
      </w:r>
    </w:p>
    <w:p w14:paraId="4B6B6DC0" w14:textId="77777777" w:rsidR="008674FD" w:rsidRPr="00E8394D" w:rsidRDefault="008674FD" w:rsidP="008674FD">
      <w:pPr>
        <w:tabs>
          <w:tab w:val="left" w:pos="900"/>
          <w:tab w:val="left" w:pos="990"/>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 w:val="left" w:pos="8640"/>
          <w:tab w:val="left" w:pos="9180"/>
        </w:tabs>
        <w:ind w:right="1267" w:hanging="900"/>
        <w:rPr>
          <w:lang w:val="en-GB"/>
        </w:rPr>
      </w:pPr>
      <w:r w:rsidRPr="00E8394D">
        <w:rPr>
          <w:lang w:val="en-GB"/>
        </w:rPr>
        <w:t xml:space="preserve">5 </w:t>
      </w:r>
      <w:r w:rsidR="00D800AD" w:rsidRPr="00E8394D">
        <w:rPr>
          <w:lang w:val="en-GB"/>
        </w:rPr>
        <w:t>to</w:t>
      </w:r>
      <w:r w:rsidRPr="00E8394D">
        <w:rPr>
          <w:lang w:val="en-GB"/>
        </w:rPr>
        <w:t xml:space="preserve"> 11 September 2017, New York</w:t>
      </w:r>
    </w:p>
    <w:p w14:paraId="735E4181" w14:textId="2AB937DB" w:rsidR="008674FD" w:rsidRPr="00E8394D" w:rsidRDefault="00AD01D0" w:rsidP="008674FD">
      <w:pPr>
        <w:tabs>
          <w:tab w:val="left" w:pos="900"/>
          <w:tab w:val="left" w:pos="990"/>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 w:val="left" w:pos="8640"/>
          <w:tab w:val="left" w:pos="9180"/>
        </w:tabs>
        <w:ind w:right="1267" w:hanging="900"/>
        <w:rPr>
          <w:lang w:val="en-GB"/>
        </w:rPr>
      </w:pPr>
      <w:r>
        <w:rPr>
          <w:lang w:val="en-GB"/>
        </w:rPr>
        <w:t>Item 6</w:t>
      </w:r>
      <w:r w:rsidR="008674FD" w:rsidRPr="00E8394D">
        <w:rPr>
          <w:lang w:val="en-GB"/>
        </w:rPr>
        <w:t xml:space="preserve"> of the provisional agenda</w:t>
      </w:r>
    </w:p>
    <w:p w14:paraId="0203DB24" w14:textId="77777777" w:rsidR="008674FD" w:rsidRPr="00E8394D" w:rsidRDefault="008674FD" w:rsidP="008674FD">
      <w:pPr>
        <w:tabs>
          <w:tab w:val="left" w:pos="900"/>
          <w:tab w:val="left" w:pos="990"/>
          <w:tab w:val="left" w:pos="8640"/>
          <w:tab w:val="left" w:pos="9180"/>
        </w:tabs>
        <w:spacing w:after="120"/>
        <w:ind w:right="1260" w:hanging="900"/>
        <w:rPr>
          <w:b/>
          <w:lang w:val="en-GB"/>
        </w:rPr>
      </w:pPr>
      <w:r w:rsidRPr="00E8394D">
        <w:rPr>
          <w:b/>
          <w:lang w:val="en-GB"/>
        </w:rPr>
        <w:t>Country programmes and related matters</w:t>
      </w:r>
    </w:p>
    <w:p w14:paraId="68FAAF7E" w14:textId="77777777" w:rsidR="008674FD" w:rsidRPr="00E8394D" w:rsidRDefault="008674FD" w:rsidP="008674FD">
      <w:pPr>
        <w:tabs>
          <w:tab w:val="left" w:pos="900"/>
          <w:tab w:val="left" w:pos="990"/>
          <w:tab w:val="left" w:pos="1267"/>
          <w:tab w:val="left" w:pos="1742"/>
          <w:tab w:val="left" w:pos="2218"/>
          <w:tab w:val="left" w:pos="2693"/>
          <w:tab w:val="left" w:pos="3182"/>
          <w:tab w:val="left" w:pos="3658"/>
          <w:tab w:val="left" w:pos="4133"/>
          <w:tab w:val="left" w:pos="4622"/>
          <w:tab w:val="left" w:pos="5098"/>
          <w:tab w:val="left" w:pos="5573"/>
          <w:tab w:val="left" w:pos="6048"/>
          <w:tab w:val="left" w:pos="8640"/>
          <w:tab w:val="left" w:pos="9180"/>
        </w:tabs>
        <w:suppressAutoHyphens/>
        <w:spacing w:after="120"/>
        <w:ind w:right="1267" w:hanging="900"/>
        <w:jc w:val="both"/>
        <w:rPr>
          <w:spacing w:val="4"/>
          <w:w w:val="103"/>
          <w:kern w:val="14"/>
          <w:lang w:val="en-GB"/>
        </w:rPr>
      </w:pPr>
    </w:p>
    <w:p w14:paraId="742B768C" w14:textId="0ADE56BE" w:rsidR="008674FD" w:rsidRPr="00E8394D" w:rsidRDefault="00C21408" w:rsidP="008A3D99">
      <w:pPr>
        <w:keepNext/>
        <w:keepLines/>
        <w:tabs>
          <w:tab w:val="left" w:pos="900"/>
          <w:tab w:val="left" w:pos="990"/>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 w:val="left" w:pos="7830"/>
          <w:tab w:val="left" w:pos="7920"/>
          <w:tab w:val="left" w:pos="8640"/>
          <w:tab w:val="left" w:pos="9180"/>
        </w:tabs>
        <w:suppressAutoHyphens/>
        <w:spacing w:after="120"/>
        <w:ind w:left="-900"/>
        <w:outlineLvl w:val="0"/>
        <w:rPr>
          <w:b/>
          <w:spacing w:val="-2"/>
          <w:w w:val="103"/>
          <w:kern w:val="14"/>
          <w:sz w:val="28"/>
          <w:szCs w:val="28"/>
          <w:lang w:val="en-GB"/>
        </w:rPr>
      </w:pPr>
      <w:r>
        <w:rPr>
          <w:b/>
          <w:spacing w:val="-2"/>
          <w:w w:val="103"/>
          <w:kern w:val="14"/>
          <w:sz w:val="28"/>
          <w:szCs w:val="28"/>
          <w:lang w:val="en-GB"/>
        </w:rPr>
        <w:t>C</w:t>
      </w:r>
      <w:r w:rsidR="008674FD" w:rsidRPr="00E8394D">
        <w:rPr>
          <w:b/>
          <w:spacing w:val="-2"/>
          <w:w w:val="103"/>
          <w:kern w:val="14"/>
          <w:sz w:val="28"/>
          <w:szCs w:val="28"/>
          <w:lang w:val="en-GB"/>
        </w:rPr>
        <w:t>ountry programme document for Papua New Guinea</w:t>
      </w:r>
      <w:r w:rsidR="008A3D99">
        <w:rPr>
          <w:b/>
          <w:spacing w:val="-2"/>
          <w:w w:val="103"/>
          <w:kern w:val="14"/>
          <w:sz w:val="28"/>
          <w:szCs w:val="28"/>
          <w:lang w:val="en-GB"/>
        </w:rPr>
        <w:br/>
      </w:r>
      <w:r w:rsidR="008674FD" w:rsidRPr="00E8394D">
        <w:rPr>
          <w:b/>
          <w:spacing w:val="-2"/>
          <w:w w:val="103"/>
          <w:kern w:val="14"/>
          <w:sz w:val="28"/>
          <w:szCs w:val="28"/>
          <w:lang w:val="en-GB"/>
        </w:rPr>
        <w:t>(2018-2022)</w:t>
      </w:r>
      <w:r w:rsidR="008674FD" w:rsidRPr="00E8394D">
        <w:rPr>
          <w:b/>
          <w:spacing w:val="-2"/>
          <w:w w:val="103"/>
          <w:kern w:val="14"/>
          <w:sz w:val="28"/>
          <w:szCs w:val="28"/>
          <w:lang w:val="en-GB"/>
        </w:rPr>
        <w:br/>
      </w:r>
    </w:p>
    <w:p w14:paraId="426FE0C8" w14:textId="77777777" w:rsidR="008674FD" w:rsidRPr="00E8394D" w:rsidRDefault="008674FD" w:rsidP="008674FD">
      <w:pPr>
        <w:tabs>
          <w:tab w:val="left" w:pos="1267"/>
        </w:tabs>
        <w:ind w:hanging="900"/>
        <w:rPr>
          <w:lang w:val="en-GB"/>
        </w:rPr>
      </w:pPr>
      <w:r w:rsidRPr="00E8394D">
        <w:rPr>
          <w:lang w:val="en-GB"/>
        </w:rPr>
        <w:tab/>
      </w:r>
    </w:p>
    <w:p w14:paraId="590F1F50" w14:textId="77777777" w:rsidR="008674FD" w:rsidRPr="00E8394D" w:rsidRDefault="008674FD" w:rsidP="008674FD">
      <w:pPr>
        <w:keepNext/>
        <w:keepLines/>
        <w:tabs>
          <w:tab w:val="right" w:pos="1022"/>
          <w:tab w:val="left" w:pos="1267"/>
          <w:tab w:val="left" w:pos="1620"/>
          <w:tab w:val="left" w:pos="2218"/>
          <w:tab w:val="left" w:pos="2693"/>
          <w:tab w:val="left" w:pos="3182"/>
          <w:tab w:val="left" w:pos="3658"/>
          <w:tab w:val="left" w:pos="4133"/>
          <w:tab w:val="left" w:pos="4622"/>
          <w:tab w:val="left" w:pos="5098"/>
          <w:tab w:val="left" w:pos="5573"/>
          <w:tab w:val="left" w:pos="6048"/>
        </w:tabs>
        <w:suppressAutoHyphens/>
        <w:spacing w:after="120" w:line="300" w:lineRule="exact"/>
        <w:ind w:hanging="900"/>
        <w:outlineLvl w:val="0"/>
        <w:rPr>
          <w:spacing w:val="-2"/>
          <w:w w:val="103"/>
          <w:kern w:val="14"/>
          <w:sz w:val="28"/>
          <w:lang w:val="en-GB"/>
        </w:rPr>
      </w:pPr>
      <w:r w:rsidRPr="00E8394D">
        <w:rPr>
          <w:spacing w:val="-2"/>
          <w:w w:val="103"/>
          <w:kern w:val="14"/>
          <w:sz w:val="28"/>
          <w:lang w:val="en-GB"/>
        </w:rPr>
        <w:t>Contents</w:t>
      </w:r>
    </w:p>
    <w:tbl>
      <w:tblPr>
        <w:tblW w:w="9902" w:type="dxa"/>
        <w:tblInd w:w="-983" w:type="dxa"/>
        <w:tblLayout w:type="fixed"/>
        <w:tblCellMar>
          <w:left w:w="0" w:type="dxa"/>
          <w:right w:w="0" w:type="dxa"/>
        </w:tblCellMar>
        <w:tblLook w:val="0000" w:firstRow="0" w:lastRow="0" w:firstColumn="0" w:lastColumn="0" w:noHBand="0" w:noVBand="0"/>
      </w:tblPr>
      <w:tblGrid>
        <w:gridCol w:w="1060"/>
        <w:gridCol w:w="8300"/>
        <w:gridCol w:w="9"/>
        <w:gridCol w:w="533"/>
      </w:tblGrid>
      <w:tr w:rsidR="008674FD" w:rsidRPr="00E8394D" w14:paraId="499642EB" w14:textId="77777777" w:rsidTr="008674FD">
        <w:tc>
          <w:tcPr>
            <w:tcW w:w="1060" w:type="dxa"/>
            <w:shd w:val="clear" w:color="auto" w:fill="auto"/>
          </w:tcPr>
          <w:p w14:paraId="343124EB" w14:textId="77777777" w:rsidR="008674FD" w:rsidRPr="00E8394D" w:rsidRDefault="008674FD" w:rsidP="008674FD">
            <w:pPr>
              <w:tabs>
                <w:tab w:val="left" w:pos="1620"/>
              </w:tabs>
              <w:suppressAutoHyphens/>
              <w:spacing w:after="120"/>
              <w:jc w:val="right"/>
              <w:rPr>
                <w:i/>
                <w:spacing w:val="4"/>
                <w:w w:val="103"/>
                <w:kern w:val="14"/>
                <w:sz w:val="14"/>
                <w:lang w:val="en-GB"/>
              </w:rPr>
            </w:pPr>
          </w:p>
        </w:tc>
        <w:tc>
          <w:tcPr>
            <w:tcW w:w="8300" w:type="dxa"/>
            <w:shd w:val="clear" w:color="auto" w:fill="auto"/>
          </w:tcPr>
          <w:p w14:paraId="5C621194" w14:textId="77777777" w:rsidR="008674FD" w:rsidRPr="00E8394D" w:rsidRDefault="008674FD" w:rsidP="008674FD">
            <w:pPr>
              <w:tabs>
                <w:tab w:val="left" w:pos="1620"/>
              </w:tabs>
              <w:suppressAutoHyphens/>
              <w:spacing w:after="120"/>
              <w:rPr>
                <w:i/>
                <w:spacing w:val="4"/>
                <w:w w:val="103"/>
                <w:kern w:val="14"/>
                <w:sz w:val="14"/>
                <w:lang w:val="en-GB"/>
              </w:rPr>
            </w:pPr>
          </w:p>
        </w:tc>
        <w:tc>
          <w:tcPr>
            <w:tcW w:w="542" w:type="dxa"/>
            <w:gridSpan w:val="2"/>
            <w:shd w:val="clear" w:color="auto" w:fill="auto"/>
          </w:tcPr>
          <w:p w14:paraId="39493C2C" w14:textId="77777777" w:rsidR="008674FD" w:rsidRPr="00E8394D" w:rsidRDefault="008674FD" w:rsidP="008674FD">
            <w:pPr>
              <w:tabs>
                <w:tab w:val="left" w:pos="1620"/>
              </w:tabs>
              <w:suppressAutoHyphens/>
              <w:spacing w:after="120"/>
              <w:jc w:val="right"/>
              <w:rPr>
                <w:i/>
                <w:spacing w:val="4"/>
                <w:w w:val="103"/>
                <w:kern w:val="14"/>
                <w:sz w:val="14"/>
                <w:lang w:val="en-GB"/>
              </w:rPr>
            </w:pPr>
            <w:r w:rsidRPr="00E8394D">
              <w:rPr>
                <w:i/>
                <w:spacing w:val="4"/>
                <w:w w:val="103"/>
                <w:kern w:val="14"/>
                <w:sz w:val="14"/>
                <w:lang w:val="en-GB"/>
              </w:rPr>
              <w:t>Page</w:t>
            </w:r>
          </w:p>
        </w:tc>
      </w:tr>
      <w:tr w:rsidR="008674FD" w:rsidRPr="00E8394D" w14:paraId="5575E20D" w14:textId="77777777" w:rsidTr="008674FD">
        <w:tc>
          <w:tcPr>
            <w:tcW w:w="9360" w:type="dxa"/>
            <w:gridSpan w:val="2"/>
            <w:shd w:val="clear" w:color="auto" w:fill="auto"/>
          </w:tcPr>
          <w:p w14:paraId="24921088" w14:textId="77777777" w:rsidR="008674FD" w:rsidRPr="00E8394D" w:rsidRDefault="008674FD" w:rsidP="008674FD">
            <w:pPr>
              <w:numPr>
                <w:ilvl w:val="0"/>
                <w:numId w:val="27"/>
              </w:numPr>
              <w:tabs>
                <w:tab w:val="right" w:pos="1080"/>
                <w:tab w:val="left" w:pos="1296"/>
                <w:tab w:val="left" w:pos="1620"/>
                <w:tab w:val="left" w:pos="2160"/>
                <w:tab w:val="left" w:pos="2592"/>
                <w:tab w:val="right" w:leader="dot" w:pos="8381"/>
              </w:tabs>
              <w:suppressAutoHyphens/>
              <w:spacing w:after="120" w:line="240" w:lineRule="exact"/>
              <w:jc w:val="both"/>
              <w:rPr>
                <w:spacing w:val="4"/>
                <w:w w:val="103"/>
                <w:kern w:val="14"/>
                <w:lang w:val="en-GB"/>
              </w:rPr>
            </w:pPr>
            <w:r w:rsidRPr="00E8394D">
              <w:rPr>
                <w:spacing w:val="4"/>
                <w:w w:val="103"/>
                <w:kern w:val="14"/>
                <w:lang w:val="en-GB"/>
              </w:rPr>
              <w:tab/>
              <w:t>Programme rationale</w:t>
            </w:r>
            <w:r w:rsidRPr="00E8394D">
              <w:rPr>
                <w:spacing w:val="60"/>
                <w:w w:val="103"/>
                <w:kern w:val="14"/>
                <w:sz w:val="17"/>
                <w:lang w:val="en-GB"/>
              </w:rPr>
              <w:tab/>
            </w:r>
          </w:p>
        </w:tc>
        <w:tc>
          <w:tcPr>
            <w:tcW w:w="542" w:type="dxa"/>
            <w:gridSpan w:val="2"/>
            <w:vMerge w:val="restart"/>
            <w:shd w:val="clear" w:color="auto" w:fill="auto"/>
            <w:vAlign w:val="bottom"/>
          </w:tcPr>
          <w:p w14:paraId="1290FF1C" w14:textId="77777777" w:rsidR="008674FD" w:rsidRPr="00E8394D" w:rsidRDefault="008674FD" w:rsidP="008674FD">
            <w:pPr>
              <w:tabs>
                <w:tab w:val="left" w:pos="1620"/>
              </w:tabs>
              <w:suppressAutoHyphens/>
              <w:spacing w:after="120" w:line="240" w:lineRule="exact"/>
              <w:jc w:val="right"/>
              <w:rPr>
                <w:spacing w:val="4"/>
                <w:w w:val="103"/>
                <w:kern w:val="14"/>
                <w:lang w:val="en-GB"/>
              </w:rPr>
            </w:pPr>
            <w:r w:rsidRPr="00E8394D">
              <w:rPr>
                <w:spacing w:val="4"/>
                <w:w w:val="103"/>
                <w:kern w:val="14"/>
                <w:lang w:val="en-GB"/>
              </w:rPr>
              <w:t>2</w:t>
            </w:r>
          </w:p>
          <w:p w14:paraId="5F979682" w14:textId="6ABC3125" w:rsidR="008674FD" w:rsidRPr="00E8394D" w:rsidRDefault="0098566B" w:rsidP="008674FD">
            <w:pPr>
              <w:tabs>
                <w:tab w:val="left" w:pos="1620"/>
              </w:tabs>
              <w:suppressAutoHyphens/>
              <w:spacing w:after="120" w:line="240" w:lineRule="exact"/>
              <w:jc w:val="right"/>
              <w:rPr>
                <w:spacing w:val="4"/>
                <w:w w:val="103"/>
                <w:kern w:val="14"/>
                <w:lang w:val="en-GB"/>
              </w:rPr>
            </w:pPr>
            <w:r>
              <w:rPr>
                <w:spacing w:val="4"/>
                <w:w w:val="103"/>
                <w:kern w:val="14"/>
                <w:lang w:val="en-GB"/>
              </w:rPr>
              <w:t>4</w:t>
            </w:r>
          </w:p>
        </w:tc>
      </w:tr>
      <w:tr w:rsidR="008674FD" w:rsidRPr="00E8394D" w14:paraId="65014B7C" w14:textId="77777777" w:rsidTr="008674FD">
        <w:trPr>
          <w:trHeight w:val="382"/>
        </w:trPr>
        <w:tc>
          <w:tcPr>
            <w:tcW w:w="9360" w:type="dxa"/>
            <w:gridSpan w:val="2"/>
            <w:shd w:val="clear" w:color="auto" w:fill="auto"/>
          </w:tcPr>
          <w:p w14:paraId="266DEAFC" w14:textId="77777777" w:rsidR="008674FD" w:rsidRPr="00E8394D" w:rsidRDefault="008674FD" w:rsidP="008674FD">
            <w:pPr>
              <w:numPr>
                <w:ilvl w:val="0"/>
                <w:numId w:val="27"/>
              </w:numPr>
              <w:tabs>
                <w:tab w:val="right" w:pos="1080"/>
                <w:tab w:val="left" w:pos="1296"/>
                <w:tab w:val="left" w:pos="1620"/>
                <w:tab w:val="left" w:pos="2160"/>
                <w:tab w:val="left" w:pos="2592"/>
                <w:tab w:val="left" w:pos="3024"/>
                <w:tab w:val="left" w:pos="3456"/>
                <w:tab w:val="left" w:pos="3888"/>
                <w:tab w:val="left" w:pos="4320"/>
                <w:tab w:val="right" w:leader="dot" w:pos="8381"/>
              </w:tabs>
              <w:suppressAutoHyphens/>
              <w:spacing w:after="120" w:line="240" w:lineRule="exact"/>
              <w:jc w:val="both"/>
              <w:rPr>
                <w:spacing w:val="4"/>
                <w:w w:val="103"/>
                <w:kern w:val="14"/>
                <w:lang w:val="en-GB"/>
              </w:rPr>
            </w:pPr>
            <w:r w:rsidRPr="00E8394D">
              <w:rPr>
                <w:spacing w:val="4"/>
                <w:w w:val="103"/>
                <w:kern w:val="14"/>
                <w:lang w:val="en-GB"/>
              </w:rPr>
              <w:tab/>
              <w:t>Programme priorities and partnerships</w:t>
            </w:r>
            <w:r w:rsidRPr="00E8394D">
              <w:rPr>
                <w:spacing w:val="60"/>
                <w:w w:val="103"/>
                <w:kern w:val="14"/>
                <w:sz w:val="17"/>
                <w:lang w:val="en-GB"/>
              </w:rPr>
              <w:tab/>
            </w:r>
          </w:p>
        </w:tc>
        <w:tc>
          <w:tcPr>
            <w:tcW w:w="542" w:type="dxa"/>
            <w:gridSpan w:val="2"/>
            <w:vMerge/>
            <w:shd w:val="clear" w:color="auto" w:fill="auto"/>
            <w:vAlign w:val="bottom"/>
          </w:tcPr>
          <w:p w14:paraId="61DC8C5A" w14:textId="77777777" w:rsidR="008674FD" w:rsidRPr="00E8394D" w:rsidRDefault="008674FD" w:rsidP="008674FD">
            <w:pPr>
              <w:tabs>
                <w:tab w:val="left" w:pos="1620"/>
              </w:tabs>
              <w:suppressAutoHyphens/>
              <w:spacing w:after="120" w:line="240" w:lineRule="exact"/>
              <w:jc w:val="right"/>
              <w:rPr>
                <w:spacing w:val="4"/>
                <w:w w:val="103"/>
                <w:kern w:val="14"/>
                <w:lang w:val="en-GB"/>
              </w:rPr>
            </w:pPr>
          </w:p>
        </w:tc>
      </w:tr>
      <w:tr w:rsidR="008674FD" w:rsidRPr="00E8394D" w14:paraId="1E81952A" w14:textId="77777777" w:rsidTr="008674FD">
        <w:tc>
          <w:tcPr>
            <w:tcW w:w="9360" w:type="dxa"/>
            <w:gridSpan w:val="2"/>
            <w:shd w:val="clear" w:color="auto" w:fill="auto"/>
          </w:tcPr>
          <w:p w14:paraId="7DB9B85F" w14:textId="77777777" w:rsidR="008674FD" w:rsidRPr="00E8394D" w:rsidRDefault="008674FD" w:rsidP="008674FD">
            <w:pPr>
              <w:numPr>
                <w:ilvl w:val="0"/>
                <w:numId w:val="27"/>
              </w:numPr>
              <w:tabs>
                <w:tab w:val="right" w:pos="1080"/>
                <w:tab w:val="left" w:pos="1296"/>
                <w:tab w:val="left" w:pos="1620"/>
                <w:tab w:val="left" w:pos="2160"/>
                <w:tab w:val="left" w:pos="2592"/>
                <w:tab w:val="left" w:pos="3024"/>
                <w:tab w:val="right" w:leader="dot" w:pos="8381"/>
              </w:tabs>
              <w:suppressAutoHyphens/>
              <w:spacing w:after="120" w:line="240" w:lineRule="exact"/>
              <w:jc w:val="both"/>
              <w:rPr>
                <w:spacing w:val="4"/>
                <w:w w:val="103"/>
                <w:kern w:val="14"/>
                <w:lang w:val="en-GB"/>
              </w:rPr>
            </w:pPr>
            <w:r w:rsidRPr="00E8394D">
              <w:rPr>
                <w:spacing w:val="4"/>
                <w:w w:val="103"/>
                <w:kern w:val="14"/>
                <w:lang w:val="en-GB"/>
              </w:rPr>
              <w:tab/>
              <w:t>Programme and risk management</w:t>
            </w:r>
            <w:r w:rsidRPr="00E8394D">
              <w:rPr>
                <w:spacing w:val="60"/>
                <w:w w:val="103"/>
                <w:kern w:val="14"/>
                <w:sz w:val="17"/>
                <w:lang w:val="en-GB"/>
              </w:rPr>
              <w:tab/>
            </w:r>
          </w:p>
        </w:tc>
        <w:tc>
          <w:tcPr>
            <w:tcW w:w="542" w:type="dxa"/>
            <w:gridSpan w:val="2"/>
            <w:vMerge w:val="restart"/>
            <w:shd w:val="clear" w:color="auto" w:fill="auto"/>
            <w:vAlign w:val="bottom"/>
          </w:tcPr>
          <w:p w14:paraId="58E31D08" w14:textId="77777777" w:rsidR="008674FD" w:rsidRPr="00E8394D" w:rsidRDefault="008674FD" w:rsidP="008674FD">
            <w:pPr>
              <w:tabs>
                <w:tab w:val="left" w:pos="1620"/>
              </w:tabs>
              <w:suppressAutoHyphens/>
              <w:spacing w:after="120" w:line="240" w:lineRule="exact"/>
              <w:jc w:val="right"/>
              <w:rPr>
                <w:spacing w:val="4"/>
                <w:w w:val="103"/>
                <w:kern w:val="14"/>
                <w:lang w:val="en-GB"/>
              </w:rPr>
            </w:pPr>
            <w:r w:rsidRPr="00E8394D">
              <w:rPr>
                <w:spacing w:val="4"/>
                <w:w w:val="103"/>
                <w:kern w:val="14"/>
                <w:lang w:val="en-GB"/>
              </w:rPr>
              <w:t>7</w:t>
            </w:r>
          </w:p>
          <w:p w14:paraId="1BDD93F3" w14:textId="77777777" w:rsidR="008674FD" w:rsidRPr="00E8394D" w:rsidRDefault="008674FD" w:rsidP="008674FD">
            <w:pPr>
              <w:tabs>
                <w:tab w:val="left" w:pos="1620"/>
              </w:tabs>
              <w:suppressAutoHyphens/>
              <w:spacing w:after="120" w:line="240" w:lineRule="exact"/>
              <w:jc w:val="right"/>
              <w:rPr>
                <w:spacing w:val="4"/>
                <w:w w:val="103"/>
                <w:kern w:val="14"/>
                <w:lang w:val="en-GB"/>
              </w:rPr>
            </w:pPr>
            <w:r w:rsidRPr="00E8394D">
              <w:rPr>
                <w:spacing w:val="4"/>
                <w:w w:val="103"/>
                <w:kern w:val="14"/>
                <w:lang w:val="en-GB"/>
              </w:rPr>
              <w:t xml:space="preserve">8 </w:t>
            </w:r>
          </w:p>
        </w:tc>
      </w:tr>
      <w:tr w:rsidR="008674FD" w:rsidRPr="00E8394D" w14:paraId="67C737C6" w14:textId="77777777" w:rsidTr="008674FD">
        <w:tc>
          <w:tcPr>
            <w:tcW w:w="9360" w:type="dxa"/>
            <w:gridSpan w:val="2"/>
            <w:shd w:val="clear" w:color="auto" w:fill="auto"/>
          </w:tcPr>
          <w:p w14:paraId="6C443576" w14:textId="77777777" w:rsidR="008674FD" w:rsidRPr="00E8394D" w:rsidRDefault="008674FD" w:rsidP="008674FD">
            <w:pPr>
              <w:numPr>
                <w:ilvl w:val="0"/>
                <w:numId w:val="27"/>
              </w:numPr>
              <w:tabs>
                <w:tab w:val="right" w:pos="1080"/>
                <w:tab w:val="left" w:pos="1296"/>
                <w:tab w:val="left" w:pos="1620"/>
                <w:tab w:val="left" w:pos="2160"/>
                <w:tab w:val="left" w:pos="2592"/>
                <w:tab w:val="left" w:pos="3024"/>
                <w:tab w:val="left" w:pos="3420"/>
                <w:tab w:val="left" w:pos="3456"/>
                <w:tab w:val="right" w:leader="dot" w:pos="8381"/>
              </w:tabs>
              <w:suppressAutoHyphens/>
              <w:spacing w:after="120" w:line="240" w:lineRule="exact"/>
              <w:jc w:val="both"/>
              <w:rPr>
                <w:spacing w:val="4"/>
                <w:w w:val="103"/>
                <w:kern w:val="14"/>
                <w:lang w:val="en-GB"/>
              </w:rPr>
            </w:pPr>
            <w:r w:rsidRPr="00E8394D">
              <w:rPr>
                <w:spacing w:val="4"/>
                <w:w w:val="103"/>
                <w:kern w:val="14"/>
                <w:lang w:val="en-GB"/>
              </w:rPr>
              <w:tab/>
              <w:t>Monitoring and evaluation</w:t>
            </w:r>
            <w:r w:rsidRPr="00E8394D">
              <w:rPr>
                <w:spacing w:val="60"/>
                <w:w w:val="103"/>
                <w:kern w:val="14"/>
                <w:sz w:val="17"/>
                <w:lang w:val="en-GB"/>
              </w:rPr>
              <w:tab/>
            </w:r>
            <w:r w:rsidRPr="00E8394D">
              <w:rPr>
                <w:spacing w:val="60"/>
                <w:w w:val="103"/>
                <w:kern w:val="14"/>
                <w:sz w:val="17"/>
                <w:lang w:val="en-GB"/>
              </w:rPr>
              <w:tab/>
            </w:r>
          </w:p>
        </w:tc>
        <w:tc>
          <w:tcPr>
            <w:tcW w:w="542" w:type="dxa"/>
            <w:gridSpan w:val="2"/>
            <w:vMerge/>
            <w:shd w:val="clear" w:color="auto" w:fill="auto"/>
            <w:vAlign w:val="bottom"/>
          </w:tcPr>
          <w:p w14:paraId="0FC3DB78" w14:textId="77777777" w:rsidR="008674FD" w:rsidRPr="00E8394D" w:rsidRDefault="008674FD" w:rsidP="008674FD">
            <w:pPr>
              <w:tabs>
                <w:tab w:val="left" w:pos="1620"/>
              </w:tabs>
              <w:suppressAutoHyphens/>
              <w:spacing w:after="120" w:line="240" w:lineRule="exact"/>
              <w:jc w:val="right"/>
              <w:rPr>
                <w:spacing w:val="4"/>
                <w:w w:val="103"/>
                <w:kern w:val="14"/>
                <w:lang w:val="en-GB"/>
              </w:rPr>
            </w:pPr>
          </w:p>
        </w:tc>
      </w:tr>
      <w:tr w:rsidR="008674FD" w:rsidRPr="00E8394D" w14:paraId="715B30EB" w14:textId="77777777" w:rsidTr="008674FD">
        <w:tc>
          <w:tcPr>
            <w:tcW w:w="9369" w:type="dxa"/>
            <w:gridSpan w:val="3"/>
            <w:shd w:val="clear" w:color="auto" w:fill="auto"/>
          </w:tcPr>
          <w:p w14:paraId="60B39513" w14:textId="77777777" w:rsidR="008674FD" w:rsidRPr="00E8394D" w:rsidRDefault="008674FD" w:rsidP="008674FD">
            <w:pPr>
              <w:tabs>
                <w:tab w:val="right" w:pos="1080"/>
                <w:tab w:val="left" w:pos="1296"/>
                <w:tab w:val="left" w:pos="1620"/>
                <w:tab w:val="right" w:pos="1714"/>
                <w:tab w:val="left" w:pos="2160"/>
                <w:tab w:val="left" w:pos="2592"/>
                <w:tab w:val="left" w:pos="3024"/>
                <w:tab w:val="left" w:pos="3456"/>
              </w:tabs>
              <w:suppressAutoHyphens/>
              <w:spacing w:after="120" w:line="240" w:lineRule="exact"/>
              <w:ind w:left="475"/>
              <w:rPr>
                <w:spacing w:val="4"/>
                <w:w w:val="103"/>
                <w:kern w:val="14"/>
                <w:lang w:val="en-GB"/>
              </w:rPr>
            </w:pPr>
            <w:r w:rsidRPr="00E8394D">
              <w:rPr>
                <w:spacing w:val="4"/>
                <w:w w:val="103"/>
                <w:kern w:val="14"/>
                <w:lang w:val="en-GB"/>
              </w:rPr>
              <w:t xml:space="preserve">     Annex</w:t>
            </w:r>
          </w:p>
        </w:tc>
        <w:tc>
          <w:tcPr>
            <w:tcW w:w="533" w:type="dxa"/>
            <w:shd w:val="clear" w:color="auto" w:fill="auto"/>
            <w:vAlign w:val="bottom"/>
          </w:tcPr>
          <w:p w14:paraId="646AD430" w14:textId="77777777" w:rsidR="008674FD" w:rsidRPr="00E8394D" w:rsidRDefault="008674FD" w:rsidP="008674FD">
            <w:pPr>
              <w:tabs>
                <w:tab w:val="left" w:pos="1620"/>
              </w:tabs>
              <w:suppressAutoHyphens/>
              <w:spacing w:after="120" w:line="240" w:lineRule="exact"/>
              <w:jc w:val="center"/>
              <w:rPr>
                <w:spacing w:val="4"/>
                <w:w w:val="103"/>
                <w:kern w:val="14"/>
                <w:lang w:val="en-GB"/>
              </w:rPr>
            </w:pPr>
          </w:p>
        </w:tc>
      </w:tr>
      <w:tr w:rsidR="008674FD" w:rsidRPr="00E8394D" w14:paraId="65448AE6" w14:textId="77777777" w:rsidTr="008674FD">
        <w:tc>
          <w:tcPr>
            <w:tcW w:w="9369" w:type="dxa"/>
            <w:gridSpan w:val="3"/>
            <w:shd w:val="clear" w:color="auto" w:fill="auto"/>
          </w:tcPr>
          <w:p w14:paraId="52708E66" w14:textId="77777777" w:rsidR="008674FD" w:rsidRPr="00E8394D" w:rsidRDefault="008674FD" w:rsidP="008674FD">
            <w:pPr>
              <w:tabs>
                <w:tab w:val="right" w:pos="1080"/>
                <w:tab w:val="left" w:pos="1296"/>
                <w:tab w:val="left" w:pos="1620"/>
                <w:tab w:val="left" w:pos="2160"/>
                <w:tab w:val="left" w:pos="2592"/>
                <w:tab w:val="left" w:pos="3024"/>
                <w:tab w:val="left" w:pos="3456"/>
                <w:tab w:val="left" w:pos="3888"/>
                <w:tab w:val="left" w:pos="4320"/>
                <w:tab w:val="left" w:pos="4752"/>
                <w:tab w:val="left" w:pos="5184"/>
                <w:tab w:val="left" w:pos="5616"/>
                <w:tab w:val="left" w:pos="6048"/>
                <w:tab w:val="left" w:pos="6480"/>
                <w:tab w:val="right" w:leader="dot" w:pos="9360"/>
              </w:tabs>
              <w:suppressAutoHyphens/>
              <w:spacing w:after="120" w:line="240" w:lineRule="exact"/>
              <w:ind w:left="1296"/>
              <w:rPr>
                <w:spacing w:val="60"/>
                <w:w w:val="103"/>
                <w:kern w:val="14"/>
                <w:sz w:val="17"/>
                <w:lang w:val="en-GB"/>
              </w:rPr>
            </w:pPr>
            <w:r w:rsidRPr="00E8394D">
              <w:rPr>
                <w:spacing w:val="4"/>
                <w:w w:val="103"/>
                <w:kern w:val="14"/>
                <w:lang w:val="en-GB"/>
              </w:rPr>
              <w:t>Results and resources framework for Papua New Guinea (2018-2022)</w:t>
            </w:r>
            <w:r w:rsidRPr="00E8394D">
              <w:rPr>
                <w:spacing w:val="60"/>
                <w:w w:val="103"/>
                <w:kern w:val="14"/>
                <w:sz w:val="17"/>
                <w:lang w:val="en-GB"/>
              </w:rPr>
              <w:tab/>
            </w:r>
          </w:p>
        </w:tc>
        <w:tc>
          <w:tcPr>
            <w:tcW w:w="533" w:type="dxa"/>
            <w:shd w:val="clear" w:color="auto" w:fill="auto"/>
            <w:vAlign w:val="bottom"/>
          </w:tcPr>
          <w:p w14:paraId="4313AF9A" w14:textId="77777777" w:rsidR="008674FD" w:rsidRPr="00E8394D" w:rsidRDefault="008674FD" w:rsidP="008674FD">
            <w:pPr>
              <w:tabs>
                <w:tab w:val="left" w:pos="1620"/>
              </w:tabs>
              <w:suppressAutoHyphens/>
              <w:spacing w:after="120" w:line="240" w:lineRule="exact"/>
              <w:jc w:val="right"/>
              <w:rPr>
                <w:spacing w:val="4"/>
                <w:w w:val="103"/>
                <w:kern w:val="14"/>
                <w:lang w:val="en-GB"/>
              </w:rPr>
            </w:pPr>
            <w:r w:rsidRPr="00E8394D">
              <w:rPr>
                <w:spacing w:val="4"/>
                <w:w w:val="103"/>
                <w:kern w:val="14"/>
                <w:lang w:val="en-GB"/>
              </w:rPr>
              <w:t>9</w:t>
            </w:r>
          </w:p>
        </w:tc>
      </w:tr>
    </w:tbl>
    <w:p w14:paraId="11917F3C" w14:textId="77777777" w:rsidR="00BB478E" w:rsidRPr="00E8394D" w:rsidRDefault="00BB478E" w:rsidP="008674FD">
      <w:pPr>
        <w:ind w:left="-990"/>
        <w:rPr>
          <w:b/>
          <w:lang w:val="en-GB"/>
        </w:rPr>
      </w:pPr>
    </w:p>
    <w:p w14:paraId="15CAE6EF" w14:textId="77777777" w:rsidR="00335F77" w:rsidRPr="00E8394D" w:rsidRDefault="00BB478E" w:rsidP="00BA5E65">
      <w:pPr>
        <w:pStyle w:val="ListParagraph"/>
        <w:numPr>
          <w:ilvl w:val="0"/>
          <w:numId w:val="16"/>
        </w:numPr>
        <w:tabs>
          <w:tab w:val="left" w:pos="450"/>
        </w:tabs>
        <w:ind w:left="0" w:hanging="540"/>
        <w:jc w:val="both"/>
        <w:rPr>
          <w:b/>
          <w:bCs/>
          <w:sz w:val="24"/>
          <w:szCs w:val="24"/>
          <w:lang w:val="en-GB"/>
        </w:rPr>
      </w:pPr>
      <w:r w:rsidRPr="00E8394D">
        <w:rPr>
          <w:lang w:val="en-GB"/>
        </w:rPr>
        <w:br w:type="page"/>
      </w:r>
      <w:r w:rsidR="00335F77" w:rsidRPr="00E8394D">
        <w:rPr>
          <w:b/>
          <w:bCs/>
          <w:sz w:val="24"/>
          <w:szCs w:val="24"/>
          <w:lang w:val="en-GB"/>
        </w:rPr>
        <w:lastRenderedPageBreak/>
        <w:t xml:space="preserve">Programme </w:t>
      </w:r>
      <w:r w:rsidR="00BA5E65" w:rsidRPr="00E8394D">
        <w:rPr>
          <w:b/>
          <w:bCs/>
          <w:sz w:val="24"/>
          <w:szCs w:val="24"/>
          <w:lang w:val="en-GB"/>
        </w:rPr>
        <w:t>r</w:t>
      </w:r>
      <w:r w:rsidR="00335F77" w:rsidRPr="00E8394D">
        <w:rPr>
          <w:b/>
          <w:bCs/>
          <w:sz w:val="24"/>
          <w:szCs w:val="24"/>
          <w:lang w:val="en-GB"/>
        </w:rPr>
        <w:t xml:space="preserve">ationale </w:t>
      </w:r>
    </w:p>
    <w:p w14:paraId="240A12E7" w14:textId="77777777" w:rsidR="00335F77" w:rsidRPr="00E8394D" w:rsidRDefault="00335F77" w:rsidP="003618D6">
      <w:pPr>
        <w:tabs>
          <w:tab w:val="left" w:pos="450"/>
        </w:tabs>
        <w:ind w:right="1210"/>
        <w:jc w:val="both"/>
        <w:rPr>
          <w:lang w:val="en-GB"/>
        </w:rPr>
      </w:pPr>
    </w:p>
    <w:p w14:paraId="3183E49C" w14:textId="77777777" w:rsidR="000D5EC1" w:rsidRPr="00E8394D" w:rsidRDefault="001E1B9F" w:rsidP="00BA5E65">
      <w:pPr>
        <w:pStyle w:val="ListParagraph"/>
        <w:numPr>
          <w:ilvl w:val="0"/>
          <w:numId w:val="4"/>
        </w:numPr>
        <w:tabs>
          <w:tab w:val="left" w:pos="450"/>
        </w:tabs>
        <w:spacing w:after="120"/>
        <w:ind w:left="0" w:firstLine="0"/>
        <w:jc w:val="both"/>
        <w:rPr>
          <w:lang w:val="en-GB"/>
        </w:rPr>
      </w:pPr>
      <w:r w:rsidRPr="00E8394D">
        <w:rPr>
          <w:lang w:val="en-GB"/>
        </w:rPr>
        <w:t>The country programme</w:t>
      </w:r>
      <w:r w:rsidR="00E8394D">
        <w:rPr>
          <w:lang w:val="en-GB"/>
        </w:rPr>
        <w:t>,</w:t>
      </w:r>
      <w:r w:rsidRPr="00E8394D">
        <w:rPr>
          <w:lang w:val="en-GB"/>
        </w:rPr>
        <w:t xml:space="preserve"> 2018</w:t>
      </w:r>
      <w:r w:rsidR="00E8394D">
        <w:rPr>
          <w:lang w:val="en-GB"/>
        </w:rPr>
        <w:t>-</w:t>
      </w:r>
      <w:r w:rsidRPr="00E8394D">
        <w:rPr>
          <w:lang w:val="en-GB"/>
        </w:rPr>
        <w:t>2022</w:t>
      </w:r>
      <w:r w:rsidR="00A42F71">
        <w:rPr>
          <w:lang w:val="en-GB"/>
        </w:rPr>
        <w:t>,</w:t>
      </w:r>
      <w:r w:rsidRPr="00E8394D">
        <w:rPr>
          <w:lang w:val="en-GB"/>
        </w:rPr>
        <w:t xml:space="preserve"> </w:t>
      </w:r>
      <w:r w:rsidR="00E8394D">
        <w:rPr>
          <w:lang w:val="en-GB"/>
        </w:rPr>
        <w:t xml:space="preserve">for </w:t>
      </w:r>
      <w:r w:rsidRPr="00E8394D">
        <w:rPr>
          <w:lang w:val="en-GB"/>
        </w:rPr>
        <w:t xml:space="preserve">Papua New Guinea </w:t>
      </w:r>
      <w:r w:rsidR="005D3269" w:rsidRPr="00E8394D">
        <w:rPr>
          <w:lang w:val="en-GB"/>
        </w:rPr>
        <w:t xml:space="preserve">will </w:t>
      </w:r>
      <w:r w:rsidRPr="00E8394D">
        <w:rPr>
          <w:lang w:val="en-GB"/>
        </w:rPr>
        <w:t>support the implementation of the Sustainable Development Goals (SDGs)</w:t>
      </w:r>
      <w:r w:rsidR="00212F3A" w:rsidRPr="00E8394D">
        <w:rPr>
          <w:lang w:val="en-GB"/>
        </w:rPr>
        <w:t>.</w:t>
      </w:r>
      <w:r w:rsidR="001A6340" w:rsidRPr="00E8394D">
        <w:rPr>
          <w:lang w:val="en-GB"/>
        </w:rPr>
        <w:t xml:space="preserve"> Four </w:t>
      </w:r>
      <w:r w:rsidRPr="00E8394D">
        <w:rPr>
          <w:lang w:val="en-GB"/>
        </w:rPr>
        <w:t xml:space="preserve">issues in the next five years will shape </w:t>
      </w:r>
      <w:r w:rsidR="00E8394D">
        <w:rPr>
          <w:lang w:val="en-GB"/>
        </w:rPr>
        <w:t xml:space="preserve">the country’s </w:t>
      </w:r>
      <w:r w:rsidRPr="00E8394D">
        <w:rPr>
          <w:lang w:val="en-GB"/>
        </w:rPr>
        <w:t xml:space="preserve">sustainable development: </w:t>
      </w:r>
      <w:r w:rsidR="00E8394D">
        <w:rPr>
          <w:lang w:val="en-GB"/>
        </w:rPr>
        <w:t>(a</w:t>
      </w:r>
      <w:r w:rsidRPr="00E8394D">
        <w:rPr>
          <w:lang w:val="en-GB"/>
        </w:rPr>
        <w:t xml:space="preserve">) maintaining stability </w:t>
      </w:r>
      <w:r w:rsidR="00013FC4" w:rsidRPr="00E8394D">
        <w:rPr>
          <w:lang w:val="en-GB"/>
        </w:rPr>
        <w:t xml:space="preserve">and </w:t>
      </w:r>
      <w:r w:rsidRPr="00E8394D">
        <w:rPr>
          <w:lang w:val="en-GB"/>
        </w:rPr>
        <w:t>build</w:t>
      </w:r>
      <w:r w:rsidR="00207EE8" w:rsidRPr="00E8394D">
        <w:rPr>
          <w:lang w:val="en-GB"/>
        </w:rPr>
        <w:t>ing</w:t>
      </w:r>
      <w:r w:rsidRPr="00E8394D">
        <w:rPr>
          <w:lang w:val="en-GB"/>
        </w:rPr>
        <w:t xml:space="preserve"> a vibrant modern nation state; </w:t>
      </w:r>
      <w:r w:rsidR="00E8394D">
        <w:rPr>
          <w:lang w:val="en-GB"/>
        </w:rPr>
        <w:t>(b</w:t>
      </w:r>
      <w:r w:rsidRPr="00E8394D">
        <w:rPr>
          <w:lang w:val="en-GB"/>
        </w:rPr>
        <w:t>) ensuring that natural resources and revenues benefit the majority of p</w:t>
      </w:r>
      <w:r w:rsidR="00212F3A" w:rsidRPr="00E8394D">
        <w:rPr>
          <w:lang w:val="en-GB"/>
        </w:rPr>
        <w:t>eople</w:t>
      </w:r>
      <w:r w:rsidR="00E9225A" w:rsidRPr="00E8394D">
        <w:rPr>
          <w:lang w:val="en-GB"/>
        </w:rPr>
        <w:t>,</w:t>
      </w:r>
      <w:r w:rsidRPr="00E8394D">
        <w:rPr>
          <w:lang w:val="en-GB"/>
        </w:rPr>
        <w:t xml:space="preserve"> </w:t>
      </w:r>
      <w:r w:rsidR="00207EE8" w:rsidRPr="00E8394D">
        <w:rPr>
          <w:lang w:val="en-GB"/>
        </w:rPr>
        <w:t xml:space="preserve">including future generations; </w:t>
      </w:r>
      <w:r w:rsidR="00E8394D">
        <w:rPr>
          <w:lang w:val="en-GB"/>
        </w:rPr>
        <w:t>(c</w:t>
      </w:r>
      <w:r w:rsidRPr="00E8394D">
        <w:rPr>
          <w:lang w:val="en-GB"/>
        </w:rPr>
        <w:t xml:space="preserve">) climate proofing the country’s sustainable development; and </w:t>
      </w:r>
      <w:r w:rsidR="00E8394D">
        <w:rPr>
          <w:lang w:val="en-GB"/>
        </w:rPr>
        <w:t>(d</w:t>
      </w:r>
      <w:r w:rsidRPr="00E8394D">
        <w:rPr>
          <w:lang w:val="en-GB"/>
        </w:rPr>
        <w:t>) successful</w:t>
      </w:r>
      <w:r w:rsidR="00E8394D">
        <w:rPr>
          <w:lang w:val="en-GB"/>
        </w:rPr>
        <w:t>ly</w:t>
      </w:r>
      <w:r w:rsidRPr="00E8394D">
        <w:rPr>
          <w:lang w:val="en-GB"/>
        </w:rPr>
        <w:t xml:space="preserve"> implement</w:t>
      </w:r>
      <w:r w:rsidR="00E8394D">
        <w:rPr>
          <w:lang w:val="en-GB"/>
        </w:rPr>
        <w:t>ing</w:t>
      </w:r>
      <w:r w:rsidRPr="00E8394D">
        <w:rPr>
          <w:lang w:val="en-GB"/>
        </w:rPr>
        <w:t xml:space="preserve"> the Bougainville Peace Accord.</w:t>
      </w:r>
    </w:p>
    <w:p w14:paraId="2BE61375" w14:textId="77777777" w:rsidR="003E7F05" w:rsidRPr="00E8394D" w:rsidRDefault="009307D4" w:rsidP="00BA5E65">
      <w:pPr>
        <w:pStyle w:val="ListParagraph"/>
        <w:numPr>
          <w:ilvl w:val="0"/>
          <w:numId w:val="4"/>
        </w:numPr>
        <w:tabs>
          <w:tab w:val="left" w:pos="450"/>
        </w:tabs>
        <w:spacing w:after="120"/>
        <w:ind w:left="0" w:firstLine="0"/>
        <w:jc w:val="both"/>
        <w:rPr>
          <w:lang w:val="en-GB"/>
        </w:rPr>
      </w:pPr>
      <w:r w:rsidRPr="00E8394D">
        <w:rPr>
          <w:lang w:val="en-GB"/>
        </w:rPr>
        <w:t xml:space="preserve">The </w:t>
      </w:r>
      <w:r w:rsidR="009D16AF">
        <w:rPr>
          <w:lang w:val="en-GB"/>
        </w:rPr>
        <w:t xml:space="preserve">country’s </w:t>
      </w:r>
      <w:r w:rsidRPr="00E8394D">
        <w:rPr>
          <w:lang w:val="en-GB"/>
        </w:rPr>
        <w:t xml:space="preserve">7.7 million </w:t>
      </w:r>
      <w:r w:rsidR="009D16AF">
        <w:rPr>
          <w:lang w:val="en-GB"/>
        </w:rPr>
        <w:t>people</w:t>
      </w:r>
      <w:r w:rsidR="009D16AF" w:rsidRPr="009D16AF">
        <w:rPr>
          <w:lang w:val="en-GB"/>
        </w:rPr>
        <w:t xml:space="preserve"> </w:t>
      </w:r>
      <w:r w:rsidR="009D16AF">
        <w:rPr>
          <w:lang w:val="en-GB"/>
        </w:rPr>
        <w:t xml:space="preserve">are </w:t>
      </w:r>
      <w:r w:rsidR="009D16AF" w:rsidRPr="00E8394D">
        <w:rPr>
          <w:lang w:val="en-GB"/>
        </w:rPr>
        <w:t>diverse and disperse</w:t>
      </w:r>
      <w:r w:rsidR="009D16AF">
        <w:rPr>
          <w:lang w:val="en-GB"/>
        </w:rPr>
        <w:t>d;</w:t>
      </w:r>
      <w:r w:rsidRPr="00E8394D">
        <w:rPr>
          <w:vertAlign w:val="superscript"/>
          <w:lang w:val="en-GB"/>
        </w:rPr>
        <w:footnoteReference w:id="1"/>
      </w:r>
      <w:r w:rsidR="00212F3A" w:rsidRPr="00E8394D">
        <w:rPr>
          <w:lang w:val="en-GB"/>
        </w:rPr>
        <w:t xml:space="preserve"> </w:t>
      </w:r>
      <w:r w:rsidRPr="00E8394D">
        <w:rPr>
          <w:lang w:val="en-GB" w:eastAsia="en-AU"/>
        </w:rPr>
        <w:t xml:space="preserve">85 </w:t>
      </w:r>
      <w:r w:rsidR="00372FCB" w:rsidRPr="00E8394D">
        <w:rPr>
          <w:lang w:val="en-GB" w:eastAsia="en-AU"/>
        </w:rPr>
        <w:t>per cent</w:t>
      </w:r>
      <w:r w:rsidRPr="00E8394D">
        <w:rPr>
          <w:lang w:val="en-GB" w:eastAsia="en-AU"/>
        </w:rPr>
        <w:t xml:space="preserve"> </w:t>
      </w:r>
      <w:r w:rsidR="00212F3A" w:rsidRPr="00E8394D">
        <w:rPr>
          <w:lang w:val="en-GB" w:eastAsia="en-AU"/>
        </w:rPr>
        <w:t xml:space="preserve">live </w:t>
      </w:r>
      <w:r w:rsidRPr="00E8394D">
        <w:rPr>
          <w:lang w:val="en-GB" w:eastAsia="en-AU"/>
        </w:rPr>
        <w:t xml:space="preserve">in rural areas, </w:t>
      </w:r>
      <w:r w:rsidRPr="00E8394D">
        <w:rPr>
          <w:lang w:val="en-GB"/>
        </w:rPr>
        <w:t>spread over 600 islands.</w:t>
      </w:r>
      <w:r w:rsidR="007A3682" w:rsidRPr="00E8394D">
        <w:rPr>
          <w:rStyle w:val="FootnoteReference"/>
          <w:lang w:val="en-GB"/>
        </w:rPr>
        <w:footnoteReference w:id="2"/>
      </w:r>
      <w:r w:rsidRPr="00E8394D">
        <w:rPr>
          <w:lang w:val="en-GB"/>
        </w:rPr>
        <w:t xml:space="preserve"> The topography makes it difficult to access parts of the country, </w:t>
      </w:r>
      <w:r w:rsidR="001A6340" w:rsidRPr="00E8394D">
        <w:rPr>
          <w:lang w:val="en-GB"/>
        </w:rPr>
        <w:t xml:space="preserve">so </w:t>
      </w:r>
      <w:r w:rsidRPr="00E8394D">
        <w:rPr>
          <w:lang w:val="en-GB"/>
        </w:rPr>
        <w:t>governance and delivery of social services is expensive, weak and uneven.</w:t>
      </w:r>
      <w:r w:rsidR="000E2028" w:rsidRPr="00E8394D">
        <w:rPr>
          <w:rStyle w:val="FootnoteReference"/>
          <w:lang w:val="en-GB"/>
        </w:rPr>
        <w:footnoteReference w:id="3"/>
      </w:r>
      <w:r w:rsidR="00C313F7" w:rsidRPr="00E8394D">
        <w:rPr>
          <w:lang w:val="en-GB"/>
        </w:rPr>
        <w:t xml:space="preserve"> </w:t>
      </w:r>
      <w:r w:rsidR="009D16AF" w:rsidRPr="00E8394D">
        <w:rPr>
          <w:lang w:val="en-GB"/>
        </w:rPr>
        <w:t>Papua New Guinea</w:t>
      </w:r>
      <w:r w:rsidR="004D7EEF" w:rsidRPr="00E8394D">
        <w:rPr>
          <w:lang w:val="en-GB"/>
        </w:rPr>
        <w:t xml:space="preserve"> </w:t>
      </w:r>
      <w:r w:rsidR="005D3269" w:rsidRPr="00E8394D">
        <w:rPr>
          <w:lang w:val="en-GB"/>
        </w:rPr>
        <w:t>did not</w:t>
      </w:r>
      <w:r w:rsidR="004D7EEF" w:rsidRPr="00E8394D">
        <w:rPr>
          <w:lang w:val="en-GB"/>
        </w:rPr>
        <w:t xml:space="preserve"> achiev</w:t>
      </w:r>
      <w:r w:rsidR="005D3269" w:rsidRPr="00E8394D">
        <w:rPr>
          <w:lang w:val="en-GB"/>
        </w:rPr>
        <w:t>e</w:t>
      </w:r>
      <w:r w:rsidR="004D7EEF" w:rsidRPr="00E8394D">
        <w:rPr>
          <w:lang w:val="en-GB"/>
        </w:rPr>
        <w:t xml:space="preserve"> the Millennium Development Goals by 2015</w:t>
      </w:r>
      <w:r w:rsidR="003E7F05" w:rsidRPr="00E8394D">
        <w:rPr>
          <w:lang w:val="en-GB"/>
        </w:rPr>
        <w:t xml:space="preserve"> and </w:t>
      </w:r>
      <w:r w:rsidR="00EA2F61" w:rsidRPr="00E8394D">
        <w:rPr>
          <w:lang w:val="en-GB"/>
        </w:rPr>
        <w:t>is ranked 15</w:t>
      </w:r>
      <w:r w:rsidR="00AF38EB" w:rsidRPr="00E8394D">
        <w:rPr>
          <w:lang w:val="en-GB"/>
        </w:rPr>
        <w:t>4</w:t>
      </w:r>
      <w:r w:rsidR="00EA2F61" w:rsidRPr="00E8394D">
        <w:rPr>
          <w:lang w:val="en-GB"/>
        </w:rPr>
        <w:t xml:space="preserve"> out of 188 countries </w:t>
      </w:r>
      <w:r w:rsidR="009D16AF">
        <w:rPr>
          <w:lang w:val="en-GB"/>
        </w:rPr>
        <w:t>(l</w:t>
      </w:r>
      <w:r w:rsidR="00EA2F61" w:rsidRPr="00E8394D">
        <w:rPr>
          <w:lang w:val="en-GB"/>
        </w:rPr>
        <w:t xml:space="preserve">ow </w:t>
      </w:r>
      <w:r w:rsidR="009D16AF">
        <w:rPr>
          <w:lang w:val="en-GB"/>
        </w:rPr>
        <w:t>h</w:t>
      </w:r>
      <w:r w:rsidR="00EA2F61" w:rsidRPr="00E8394D">
        <w:rPr>
          <w:lang w:val="en-GB"/>
        </w:rPr>
        <w:t xml:space="preserve">uman </w:t>
      </w:r>
      <w:r w:rsidR="009D16AF">
        <w:rPr>
          <w:lang w:val="en-GB"/>
        </w:rPr>
        <w:t>d</w:t>
      </w:r>
      <w:r w:rsidR="00EA2F61" w:rsidRPr="00E8394D">
        <w:rPr>
          <w:lang w:val="en-GB"/>
        </w:rPr>
        <w:t>evelopment</w:t>
      </w:r>
      <w:r w:rsidR="009D16AF">
        <w:rPr>
          <w:lang w:val="en-GB"/>
        </w:rPr>
        <w:t>)</w:t>
      </w:r>
      <w:r w:rsidR="00EA2F61" w:rsidRPr="00E8394D">
        <w:rPr>
          <w:lang w:val="en-GB"/>
        </w:rPr>
        <w:t xml:space="preserve"> </w:t>
      </w:r>
      <w:r w:rsidR="009D16AF">
        <w:rPr>
          <w:lang w:val="en-GB"/>
        </w:rPr>
        <w:t>in the h</w:t>
      </w:r>
      <w:r w:rsidR="00EA2F61" w:rsidRPr="00E8394D">
        <w:rPr>
          <w:lang w:val="en-GB"/>
        </w:rPr>
        <w:t xml:space="preserve">uman </w:t>
      </w:r>
      <w:r w:rsidR="009D16AF">
        <w:rPr>
          <w:lang w:val="en-GB"/>
        </w:rPr>
        <w:t>d</w:t>
      </w:r>
      <w:r w:rsidR="00EA2F61" w:rsidRPr="00E8394D">
        <w:rPr>
          <w:lang w:val="en-GB"/>
        </w:rPr>
        <w:t xml:space="preserve">evelopment </w:t>
      </w:r>
      <w:r w:rsidR="009D16AF">
        <w:rPr>
          <w:lang w:val="en-GB"/>
        </w:rPr>
        <w:t>i</w:t>
      </w:r>
      <w:r w:rsidR="00EA2F61" w:rsidRPr="00E8394D">
        <w:rPr>
          <w:lang w:val="en-GB"/>
        </w:rPr>
        <w:t xml:space="preserve">ndex 2015. </w:t>
      </w:r>
      <w:r w:rsidR="009D16AF">
        <w:rPr>
          <w:lang w:val="en-GB"/>
        </w:rPr>
        <w:t xml:space="preserve">In 2011, </w:t>
      </w:r>
      <w:r w:rsidRPr="00E8394D">
        <w:rPr>
          <w:lang w:val="en-GB"/>
        </w:rPr>
        <w:t xml:space="preserve">51.5 </w:t>
      </w:r>
      <w:r w:rsidR="00372FCB" w:rsidRPr="00E8394D">
        <w:rPr>
          <w:lang w:val="en-GB"/>
        </w:rPr>
        <w:t>per cent</w:t>
      </w:r>
      <w:r w:rsidRPr="00E8394D">
        <w:rPr>
          <w:lang w:val="en-GB"/>
        </w:rPr>
        <w:t xml:space="preserve"> of the population </w:t>
      </w:r>
      <w:r w:rsidR="009D16AF">
        <w:rPr>
          <w:lang w:val="en-GB"/>
        </w:rPr>
        <w:t xml:space="preserve">were </w:t>
      </w:r>
      <w:r w:rsidRPr="00E8394D">
        <w:rPr>
          <w:lang w:val="en-GB"/>
        </w:rPr>
        <w:t>younger than 19 years of age</w:t>
      </w:r>
      <w:r w:rsidR="009D16AF">
        <w:rPr>
          <w:lang w:val="en-GB"/>
        </w:rPr>
        <w:t>,</w:t>
      </w:r>
      <w:r w:rsidRPr="00E8394D">
        <w:rPr>
          <w:vertAlign w:val="superscript"/>
          <w:lang w:val="en-GB"/>
        </w:rPr>
        <w:footnoteReference w:id="4"/>
      </w:r>
      <w:r w:rsidR="00BD517B" w:rsidRPr="00E8394D">
        <w:rPr>
          <w:lang w:val="en-GB"/>
        </w:rPr>
        <w:t xml:space="preserve"> </w:t>
      </w:r>
      <w:r w:rsidR="00212F3A" w:rsidRPr="00E8394D">
        <w:rPr>
          <w:lang w:val="en-GB"/>
        </w:rPr>
        <w:t xml:space="preserve">and </w:t>
      </w:r>
      <w:r w:rsidR="00BD517B" w:rsidRPr="00E8394D">
        <w:rPr>
          <w:lang w:val="en-GB"/>
        </w:rPr>
        <w:t xml:space="preserve">have </w:t>
      </w:r>
      <w:r w:rsidR="00942968" w:rsidRPr="00E8394D">
        <w:rPr>
          <w:lang w:val="en-GB"/>
        </w:rPr>
        <w:t xml:space="preserve">little </w:t>
      </w:r>
      <w:r w:rsidR="009D16AF">
        <w:rPr>
          <w:lang w:val="en-GB"/>
        </w:rPr>
        <w:t xml:space="preserve">voice </w:t>
      </w:r>
      <w:r w:rsidR="00942968" w:rsidRPr="00E8394D">
        <w:rPr>
          <w:lang w:val="en-GB"/>
        </w:rPr>
        <w:t>within the formal political system</w:t>
      </w:r>
      <w:r w:rsidR="00CF0974" w:rsidRPr="00E8394D">
        <w:rPr>
          <w:lang w:val="en-GB"/>
        </w:rPr>
        <w:t>.</w:t>
      </w:r>
      <w:r w:rsidR="00CF0974" w:rsidRPr="00E8394D">
        <w:rPr>
          <w:vertAlign w:val="superscript"/>
          <w:lang w:val="en-GB"/>
        </w:rPr>
        <w:footnoteReference w:id="5"/>
      </w:r>
      <w:r w:rsidR="00CF0974" w:rsidRPr="00E8394D">
        <w:rPr>
          <w:vertAlign w:val="superscript"/>
          <w:lang w:val="en-GB"/>
        </w:rPr>
        <w:t xml:space="preserve"> </w:t>
      </w:r>
      <w:r w:rsidR="0082584D" w:rsidRPr="00E8394D">
        <w:rPr>
          <w:lang w:val="en-GB"/>
        </w:rPr>
        <w:t>The poorest</w:t>
      </w:r>
      <w:r w:rsidR="009D16AF">
        <w:rPr>
          <w:lang w:val="en-GB"/>
        </w:rPr>
        <w:t xml:space="preserve">, </w:t>
      </w:r>
      <w:r w:rsidR="0068650E" w:rsidRPr="00E8394D">
        <w:rPr>
          <w:lang w:val="en-GB"/>
        </w:rPr>
        <w:t xml:space="preserve">most vulnerable </w:t>
      </w:r>
      <w:r w:rsidR="0082584D" w:rsidRPr="00E8394D">
        <w:rPr>
          <w:lang w:val="en-GB"/>
        </w:rPr>
        <w:t xml:space="preserve">people have </w:t>
      </w:r>
      <w:r w:rsidR="00B027B9" w:rsidRPr="00E8394D">
        <w:rPr>
          <w:lang w:val="en-GB"/>
        </w:rPr>
        <w:t>one or more of t</w:t>
      </w:r>
      <w:r w:rsidR="0013595F" w:rsidRPr="00E8394D">
        <w:rPr>
          <w:lang w:val="en-GB"/>
        </w:rPr>
        <w:t>he following common</w:t>
      </w:r>
      <w:r w:rsidR="0082584D" w:rsidRPr="00E8394D">
        <w:rPr>
          <w:lang w:val="en-GB"/>
        </w:rPr>
        <w:t xml:space="preserve"> attributes</w:t>
      </w:r>
      <w:r w:rsidR="00F35474">
        <w:rPr>
          <w:lang w:val="en-GB"/>
        </w:rPr>
        <w:t>,</w:t>
      </w:r>
      <w:r w:rsidR="0082584D" w:rsidRPr="00E8394D">
        <w:rPr>
          <w:lang w:val="en-GB"/>
        </w:rPr>
        <w:t xml:space="preserve"> </w:t>
      </w:r>
      <w:r w:rsidR="0068650E" w:rsidRPr="00E8394D">
        <w:rPr>
          <w:lang w:val="en-GB"/>
        </w:rPr>
        <w:t>they</w:t>
      </w:r>
      <w:r w:rsidR="00B53842">
        <w:rPr>
          <w:lang w:val="en-GB"/>
        </w:rPr>
        <w:t>:</w:t>
      </w:r>
      <w:r w:rsidR="0068650E" w:rsidRPr="00E8394D">
        <w:rPr>
          <w:lang w:val="en-GB"/>
        </w:rPr>
        <w:t xml:space="preserve"> live across the borders of two provinces so that no administration takes responsibility for them; have few well</w:t>
      </w:r>
      <w:r w:rsidR="009D16AF">
        <w:rPr>
          <w:lang w:val="en-GB"/>
        </w:rPr>
        <w:t>-</w:t>
      </w:r>
      <w:r w:rsidR="0068650E" w:rsidRPr="00E8394D">
        <w:rPr>
          <w:lang w:val="en-GB"/>
        </w:rPr>
        <w:t xml:space="preserve">educated people in positions of influence to </w:t>
      </w:r>
      <w:r w:rsidR="0013595F" w:rsidRPr="00E8394D">
        <w:rPr>
          <w:lang w:val="en-GB"/>
        </w:rPr>
        <w:t>represent their voices</w:t>
      </w:r>
      <w:r w:rsidR="0068650E" w:rsidRPr="00E8394D">
        <w:rPr>
          <w:lang w:val="en-GB"/>
        </w:rPr>
        <w:t xml:space="preserve">; </w:t>
      </w:r>
      <w:r w:rsidR="00A241D0" w:rsidRPr="00E8394D">
        <w:rPr>
          <w:lang w:val="en-GB"/>
        </w:rPr>
        <w:t>have no road connection</w:t>
      </w:r>
      <w:r w:rsidR="00B53842">
        <w:rPr>
          <w:lang w:val="en-GB"/>
        </w:rPr>
        <w:t>s</w:t>
      </w:r>
      <w:r w:rsidR="00A241D0" w:rsidRPr="00E8394D">
        <w:rPr>
          <w:lang w:val="en-GB"/>
        </w:rPr>
        <w:t xml:space="preserve"> and</w:t>
      </w:r>
      <w:r w:rsidR="009D16AF">
        <w:rPr>
          <w:lang w:val="en-GB"/>
        </w:rPr>
        <w:t xml:space="preserve"> </w:t>
      </w:r>
      <w:r w:rsidR="00A241D0" w:rsidRPr="00E8394D">
        <w:rPr>
          <w:lang w:val="en-GB"/>
        </w:rPr>
        <w:t xml:space="preserve">very poor access to markets or services; </w:t>
      </w:r>
      <w:r w:rsidR="0068650E" w:rsidRPr="00E8394D">
        <w:rPr>
          <w:lang w:val="en-GB"/>
        </w:rPr>
        <w:t xml:space="preserve">are in wage earning positions </w:t>
      </w:r>
      <w:r w:rsidR="009F15CB" w:rsidRPr="00E8394D">
        <w:rPr>
          <w:lang w:val="en-GB"/>
        </w:rPr>
        <w:t xml:space="preserve">where they cannot </w:t>
      </w:r>
      <w:r w:rsidR="0068650E" w:rsidRPr="00E8394D">
        <w:rPr>
          <w:lang w:val="en-GB"/>
        </w:rPr>
        <w:t>send remittances home</w:t>
      </w:r>
      <w:r w:rsidR="0013595F" w:rsidRPr="00E8394D">
        <w:rPr>
          <w:lang w:val="en-GB"/>
        </w:rPr>
        <w:t>;</w:t>
      </w:r>
      <w:r w:rsidR="0068650E" w:rsidRPr="00E8394D">
        <w:rPr>
          <w:lang w:val="en-GB"/>
        </w:rPr>
        <w:t xml:space="preserve"> and experience </w:t>
      </w:r>
      <w:r w:rsidR="0082584D" w:rsidRPr="00E8394D">
        <w:rPr>
          <w:lang w:val="en-GB"/>
        </w:rPr>
        <w:t xml:space="preserve">at least one severe environmental constraint (annual flooding, steep slopes, high rainfall, poor soils, high altitude or high cloud cover) or are on a small offshore </w:t>
      </w:r>
      <w:r w:rsidR="0013595F" w:rsidRPr="00E8394D">
        <w:rPr>
          <w:lang w:val="en-GB"/>
        </w:rPr>
        <w:t xml:space="preserve">isolated </w:t>
      </w:r>
      <w:r w:rsidR="0082584D" w:rsidRPr="00E8394D">
        <w:rPr>
          <w:lang w:val="en-GB"/>
        </w:rPr>
        <w:t>island</w:t>
      </w:r>
      <w:r w:rsidR="0068650E" w:rsidRPr="00E8394D">
        <w:rPr>
          <w:lang w:val="en-GB"/>
        </w:rPr>
        <w:t xml:space="preserve">. </w:t>
      </w:r>
      <w:r w:rsidR="00345C1D" w:rsidRPr="00E8394D">
        <w:rPr>
          <w:lang w:val="en-GB"/>
        </w:rPr>
        <w:t>This is the population UNDP will target.</w:t>
      </w:r>
    </w:p>
    <w:p w14:paraId="348540BA" w14:textId="77777777" w:rsidR="003E7F05" w:rsidRPr="00E8394D" w:rsidRDefault="00415AA9" w:rsidP="00BA5E65">
      <w:pPr>
        <w:pStyle w:val="ListParagraph"/>
        <w:tabs>
          <w:tab w:val="left" w:pos="450"/>
        </w:tabs>
        <w:spacing w:after="120"/>
        <w:ind w:left="0"/>
        <w:jc w:val="both"/>
        <w:rPr>
          <w:lang w:val="en-GB"/>
        </w:rPr>
      </w:pPr>
      <w:r w:rsidRPr="00E8394D">
        <w:rPr>
          <w:lang w:val="en-GB"/>
        </w:rPr>
        <w:t xml:space="preserve">3. </w:t>
      </w:r>
      <w:r w:rsidR="00E44AC9" w:rsidRPr="00E8394D">
        <w:rPr>
          <w:lang w:val="en-GB"/>
        </w:rPr>
        <w:tab/>
      </w:r>
      <w:r w:rsidR="003E7F05" w:rsidRPr="00E8394D">
        <w:rPr>
          <w:lang w:val="en-GB"/>
        </w:rPr>
        <w:t>The country is undergoing important transitions</w:t>
      </w:r>
      <w:r w:rsidR="00F35474">
        <w:rPr>
          <w:lang w:val="en-GB"/>
        </w:rPr>
        <w:t>,</w:t>
      </w:r>
      <w:r w:rsidR="003E7F05" w:rsidRPr="00E8394D">
        <w:rPr>
          <w:lang w:val="en-GB"/>
        </w:rPr>
        <w:t xml:space="preserve"> including from ‘tradition’ to ‘modernity’ where citizens pay taxes and</w:t>
      </w:r>
      <w:r w:rsidR="00F35474">
        <w:rPr>
          <w:lang w:val="en-GB"/>
        </w:rPr>
        <w:t>,</w:t>
      </w:r>
      <w:r w:rsidR="003E7F05" w:rsidRPr="00E8394D">
        <w:rPr>
          <w:lang w:val="en-GB"/>
        </w:rPr>
        <w:t xml:space="preserve"> in return</w:t>
      </w:r>
      <w:r w:rsidR="00F35474">
        <w:rPr>
          <w:lang w:val="en-GB"/>
        </w:rPr>
        <w:t>,</w:t>
      </w:r>
      <w:r w:rsidR="003E7F05" w:rsidRPr="00E8394D">
        <w:rPr>
          <w:lang w:val="en-GB"/>
        </w:rPr>
        <w:t xml:space="preserve"> </w:t>
      </w:r>
      <w:r w:rsidR="00A03C0E" w:rsidRPr="00E8394D">
        <w:rPr>
          <w:lang w:val="en-GB"/>
        </w:rPr>
        <w:t xml:space="preserve">expect to </w:t>
      </w:r>
      <w:r w:rsidR="003E7F05" w:rsidRPr="00E8394D">
        <w:rPr>
          <w:lang w:val="en-GB"/>
        </w:rPr>
        <w:t xml:space="preserve">receive essential services from the state. </w:t>
      </w:r>
      <w:r w:rsidR="00164881">
        <w:rPr>
          <w:lang w:val="en-GB"/>
        </w:rPr>
        <w:t xml:space="preserve">The first </w:t>
      </w:r>
      <w:r w:rsidR="003E7F05" w:rsidRPr="00E8394D">
        <w:rPr>
          <w:lang w:val="en-GB"/>
        </w:rPr>
        <w:t>k</w:t>
      </w:r>
      <w:r w:rsidR="004D7EEF" w:rsidRPr="00E8394D">
        <w:rPr>
          <w:lang w:val="en-GB"/>
        </w:rPr>
        <w:t xml:space="preserve">ey </w:t>
      </w:r>
      <w:r w:rsidR="00C73DA7" w:rsidRPr="00E8394D">
        <w:rPr>
          <w:lang w:val="en-GB"/>
        </w:rPr>
        <w:t xml:space="preserve">development challenge </w:t>
      </w:r>
      <w:r w:rsidR="00164881">
        <w:rPr>
          <w:lang w:val="en-GB"/>
        </w:rPr>
        <w:t xml:space="preserve">is </w:t>
      </w:r>
      <w:r w:rsidR="00F35474">
        <w:rPr>
          <w:lang w:val="en-GB"/>
        </w:rPr>
        <w:t>g</w:t>
      </w:r>
      <w:r w:rsidR="00C73DA7" w:rsidRPr="00E8394D">
        <w:rPr>
          <w:lang w:val="en-GB"/>
        </w:rPr>
        <w:t xml:space="preserve">overnment </w:t>
      </w:r>
      <w:r w:rsidR="00E32B0C" w:rsidRPr="00E8394D">
        <w:rPr>
          <w:lang w:val="en-GB"/>
        </w:rPr>
        <w:t>capacity</w:t>
      </w:r>
      <w:r w:rsidR="00E9225A" w:rsidRPr="00E8394D">
        <w:rPr>
          <w:lang w:val="en-GB"/>
        </w:rPr>
        <w:t xml:space="preserve"> (at national and local levels)</w:t>
      </w:r>
      <w:r w:rsidR="00C73DA7" w:rsidRPr="00E8394D">
        <w:rPr>
          <w:lang w:val="en-GB"/>
        </w:rPr>
        <w:t xml:space="preserve"> </w:t>
      </w:r>
      <w:r w:rsidR="00F35474">
        <w:rPr>
          <w:lang w:val="en-GB"/>
        </w:rPr>
        <w:t xml:space="preserve">and </w:t>
      </w:r>
      <w:r w:rsidR="00C73DA7" w:rsidRPr="00E8394D">
        <w:rPr>
          <w:lang w:val="en-GB"/>
        </w:rPr>
        <w:t xml:space="preserve">legislation and business </w:t>
      </w:r>
      <w:r w:rsidR="00E32B0C" w:rsidRPr="00E8394D">
        <w:rPr>
          <w:lang w:val="en-GB"/>
        </w:rPr>
        <w:t>processes</w:t>
      </w:r>
      <w:r w:rsidR="00C73DA7" w:rsidRPr="00E8394D">
        <w:rPr>
          <w:lang w:val="en-GB"/>
        </w:rPr>
        <w:t xml:space="preserve"> to </w:t>
      </w:r>
      <w:r w:rsidR="00905CE1" w:rsidRPr="00E8394D">
        <w:rPr>
          <w:lang w:val="en-GB"/>
        </w:rPr>
        <w:t xml:space="preserve">finance, manage and </w:t>
      </w:r>
      <w:r w:rsidR="00C73DA7" w:rsidRPr="00E8394D">
        <w:rPr>
          <w:lang w:val="en-GB"/>
        </w:rPr>
        <w:t xml:space="preserve">deliver </w:t>
      </w:r>
      <w:r w:rsidR="00E32B0C" w:rsidRPr="00E8394D">
        <w:rPr>
          <w:lang w:val="en-GB"/>
        </w:rPr>
        <w:t>basic</w:t>
      </w:r>
      <w:r w:rsidR="00C73DA7" w:rsidRPr="00E8394D">
        <w:rPr>
          <w:lang w:val="en-GB"/>
        </w:rPr>
        <w:t xml:space="preserve"> services</w:t>
      </w:r>
      <w:r w:rsidR="00E32B0C" w:rsidRPr="00E8394D">
        <w:rPr>
          <w:lang w:val="en-GB"/>
        </w:rPr>
        <w:t xml:space="preserve">. </w:t>
      </w:r>
      <w:r w:rsidR="009F15CB" w:rsidRPr="00E8394D">
        <w:rPr>
          <w:lang w:val="en-GB"/>
        </w:rPr>
        <w:t>Lack of data for inclusive</w:t>
      </w:r>
      <w:r w:rsidR="00F35474">
        <w:rPr>
          <w:lang w:val="en-GB"/>
        </w:rPr>
        <w:t xml:space="preserve">, </w:t>
      </w:r>
      <w:r w:rsidR="009F15CB" w:rsidRPr="00E8394D">
        <w:rPr>
          <w:lang w:val="en-GB"/>
        </w:rPr>
        <w:t>evidence</w:t>
      </w:r>
      <w:r w:rsidR="00F35474">
        <w:rPr>
          <w:lang w:val="en-GB"/>
        </w:rPr>
        <w:t>-</w:t>
      </w:r>
      <w:r w:rsidR="009F15CB" w:rsidRPr="00E8394D">
        <w:rPr>
          <w:lang w:val="en-GB"/>
        </w:rPr>
        <w:t xml:space="preserve">based development </w:t>
      </w:r>
      <w:r w:rsidR="00A03C0E" w:rsidRPr="00E8394D">
        <w:rPr>
          <w:lang w:val="en-GB"/>
        </w:rPr>
        <w:t>makes it difficult to monitor progress</w:t>
      </w:r>
      <w:r w:rsidR="00AD54D0" w:rsidRPr="00E8394D">
        <w:rPr>
          <w:lang w:val="en-GB"/>
        </w:rPr>
        <w:t xml:space="preserve">. </w:t>
      </w:r>
      <w:r w:rsidR="00EB5571" w:rsidRPr="00E8394D">
        <w:rPr>
          <w:lang w:val="en-GB"/>
        </w:rPr>
        <w:t xml:space="preserve">A 2016 UNICEF </w:t>
      </w:r>
      <w:r w:rsidR="00E11C6E" w:rsidRPr="00E8394D">
        <w:rPr>
          <w:lang w:val="en-GB"/>
        </w:rPr>
        <w:t>study</w:t>
      </w:r>
      <w:r w:rsidR="00EB5571" w:rsidRPr="00E8394D">
        <w:rPr>
          <w:vertAlign w:val="superscript"/>
          <w:lang w:val="en-GB"/>
        </w:rPr>
        <w:footnoteReference w:id="6"/>
      </w:r>
      <w:r w:rsidR="00EB5571" w:rsidRPr="00E8394D">
        <w:rPr>
          <w:vertAlign w:val="superscript"/>
          <w:lang w:val="en-GB"/>
        </w:rPr>
        <w:t xml:space="preserve"> </w:t>
      </w:r>
      <w:r w:rsidR="00300FC6" w:rsidRPr="00E8394D">
        <w:rPr>
          <w:lang w:val="en-GB"/>
        </w:rPr>
        <w:t xml:space="preserve">found that </w:t>
      </w:r>
      <w:r w:rsidR="00F35474" w:rsidRPr="00E8394D">
        <w:rPr>
          <w:lang w:val="en-GB"/>
        </w:rPr>
        <w:t>Papua New Guinea</w:t>
      </w:r>
      <w:r w:rsidR="00F35474" w:rsidRPr="00E8394D" w:rsidDel="00F35474">
        <w:rPr>
          <w:lang w:val="en-GB"/>
        </w:rPr>
        <w:t xml:space="preserve"> </w:t>
      </w:r>
      <w:r w:rsidR="00EB5571" w:rsidRPr="00E8394D">
        <w:rPr>
          <w:lang w:val="en-GB"/>
        </w:rPr>
        <w:t xml:space="preserve">lacked </w:t>
      </w:r>
      <w:r w:rsidR="001A6340" w:rsidRPr="00E8394D">
        <w:rPr>
          <w:lang w:val="en-GB"/>
        </w:rPr>
        <w:t xml:space="preserve">three </w:t>
      </w:r>
      <w:r w:rsidR="00EB5571" w:rsidRPr="00E8394D">
        <w:rPr>
          <w:lang w:val="en-GB"/>
        </w:rPr>
        <w:t xml:space="preserve">essential </w:t>
      </w:r>
      <w:r w:rsidR="00F35474">
        <w:rPr>
          <w:lang w:val="en-GB"/>
        </w:rPr>
        <w:t xml:space="preserve">components of </w:t>
      </w:r>
      <w:r w:rsidR="00EB5571" w:rsidRPr="00E8394D">
        <w:rPr>
          <w:lang w:val="en-GB"/>
        </w:rPr>
        <w:t>effective service delivery</w:t>
      </w:r>
      <w:r w:rsidR="00372FCB" w:rsidRPr="00E8394D">
        <w:rPr>
          <w:lang w:val="en-GB"/>
        </w:rPr>
        <w:t>:</w:t>
      </w:r>
      <w:r w:rsidR="001A6340" w:rsidRPr="00E8394D">
        <w:rPr>
          <w:lang w:val="en-GB"/>
        </w:rPr>
        <w:t xml:space="preserve"> </w:t>
      </w:r>
      <w:r w:rsidR="00F35474">
        <w:rPr>
          <w:lang w:val="en-GB"/>
        </w:rPr>
        <w:t>(a</w:t>
      </w:r>
      <w:r w:rsidR="00EB5571" w:rsidRPr="00E8394D">
        <w:rPr>
          <w:lang w:val="en-GB"/>
        </w:rPr>
        <w:t xml:space="preserve">) popular participation in development; </w:t>
      </w:r>
      <w:r w:rsidR="00F35474">
        <w:rPr>
          <w:lang w:val="en-GB"/>
        </w:rPr>
        <w:t>(b</w:t>
      </w:r>
      <w:r w:rsidR="00EB5571" w:rsidRPr="00E8394D">
        <w:rPr>
          <w:lang w:val="en-GB"/>
        </w:rPr>
        <w:t xml:space="preserve">) officials trained to perform duties at the local level; and </w:t>
      </w:r>
      <w:r w:rsidR="00F35474">
        <w:rPr>
          <w:lang w:val="en-GB"/>
        </w:rPr>
        <w:t>(c</w:t>
      </w:r>
      <w:r w:rsidR="00EB5571" w:rsidRPr="00E8394D">
        <w:rPr>
          <w:lang w:val="en-GB"/>
        </w:rPr>
        <w:t>) a functioning governance system with clear roles, responsibilities</w:t>
      </w:r>
      <w:r w:rsidR="00F35474">
        <w:rPr>
          <w:lang w:val="en-GB"/>
        </w:rPr>
        <w:t xml:space="preserve">, </w:t>
      </w:r>
      <w:r w:rsidR="00EB5571" w:rsidRPr="00E8394D">
        <w:rPr>
          <w:lang w:val="en-GB"/>
        </w:rPr>
        <w:t>accountabilities, monitoring systems</w:t>
      </w:r>
      <w:r w:rsidR="00BD78EE" w:rsidRPr="00E8394D">
        <w:rPr>
          <w:lang w:val="en-GB"/>
        </w:rPr>
        <w:t xml:space="preserve">, </w:t>
      </w:r>
      <w:r w:rsidR="00F35474">
        <w:rPr>
          <w:lang w:val="en-GB"/>
        </w:rPr>
        <w:t xml:space="preserve">and </w:t>
      </w:r>
      <w:r w:rsidR="00EB5571" w:rsidRPr="00E8394D">
        <w:rPr>
          <w:lang w:val="en-GB"/>
        </w:rPr>
        <w:t>manage</w:t>
      </w:r>
      <w:r w:rsidR="00623A69" w:rsidRPr="00E8394D">
        <w:rPr>
          <w:lang w:val="en-GB"/>
        </w:rPr>
        <w:t>ment</w:t>
      </w:r>
      <w:r w:rsidR="00EB5571" w:rsidRPr="00E8394D">
        <w:rPr>
          <w:lang w:val="en-GB"/>
        </w:rPr>
        <w:t xml:space="preserve"> and use of funds. </w:t>
      </w:r>
      <w:r w:rsidR="0045055C" w:rsidRPr="00E8394D">
        <w:rPr>
          <w:rFonts w:eastAsiaTheme="minorHAnsi"/>
          <w:lang w:val="en-GB" w:bidi="he-IL"/>
        </w:rPr>
        <w:t xml:space="preserve">UNDP has been successful in strengthening </w:t>
      </w:r>
      <w:r w:rsidR="00F35474">
        <w:rPr>
          <w:rFonts w:eastAsiaTheme="minorHAnsi"/>
          <w:lang w:val="en-GB" w:bidi="he-IL"/>
        </w:rPr>
        <w:t xml:space="preserve">government </w:t>
      </w:r>
      <w:r w:rsidR="0045055C" w:rsidRPr="00E8394D">
        <w:rPr>
          <w:rFonts w:eastAsiaTheme="minorHAnsi"/>
          <w:lang w:val="en-GB" w:bidi="he-IL"/>
        </w:rPr>
        <w:t xml:space="preserve">capacities at the subnational level and </w:t>
      </w:r>
      <w:r w:rsidRPr="00E8394D">
        <w:rPr>
          <w:rFonts w:eastAsiaTheme="minorHAnsi"/>
          <w:lang w:val="en-GB" w:bidi="he-IL"/>
        </w:rPr>
        <w:t xml:space="preserve">in </w:t>
      </w:r>
      <w:r w:rsidR="0045055C" w:rsidRPr="00E8394D">
        <w:rPr>
          <w:rFonts w:eastAsiaTheme="minorHAnsi"/>
          <w:lang w:val="en-GB" w:bidi="he-IL"/>
        </w:rPr>
        <w:t>supporting increased</w:t>
      </w:r>
      <w:r w:rsidR="00F35474">
        <w:rPr>
          <w:rFonts w:eastAsiaTheme="minorHAnsi"/>
          <w:lang w:val="en-GB" w:bidi="he-IL"/>
        </w:rPr>
        <w:t xml:space="preserve">, </w:t>
      </w:r>
      <w:r w:rsidR="0045055C" w:rsidRPr="00E8394D">
        <w:rPr>
          <w:rFonts w:eastAsiaTheme="minorHAnsi"/>
          <w:lang w:val="en-GB" w:bidi="he-IL"/>
        </w:rPr>
        <w:t>timely reporting on public expenditure from 33</w:t>
      </w:r>
      <w:r w:rsidR="00372FCB" w:rsidRPr="00E8394D">
        <w:rPr>
          <w:rFonts w:eastAsiaTheme="minorHAnsi"/>
          <w:lang w:val="en-GB" w:bidi="he-IL"/>
        </w:rPr>
        <w:t xml:space="preserve"> per cent</w:t>
      </w:r>
      <w:r w:rsidR="0045055C" w:rsidRPr="00E8394D">
        <w:rPr>
          <w:rFonts w:eastAsiaTheme="minorHAnsi"/>
          <w:lang w:val="en-GB" w:bidi="he-IL"/>
        </w:rPr>
        <w:t xml:space="preserve"> to 52</w:t>
      </w:r>
      <w:r w:rsidR="00372FCB" w:rsidRPr="00E8394D">
        <w:rPr>
          <w:rFonts w:eastAsiaTheme="minorHAnsi"/>
          <w:lang w:val="en-GB" w:bidi="he-IL"/>
        </w:rPr>
        <w:t xml:space="preserve"> per cent</w:t>
      </w:r>
      <w:r w:rsidR="0045055C" w:rsidRPr="00E8394D">
        <w:rPr>
          <w:rFonts w:eastAsiaTheme="minorHAnsi"/>
          <w:lang w:val="en-GB" w:bidi="he-IL"/>
        </w:rPr>
        <w:t xml:space="preserve"> through the introduction of a new </w:t>
      </w:r>
      <w:r w:rsidRPr="00E8394D">
        <w:rPr>
          <w:rFonts w:eastAsiaTheme="minorHAnsi"/>
          <w:lang w:val="en-GB" w:bidi="he-IL"/>
        </w:rPr>
        <w:t xml:space="preserve">financial management </w:t>
      </w:r>
      <w:r w:rsidR="0045055C" w:rsidRPr="00E8394D">
        <w:rPr>
          <w:rFonts w:eastAsiaTheme="minorHAnsi"/>
          <w:lang w:val="en-GB" w:bidi="he-IL"/>
        </w:rPr>
        <w:t>tool</w:t>
      </w:r>
      <w:r w:rsidR="00F35474">
        <w:rPr>
          <w:rFonts w:eastAsiaTheme="minorHAnsi"/>
          <w:lang w:val="en-GB" w:bidi="he-IL"/>
        </w:rPr>
        <w:t>.</w:t>
      </w:r>
      <w:r w:rsidR="0045055C" w:rsidRPr="00E8394D">
        <w:rPr>
          <w:rStyle w:val="FootnoteReference"/>
          <w:rFonts w:eastAsiaTheme="minorHAnsi"/>
          <w:lang w:val="en-GB" w:bidi="he-IL"/>
        </w:rPr>
        <w:footnoteReference w:id="7"/>
      </w:r>
      <w:r w:rsidR="0045055C" w:rsidRPr="00E8394D">
        <w:rPr>
          <w:rFonts w:eastAsiaTheme="minorHAnsi"/>
          <w:lang w:val="en-GB" w:bidi="he-IL"/>
        </w:rPr>
        <w:t xml:space="preserve"> </w:t>
      </w:r>
      <w:r w:rsidR="003E7F05" w:rsidRPr="00E8394D">
        <w:rPr>
          <w:lang w:val="en-GB"/>
        </w:rPr>
        <w:t xml:space="preserve">UNDP partnered with the Department of Finance in </w:t>
      </w:r>
      <w:r w:rsidR="00F35474">
        <w:rPr>
          <w:lang w:val="en-GB"/>
        </w:rPr>
        <w:t xml:space="preserve">the </w:t>
      </w:r>
      <w:r w:rsidR="003E7F05" w:rsidRPr="00E8394D">
        <w:rPr>
          <w:lang w:val="en-GB"/>
        </w:rPr>
        <w:t>Phones Against Corruption</w:t>
      </w:r>
      <w:r w:rsidR="00F35474">
        <w:rPr>
          <w:lang w:val="en-GB"/>
        </w:rPr>
        <w:t xml:space="preserve"> initiative</w:t>
      </w:r>
      <w:r w:rsidR="003E7F05" w:rsidRPr="00E8394D">
        <w:rPr>
          <w:lang w:val="en-GB"/>
        </w:rPr>
        <w:t xml:space="preserve">, </w:t>
      </w:r>
      <w:r w:rsidR="00F35474">
        <w:rPr>
          <w:lang w:val="en-GB"/>
        </w:rPr>
        <w:t xml:space="preserve">which is now </w:t>
      </w:r>
      <w:r w:rsidR="003E7F05" w:rsidRPr="00E8394D">
        <w:rPr>
          <w:lang w:val="en-GB"/>
        </w:rPr>
        <w:t xml:space="preserve">being replicated in other parts of </w:t>
      </w:r>
      <w:r w:rsidR="00F35474" w:rsidRPr="00E8394D">
        <w:rPr>
          <w:lang w:val="en-GB"/>
        </w:rPr>
        <w:t>Papua New Guinea</w:t>
      </w:r>
      <w:r w:rsidR="003E7F05" w:rsidRPr="00E8394D">
        <w:rPr>
          <w:lang w:val="en-GB"/>
        </w:rPr>
        <w:t xml:space="preserve"> </w:t>
      </w:r>
      <w:r w:rsidR="00300FC6" w:rsidRPr="00E8394D">
        <w:rPr>
          <w:lang w:val="en-GB"/>
        </w:rPr>
        <w:t xml:space="preserve">and </w:t>
      </w:r>
      <w:r w:rsidR="003E7F05" w:rsidRPr="00E8394D">
        <w:rPr>
          <w:lang w:val="en-GB"/>
        </w:rPr>
        <w:t>other countries.</w:t>
      </w:r>
      <w:r w:rsidR="003E7F05" w:rsidRPr="00E8394D">
        <w:rPr>
          <w:rStyle w:val="FootnoteReference"/>
          <w:lang w:val="en-GB"/>
        </w:rPr>
        <w:footnoteReference w:id="8"/>
      </w:r>
    </w:p>
    <w:p w14:paraId="7710F583" w14:textId="77777777" w:rsidR="00623A69" w:rsidRPr="00E8394D" w:rsidRDefault="00C73DA7" w:rsidP="00BA5E65">
      <w:pPr>
        <w:pStyle w:val="ListParagraph"/>
        <w:numPr>
          <w:ilvl w:val="0"/>
          <w:numId w:val="21"/>
        </w:numPr>
        <w:tabs>
          <w:tab w:val="left" w:pos="450"/>
        </w:tabs>
        <w:spacing w:after="120"/>
        <w:ind w:left="0" w:firstLine="0"/>
        <w:jc w:val="both"/>
        <w:rPr>
          <w:lang w:val="en-GB"/>
        </w:rPr>
      </w:pPr>
      <w:r w:rsidRPr="00E8394D">
        <w:rPr>
          <w:lang w:val="en-GB"/>
        </w:rPr>
        <w:t xml:space="preserve">A second development </w:t>
      </w:r>
      <w:r w:rsidR="00E32B0C" w:rsidRPr="00E8394D">
        <w:rPr>
          <w:lang w:val="en-GB"/>
        </w:rPr>
        <w:t>challenge</w:t>
      </w:r>
      <w:r w:rsidRPr="00E8394D">
        <w:rPr>
          <w:lang w:val="en-GB"/>
        </w:rPr>
        <w:t xml:space="preserve"> </w:t>
      </w:r>
      <w:r w:rsidR="009307D4" w:rsidRPr="00E8394D">
        <w:rPr>
          <w:lang w:val="en-GB"/>
        </w:rPr>
        <w:t>is the lack of social cohesion</w:t>
      </w:r>
      <w:r w:rsidR="00905CE1" w:rsidRPr="00E8394D">
        <w:rPr>
          <w:lang w:val="en-GB"/>
        </w:rPr>
        <w:t xml:space="preserve"> across the country</w:t>
      </w:r>
      <w:r w:rsidR="000D5EC1" w:rsidRPr="00E8394D">
        <w:rPr>
          <w:lang w:val="en-GB"/>
        </w:rPr>
        <w:t xml:space="preserve"> and </w:t>
      </w:r>
      <w:r w:rsidR="00E32B0C" w:rsidRPr="00E8394D">
        <w:rPr>
          <w:lang w:val="en-GB"/>
        </w:rPr>
        <w:t>the high rates</w:t>
      </w:r>
      <w:r w:rsidR="000D5EC1" w:rsidRPr="00E8394D">
        <w:rPr>
          <w:lang w:val="en-GB"/>
        </w:rPr>
        <w:t xml:space="preserve"> of </w:t>
      </w:r>
      <w:r w:rsidR="00A00293">
        <w:rPr>
          <w:lang w:val="en-GB"/>
        </w:rPr>
        <w:t>g</w:t>
      </w:r>
      <w:r w:rsidR="000D5EC1" w:rsidRPr="00E8394D">
        <w:rPr>
          <w:lang w:val="en-GB"/>
        </w:rPr>
        <w:t>ender</w:t>
      </w:r>
      <w:r w:rsidR="00A00293">
        <w:rPr>
          <w:lang w:val="en-GB"/>
        </w:rPr>
        <w:t>-b</w:t>
      </w:r>
      <w:r w:rsidR="000D5EC1" w:rsidRPr="00E8394D">
        <w:rPr>
          <w:lang w:val="en-GB"/>
        </w:rPr>
        <w:t xml:space="preserve">ased </w:t>
      </w:r>
      <w:r w:rsidR="00A00293">
        <w:rPr>
          <w:lang w:val="en-GB"/>
        </w:rPr>
        <w:t>v</w:t>
      </w:r>
      <w:r w:rsidR="000D5EC1" w:rsidRPr="00E8394D">
        <w:rPr>
          <w:lang w:val="en-GB"/>
        </w:rPr>
        <w:t xml:space="preserve">iolence. </w:t>
      </w:r>
      <w:r w:rsidR="00450EC5" w:rsidRPr="00E8394D">
        <w:rPr>
          <w:lang w:val="en-GB"/>
        </w:rPr>
        <w:t xml:space="preserve">Women are underrepresented at all levels of governance and </w:t>
      </w:r>
      <w:r w:rsidR="003B0BD7">
        <w:rPr>
          <w:lang w:val="en-GB"/>
        </w:rPr>
        <w:t xml:space="preserve">in </w:t>
      </w:r>
      <w:r w:rsidR="00450EC5" w:rsidRPr="00E8394D">
        <w:rPr>
          <w:lang w:val="en-GB"/>
        </w:rPr>
        <w:t>decision</w:t>
      </w:r>
      <w:r w:rsidR="003B0BD7">
        <w:rPr>
          <w:lang w:val="en-GB"/>
        </w:rPr>
        <w:t>-</w:t>
      </w:r>
      <w:r w:rsidR="00450EC5" w:rsidRPr="00E8394D">
        <w:rPr>
          <w:lang w:val="en-GB"/>
        </w:rPr>
        <w:t>making</w:t>
      </w:r>
      <w:r w:rsidR="003B0BD7">
        <w:rPr>
          <w:lang w:val="en-GB"/>
        </w:rPr>
        <w:t>.</w:t>
      </w:r>
      <w:r w:rsidR="00450EC5" w:rsidRPr="00E8394D">
        <w:rPr>
          <w:rStyle w:val="FootnoteReference"/>
          <w:lang w:val="en-GB"/>
        </w:rPr>
        <w:footnoteReference w:id="9"/>
      </w:r>
      <w:r w:rsidR="00450EC5" w:rsidRPr="00E8394D">
        <w:rPr>
          <w:lang w:val="en-GB"/>
        </w:rPr>
        <w:t xml:space="preserve"> </w:t>
      </w:r>
      <w:r w:rsidR="008A7AC4" w:rsidRPr="00E8394D">
        <w:rPr>
          <w:lang w:val="en-GB"/>
        </w:rPr>
        <w:t>Currently, t</w:t>
      </w:r>
      <w:r w:rsidR="003E7F05" w:rsidRPr="00E8394D">
        <w:rPr>
          <w:lang w:val="en-GB"/>
        </w:rPr>
        <w:t xml:space="preserve">here are only three women in </w:t>
      </w:r>
      <w:r w:rsidR="00C70374">
        <w:rPr>
          <w:lang w:val="en-GB"/>
        </w:rPr>
        <w:t>P</w:t>
      </w:r>
      <w:r w:rsidR="003E7F05" w:rsidRPr="00E8394D">
        <w:rPr>
          <w:lang w:val="en-GB"/>
        </w:rPr>
        <w:t xml:space="preserve">arliament. The 2012 </w:t>
      </w:r>
      <w:r w:rsidR="003B0BD7">
        <w:rPr>
          <w:lang w:val="en-GB"/>
        </w:rPr>
        <w:t>c</w:t>
      </w:r>
      <w:r w:rsidR="003E7F05" w:rsidRPr="00E8394D">
        <w:rPr>
          <w:lang w:val="en-GB"/>
        </w:rPr>
        <w:t>ommonwealth election observation report found that the current system does not adequately fulfil women’s right to equality in the political sphere.</w:t>
      </w:r>
      <w:r w:rsidR="003E7F05" w:rsidRPr="00E8394D">
        <w:rPr>
          <w:vertAlign w:val="superscript"/>
          <w:lang w:val="en-GB"/>
        </w:rPr>
        <w:footnoteReference w:id="10"/>
      </w:r>
      <w:r w:rsidR="003E7F05" w:rsidRPr="00E8394D">
        <w:rPr>
          <w:lang w:val="en-GB"/>
        </w:rPr>
        <w:t xml:space="preserve"> </w:t>
      </w:r>
      <w:r w:rsidR="003B0BD7" w:rsidRPr="00E8394D">
        <w:rPr>
          <w:lang w:val="en-GB"/>
        </w:rPr>
        <w:t>Papua New Guinea</w:t>
      </w:r>
      <w:r w:rsidR="0043128F">
        <w:rPr>
          <w:lang w:val="en-GB"/>
        </w:rPr>
        <w:t xml:space="preserve"> ranks 143</w:t>
      </w:r>
      <w:r w:rsidR="004D7EEF" w:rsidRPr="00E8394D">
        <w:rPr>
          <w:lang w:val="en-GB"/>
        </w:rPr>
        <w:t xml:space="preserve"> out of 188 </w:t>
      </w:r>
      <w:r w:rsidR="004D7EEF" w:rsidRPr="00E8394D">
        <w:rPr>
          <w:lang w:val="en-GB"/>
        </w:rPr>
        <w:lastRenderedPageBreak/>
        <w:t>countries on the gender</w:t>
      </w:r>
      <w:r w:rsidR="004D7EEF" w:rsidRPr="00E8394D">
        <w:rPr>
          <w:sz w:val="22"/>
          <w:szCs w:val="22"/>
          <w:lang w:val="en-GB" w:eastAsia="en-AU"/>
        </w:rPr>
        <w:t xml:space="preserve"> </w:t>
      </w:r>
      <w:r w:rsidR="004D7EEF" w:rsidRPr="00E8394D">
        <w:rPr>
          <w:szCs w:val="22"/>
          <w:lang w:val="en-GB" w:eastAsia="en-AU"/>
        </w:rPr>
        <w:t>inequality index</w:t>
      </w:r>
      <w:r w:rsidR="00BA1C74">
        <w:rPr>
          <w:szCs w:val="22"/>
          <w:lang w:val="en-GB" w:eastAsia="en-AU"/>
        </w:rPr>
        <w:t xml:space="preserve"> (2015)</w:t>
      </w:r>
      <w:r w:rsidR="003B0BD7">
        <w:rPr>
          <w:szCs w:val="22"/>
          <w:lang w:val="en-GB" w:eastAsia="en-AU"/>
        </w:rPr>
        <w:t>.</w:t>
      </w:r>
      <w:r w:rsidR="004D7EEF" w:rsidRPr="00E8394D">
        <w:rPr>
          <w:rStyle w:val="FootnoteReference"/>
          <w:szCs w:val="22"/>
          <w:lang w:val="en-GB" w:eastAsia="en-AU"/>
        </w:rPr>
        <w:footnoteReference w:id="11"/>
      </w:r>
      <w:r w:rsidR="004D7EEF" w:rsidRPr="00E8394D">
        <w:rPr>
          <w:szCs w:val="22"/>
          <w:lang w:val="en-GB" w:eastAsia="en-AU"/>
        </w:rPr>
        <w:t xml:space="preserve"> </w:t>
      </w:r>
      <w:r w:rsidR="004D7EEF" w:rsidRPr="00E8394D">
        <w:rPr>
          <w:lang w:val="en-GB"/>
        </w:rPr>
        <w:t>Two in three women</w:t>
      </w:r>
      <w:r w:rsidR="004D7EEF" w:rsidRPr="00E8394D">
        <w:rPr>
          <w:vertAlign w:val="superscript"/>
          <w:lang w:val="en-GB"/>
        </w:rPr>
        <w:footnoteReference w:id="12"/>
      </w:r>
      <w:r w:rsidR="004D7EEF" w:rsidRPr="00E8394D">
        <w:rPr>
          <w:lang w:val="en-GB"/>
        </w:rPr>
        <w:t xml:space="preserve"> experience </w:t>
      </w:r>
      <w:r w:rsidR="003B0BD7">
        <w:rPr>
          <w:lang w:val="en-GB"/>
        </w:rPr>
        <w:t>gender-based violence</w:t>
      </w:r>
      <w:r w:rsidR="004D7EEF" w:rsidRPr="00E8394D">
        <w:rPr>
          <w:lang w:val="en-GB"/>
        </w:rPr>
        <w:t xml:space="preserve"> in their lifetime. </w:t>
      </w:r>
      <w:r w:rsidR="00E32B0C" w:rsidRPr="00E8394D">
        <w:rPr>
          <w:lang w:val="en-GB"/>
        </w:rPr>
        <w:t xml:space="preserve">In remote and rural areas, women and youth are at risk of further marginalization. </w:t>
      </w:r>
      <w:r w:rsidR="00A13005" w:rsidRPr="00E8394D">
        <w:rPr>
          <w:lang w:val="en-GB"/>
        </w:rPr>
        <w:t>UNDP support</w:t>
      </w:r>
      <w:r w:rsidR="00300FC6" w:rsidRPr="00E8394D">
        <w:rPr>
          <w:lang w:val="en-GB"/>
        </w:rPr>
        <w:t xml:space="preserve">ed the </w:t>
      </w:r>
      <w:r w:rsidR="00A13005" w:rsidRPr="00E8394D">
        <w:rPr>
          <w:lang w:val="en-GB"/>
        </w:rPr>
        <w:t xml:space="preserve">Government in the </w:t>
      </w:r>
      <w:r w:rsidR="00A13005" w:rsidRPr="00E8394D">
        <w:rPr>
          <w:rFonts w:eastAsia="Calibri"/>
          <w:lang w:val="en-GB"/>
        </w:rPr>
        <w:t xml:space="preserve">development of the first ever </w:t>
      </w:r>
      <w:r w:rsidR="00023EF1">
        <w:rPr>
          <w:rFonts w:eastAsia="Calibri"/>
          <w:lang w:val="en-GB"/>
        </w:rPr>
        <w:t>n</w:t>
      </w:r>
      <w:r w:rsidR="00A13005" w:rsidRPr="00E8394D">
        <w:rPr>
          <w:rFonts w:eastAsia="Calibri"/>
          <w:lang w:val="en-GB"/>
        </w:rPr>
        <w:t xml:space="preserve">ational </w:t>
      </w:r>
      <w:r w:rsidR="00023EF1">
        <w:rPr>
          <w:rFonts w:eastAsia="Calibri"/>
          <w:lang w:val="en-GB"/>
        </w:rPr>
        <w:t>gender-based violence s</w:t>
      </w:r>
      <w:r w:rsidR="00A13005" w:rsidRPr="00E8394D">
        <w:rPr>
          <w:rFonts w:eastAsia="Calibri"/>
          <w:lang w:val="en-GB"/>
        </w:rPr>
        <w:t xml:space="preserve">trategy endorsed by </w:t>
      </w:r>
      <w:r w:rsidR="0000510E" w:rsidRPr="00E8394D">
        <w:rPr>
          <w:rFonts w:eastAsia="Calibri"/>
          <w:lang w:val="en-GB"/>
        </w:rPr>
        <w:t>the National Executive Committee</w:t>
      </w:r>
      <w:r w:rsidR="00A13005" w:rsidRPr="00E8394D">
        <w:rPr>
          <w:rFonts w:eastAsia="Calibri"/>
          <w:lang w:val="en-GB"/>
        </w:rPr>
        <w:t xml:space="preserve"> in December 2016. </w:t>
      </w:r>
      <w:r w:rsidR="00A13005" w:rsidRPr="00E8394D">
        <w:rPr>
          <w:lang w:val="en-GB"/>
        </w:rPr>
        <w:t xml:space="preserve">The Government has made notable progress in establishing a range of core responsive protection services, such as </w:t>
      </w:r>
      <w:r w:rsidR="00023EF1">
        <w:rPr>
          <w:lang w:val="en-GB"/>
        </w:rPr>
        <w:t>f</w:t>
      </w:r>
      <w:r w:rsidR="00A13005" w:rsidRPr="00E8394D">
        <w:rPr>
          <w:lang w:val="en-GB"/>
        </w:rPr>
        <w:t>amily</w:t>
      </w:r>
      <w:r w:rsidR="00023EF1">
        <w:rPr>
          <w:lang w:val="en-GB"/>
        </w:rPr>
        <w:t xml:space="preserve"> s</w:t>
      </w:r>
      <w:r w:rsidR="00A13005" w:rsidRPr="00E8394D">
        <w:rPr>
          <w:lang w:val="en-GB"/>
        </w:rPr>
        <w:t xml:space="preserve">upport </w:t>
      </w:r>
      <w:r w:rsidR="00023EF1">
        <w:rPr>
          <w:lang w:val="en-GB"/>
        </w:rPr>
        <w:t>c</w:t>
      </w:r>
      <w:r w:rsidR="00A13005" w:rsidRPr="00E8394D">
        <w:rPr>
          <w:lang w:val="en-GB"/>
        </w:rPr>
        <w:t xml:space="preserve">entres, </w:t>
      </w:r>
      <w:r w:rsidR="00023EF1">
        <w:rPr>
          <w:lang w:val="en-GB"/>
        </w:rPr>
        <w:t>p</w:t>
      </w:r>
      <w:r w:rsidR="00A13005" w:rsidRPr="00E8394D">
        <w:rPr>
          <w:lang w:val="en-GB"/>
        </w:rPr>
        <w:t>olice</w:t>
      </w:r>
      <w:r w:rsidR="00023EF1">
        <w:rPr>
          <w:lang w:val="en-GB"/>
        </w:rPr>
        <w:t>-f</w:t>
      </w:r>
      <w:r w:rsidR="00A13005" w:rsidRPr="00E8394D">
        <w:rPr>
          <w:lang w:val="en-GB"/>
        </w:rPr>
        <w:t xml:space="preserve">amily </w:t>
      </w:r>
      <w:r w:rsidR="00023EF1">
        <w:rPr>
          <w:lang w:val="en-GB"/>
        </w:rPr>
        <w:t>s</w:t>
      </w:r>
      <w:r w:rsidR="00A13005" w:rsidRPr="00E8394D">
        <w:rPr>
          <w:lang w:val="en-GB"/>
        </w:rPr>
        <w:t xml:space="preserve">exual </w:t>
      </w:r>
      <w:r w:rsidR="00023EF1">
        <w:rPr>
          <w:lang w:val="en-GB"/>
        </w:rPr>
        <w:t>v</w:t>
      </w:r>
      <w:r w:rsidR="00A13005" w:rsidRPr="00E8394D">
        <w:rPr>
          <w:lang w:val="en-GB"/>
        </w:rPr>
        <w:t xml:space="preserve">iolence </w:t>
      </w:r>
      <w:r w:rsidR="00023EF1">
        <w:rPr>
          <w:lang w:val="en-GB"/>
        </w:rPr>
        <w:t>u</w:t>
      </w:r>
      <w:r w:rsidR="00A13005" w:rsidRPr="00E8394D">
        <w:rPr>
          <w:lang w:val="en-GB"/>
        </w:rPr>
        <w:t xml:space="preserve">nits and </w:t>
      </w:r>
      <w:r w:rsidR="00023EF1">
        <w:rPr>
          <w:lang w:val="en-GB"/>
        </w:rPr>
        <w:t>p</w:t>
      </w:r>
      <w:r w:rsidR="00A13005" w:rsidRPr="00E8394D">
        <w:rPr>
          <w:lang w:val="en-GB"/>
        </w:rPr>
        <w:t xml:space="preserve">olice </w:t>
      </w:r>
      <w:r w:rsidR="00023EF1">
        <w:rPr>
          <w:lang w:val="en-GB"/>
        </w:rPr>
        <w:t>s</w:t>
      </w:r>
      <w:r w:rsidR="00A13005" w:rsidRPr="00E8394D">
        <w:rPr>
          <w:lang w:val="en-GB"/>
        </w:rPr>
        <w:t xml:space="preserve">exual </w:t>
      </w:r>
      <w:r w:rsidR="00023EF1">
        <w:rPr>
          <w:lang w:val="en-GB"/>
        </w:rPr>
        <w:t>o</w:t>
      </w:r>
      <w:r w:rsidR="00A13005" w:rsidRPr="00E8394D">
        <w:rPr>
          <w:lang w:val="en-GB"/>
        </w:rPr>
        <w:t xml:space="preserve">ffence </w:t>
      </w:r>
      <w:r w:rsidR="00023EF1">
        <w:rPr>
          <w:lang w:val="en-GB"/>
        </w:rPr>
        <w:t>s</w:t>
      </w:r>
      <w:r w:rsidR="00A13005" w:rsidRPr="00E8394D">
        <w:rPr>
          <w:lang w:val="en-GB"/>
        </w:rPr>
        <w:t>quads,</w:t>
      </w:r>
      <w:r w:rsidR="009B53CB" w:rsidRPr="00E8394D">
        <w:rPr>
          <w:lang w:val="en-GB"/>
        </w:rPr>
        <w:t xml:space="preserve"> </w:t>
      </w:r>
      <w:r w:rsidR="00A13005" w:rsidRPr="00E8394D">
        <w:rPr>
          <w:lang w:val="en-GB"/>
        </w:rPr>
        <w:t>the Child Protection Act and a blanket ban o</w:t>
      </w:r>
      <w:r w:rsidR="009B53CB" w:rsidRPr="00E8394D">
        <w:rPr>
          <w:lang w:val="en-GB"/>
        </w:rPr>
        <w:t>n</w:t>
      </w:r>
      <w:r w:rsidR="00A13005" w:rsidRPr="00E8394D">
        <w:rPr>
          <w:lang w:val="en-GB"/>
        </w:rPr>
        <w:t xml:space="preserve"> underage marriages</w:t>
      </w:r>
      <w:r w:rsidR="00073FD1" w:rsidRPr="00E8394D">
        <w:rPr>
          <w:lang w:val="en-GB"/>
        </w:rPr>
        <w:t>.</w:t>
      </w:r>
      <w:r w:rsidR="00151D6B" w:rsidRPr="00E8394D">
        <w:rPr>
          <w:lang w:val="en-GB"/>
        </w:rPr>
        <w:t xml:space="preserve"> </w:t>
      </w:r>
      <w:r w:rsidR="00023EF1">
        <w:rPr>
          <w:lang w:val="en-GB"/>
        </w:rPr>
        <w:t xml:space="preserve">Despite having </w:t>
      </w:r>
      <w:r w:rsidR="00151D6B" w:rsidRPr="00E8394D">
        <w:rPr>
          <w:rFonts w:eastAsia="MS Mincho"/>
          <w:lang w:val="en-GB" w:eastAsia="en-AU"/>
        </w:rPr>
        <w:t xml:space="preserve">ratified six core human rights treaties, </w:t>
      </w:r>
      <w:r w:rsidR="00023EF1">
        <w:rPr>
          <w:lang w:val="en-GB"/>
        </w:rPr>
        <w:t xml:space="preserve">Papua New Guinea still has </w:t>
      </w:r>
      <w:r w:rsidR="00023EF1">
        <w:rPr>
          <w:rFonts w:eastAsia="MS Mincho"/>
          <w:lang w:val="en-GB" w:eastAsia="en-AU"/>
        </w:rPr>
        <w:t xml:space="preserve">a number of </w:t>
      </w:r>
      <w:r w:rsidR="00151D6B" w:rsidRPr="00E8394D">
        <w:rPr>
          <w:rFonts w:eastAsia="MS Mincho"/>
          <w:lang w:val="en-GB" w:eastAsia="en-AU"/>
        </w:rPr>
        <w:t>g</w:t>
      </w:r>
      <w:r w:rsidR="00151D6B" w:rsidRPr="00E8394D">
        <w:rPr>
          <w:lang w:val="en-GB"/>
        </w:rPr>
        <w:t xml:space="preserve">roups </w:t>
      </w:r>
      <w:r w:rsidR="00023EF1">
        <w:rPr>
          <w:lang w:val="en-GB"/>
        </w:rPr>
        <w:t xml:space="preserve">with a </w:t>
      </w:r>
      <w:r w:rsidR="00151D6B" w:rsidRPr="00E8394D">
        <w:rPr>
          <w:lang w:val="en-GB"/>
        </w:rPr>
        <w:t>disproportionate risk of human rights deprivations and violations</w:t>
      </w:r>
      <w:r w:rsidR="00023EF1">
        <w:rPr>
          <w:lang w:val="en-GB"/>
        </w:rPr>
        <w:t>:</w:t>
      </w:r>
      <w:r w:rsidR="00151D6B" w:rsidRPr="00E8394D">
        <w:rPr>
          <w:lang w:val="en-GB"/>
        </w:rPr>
        <w:t xml:space="preserve"> women, children, the elderly, people </w:t>
      </w:r>
      <w:r w:rsidR="00023EF1">
        <w:rPr>
          <w:lang w:val="en-GB"/>
        </w:rPr>
        <w:t xml:space="preserve">living </w:t>
      </w:r>
      <w:r w:rsidR="00151D6B" w:rsidRPr="00E8394D">
        <w:rPr>
          <w:lang w:val="en-GB"/>
        </w:rPr>
        <w:t>with HIV</w:t>
      </w:r>
      <w:r w:rsidR="00023EF1">
        <w:rPr>
          <w:lang w:val="en-GB"/>
        </w:rPr>
        <w:t>/</w:t>
      </w:r>
      <w:r w:rsidR="00151D6B" w:rsidRPr="00E8394D">
        <w:rPr>
          <w:lang w:val="en-GB"/>
        </w:rPr>
        <w:t xml:space="preserve">AIDS, people </w:t>
      </w:r>
      <w:r w:rsidR="00023EF1">
        <w:rPr>
          <w:lang w:val="en-GB"/>
        </w:rPr>
        <w:t xml:space="preserve">living </w:t>
      </w:r>
      <w:r w:rsidR="00151D6B" w:rsidRPr="00E8394D">
        <w:rPr>
          <w:lang w:val="en-GB"/>
        </w:rPr>
        <w:t>with disabilities and the geographically isolated.</w:t>
      </w:r>
      <w:r w:rsidR="00023EF1">
        <w:rPr>
          <w:lang w:val="en-GB"/>
        </w:rPr>
        <w:t xml:space="preserve"> </w:t>
      </w:r>
    </w:p>
    <w:p w14:paraId="60A7898A" w14:textId="77777777" w:rsidR="00EF69E0" w:rsidRPr="00E8394D" w:rsidRDefault="00073FD1" w:rsidP="00BA5E65">
      <w:pPr>
        <w:pStyle w:val="ListParagraph"/>
        <w:numPr>
          <w:ilvl w:val="0"/>
          <w:numId w:val="21"/>
        </w:numPr>
        <w:tabs>
          <w:tab w:val="left" w:pos="450"/>
        </w:tabs>
        <w:spacing w:after="120"/>
        <w:ind w:left="0" w:firstLine="0"/>
        <w:jc w:val="both"/>
        <w:rPr>
          <w:lang w:val="en-GB"/>
        </w:rPr>
      </w:pPr>
      <w:r w:rsidRPr="00E8394D">
        <w:rPr>
          <w:lang w:val="en-GB"/>
        </w:rPr>
        <w:t xml:space="preserve">Critical to </w:t>
      </w:r>
      <w:r w:rsidR="00C407CB">
        <w:rPr>
          <w:lang w:val="en-GB"/>
        </w:rPr>
        <w:t xml:space="preserve">the country’s </w:t>
      </w:r>
      <w:r w:rsidR="00CF0974" w:rsidRPr="00E8394D">
        <w:rPr>
          <w:lang w:val="en-GB"/>
        </w:rPr>
        <w:t xml:space="preserve">political stability </w:t>
      </w:r>
      <w:r w:rsidRPr="00E8394D">
        <w:rPr>
          <w:lang w:val="en-GB"/>
        </w:rPr>
        <w:t xml:space="preserve">is the </w:t>
      </w:r>
      <w:r w:rsidR="001620A8" w:rsidRPr="00E8394D">
        <w:rPr>
          <w:lang w:val="en-GB"/>
        </w:rPr>
        <w:t>success</w:t>
      </w:r>
      <w:r w:rsidR="00CF0974" w:rsidRPr="00E8394D">
        <w:rPr>
          <w:lang w:val="en-GB"/>
        </w:rPr>
        <w:t>ful implementation</w:t>
      </w:r>
      <w:r w:rsidR="001620A8" w:rsidRPr="00E8394D">
        <w:rPr>
          <w:lang w:val="en-GB"/>
        </w:rPr>
        <w:t xml:space="preserve"> of the </w:t>
      </w:r>
      <w:r w:rsidRPr="00E8394D">
        <w:rPr>
          <w:lang w:val="en-GB"/>
        </w:rPr>
        <w:t xml:space="preserve">Bougainville Peace Agreement signed between the </w:t>
      </w:r>
      <w:r w:rsidRPr="00E8394D">
        <w:rPr>
          <w:rFonts w:eastAsia="Calibri"/>
          <w:lang w:val="en-GB"/>
        </w:rPr>
        <w:t xml:space="preserve">Autonomous Region of Bougainville and the Government in 2001, following the protracted Bougainville crisis that began in 1998. </w:t>
      </w:r>
      <w:r w:rsidR="00841940" w:rsidRPr="00E8394D">
        <w:rPr>
          <w:rFonts w:eastAsia="Calibri"/>
          <w:lang w:val="en-GB"/>
        </w:rPr>
        <w:t xml:space="preserve">Using its convening power, </w:t>
      </w:r>
      <w:r w:rsidR="00C407CB">
        <w:rPr>
          <w:rFonts w:eastAsia="Calibri"/>
          <w:lang w:val="en-GB"/>
        </w:rPr>
        <w:t xml:space="preserve">in 2016 </w:t>
      </w:r>
      <w:r w:rsidR="00841940" w:rsidRPr="00E8394D">
        <w:rPr>
          <w:rFonts w:eastAsia="Calibri"/>
          <w:lang w:val="en-GB"/>
        </w:rPr>
        <w:t xml:space="preserve">UNDP supported </w:t>
      </w:r>
      <w:r w:rsidRPr="00E8394D">
        <w:rPr>
          <w:rFonts w:eastAsia="Calibri"/>
          <w:lang w:val="en-GB"/>
        </w:rPr>
        <w:t xml:space="preserve">the </w:t>
      </w:r>
      <w:r w:rsidR="00C407CB">
        <w:rPr>
          <w:rFonts w:eastAsia="Calibri"/>
          <w:lang w:val="en-GB"/>
        </w:rPr>
        <w:t>N</w:t>
      </w:r>
      <w:r w:rsidRPr="00E8394D">
        <w:rPr>
          <w:rFonts w:eastAsia="Calibri"/>
          <w:lang w:val="en-GB"/>
        </w:rPr>
        <w:t xml:space="preserve">ational Government and the Autonomous Bougainville Government </w:t>
      </w:r>
      <w:r w:rsidR="00841940" w:rsidRPr="00E8394D">
        <w:rPr>
          <w:rFonts w:eastAsia="Calibri"/>
          <w:lang w:val="en-GB"/>
        </w:rPr>
        <w:t xml:space="preserve">to </w:t>
      </w:r>
      <w:r w:rsidRPr="00E8394D">
        <w:rPr>
          <w:rFonts w:eastAsia="Calibri"/>
          <w:lang w:val="en-GB"/>
        </w:rPr>
        <w:t xml:space="preserve">agree on </w:t>
      </w:r>
      <w:r w:rsidR="00300FC6" w:rsidRPr="00E8394D">
        <w:rPr>
          <w:rFonts w:eastAsia="Calibri"/>
          <w:lang w:val="en-GB"/>
        </w:rPr>
        <w:t xml:space="preserve">15 June 2019 </w:t>
      </w:r>
      <w:r w:rsidR="001A6340" w:rsidRPr="00E8394D">
        <w:rPr>
          <w:rFonts w:eastAsia="Calibri"/>
          <w:lang w:val="en-GB"/>
        </w:rPr>
        <w:t xml:space="preserve">as </w:t>
      </w:r>
      <w:r w:rsidR="00C407CB">
        <w:rPr>
          <w:rFonts w:eastAsia="Calibri"/>
          <w:lang w:val="en-GB"/>
        </w:rPr>
        <w:t xml:space="preserve">the referendum </w:t>
      </w:r>
      <w:r w:rsidRPr="00E8394D">
        <w:rPr>
          <w:rFonts w:eastAsia="Calibri"/>
          <w:lang w:val="en-GB"/>
        </w:rPr>
        <w:t>target date</w:t>
      </w:r>
      <w:r w:rsidR="00300FC6" w:rsidRPr="00E8394D">
        <w:rPr>
          <w:rFonts w:eastAsia="Calibri"/>
          <w:lang w:val="en-GB"/>
        </w:rPr>
        <w:t>.</w:t>
      </w:r>
      <w:r w:rsidRPr="00E8394D">
        <w:rPr>
          <w:rFonts w:eastAsia="Calibri"/>
          <w:lang w:val="en-GB"/>
        </w:rPr>
        <w:t xml:space="preserve"> </w:t>
      </w:r>
      <w:r w:rsidR="00CF0974" w:rsidRPr="00E8394D">
        <w:rPr>
          <w:rFonts w:eastAsia="Calibri"/>
          <w:lang w:val="en-GB"/>
        </w:rPr>
        <w:t>With support from UNDP</w:t>
      </w:r>
      <w:r w:rsidR="00C407CB">
        <w:rPr>
          <w:rFonts w:eastAsia="Calibri"/>
          <w:lang w:val="en-GB"/>
        </w:rPr>
        <w:t>,</w:t>
      </w:r>
      <w:r w:rsidRPr="00E8394D">
        <w:rPr>
          <w:rFonts w:eastAsia="Calibri"/>
          <w:lang w:val="en-GB"/>
        </w:rPr>
        <w:t xml:space="preserve"> the </w:t>
      </w:r>
      <w:r w:rsidR="00C407CB">
        <w:rPr>
          <w:rFonts w:eastAsia="Calibri"/>
          <w:lang w:val="en-GB"/>
        </w:rPr>
        <w:t>c</w:t>
      </w:r>
      <w:r w:rsidRPr="00E8394D">
        <w:rPr>
          <w:rFonts w:eastAsia="Calibri"/>
          <w:lang w:val="en-GB"/>
        </w:rPr>
        <w:t xml:space="preserve">harter for establishing an independent body </w:t>
      </w:r>
      <w:r w:rsidR="00C407CB">
        <w:rPr>
          <w:rFonts w:eastAsia="Calibri"/>
          <w:lang w:val="en-GB"/>
        </w:rPr>
        <w:t xml:space="preserve">to </w:t>
      </w:r>
      <w:r w:rsidRPr="00E8394D">
        <w:rPr>
          <w:rFonts w:eastAsia="Calibri"/>
          <w:lang w:val="en-GB"/>
        </w:rPr>
        <w:t>conduct the referendum was signed between the Na</w:t>
      </w:r>
      <w:r w:rsidR="00841940" w:rsidRPr="00E8394D">
        <w:rPr>
          <w:rFonts w:eastAsia="Calibri"/>
          <w:lang w:val="en-GB"/>
        </w:rPr>
        <w:t xml:space="preserve">tional Government and </w:t>
      </w:r>
      <w:r w:rsidR="00C407CB" w:rsidRPr="00E8394D">
        <w:rPr>
          <w:rFonts w:eastAsia="Calibri"/>
          <w:lang w:val="en-GB"/>
        </w:rPr>
        <w:t>the Autonomous Bougainville Government</w:t>
      </w:r>
      <w:r w:rsidR="00841940" w:rsidRPr="00E8394D">
        <w:rPr>
          <w:rFonts w:eastAsia="Calibri"/>
          <w:lang w:val="en-GB"/>
        </w:rPr>
        <w:t xml:space="preserve">. UNDP, UNFPA and </w:t>
      </w:r>
      <w:r w:rsidR="00C407CB">
        <w:rPr>
          <w:rFonts w:eastAsia="Calibri"/>
          <w:lang w:val="en-GB"/>
        </w:rPr>
        <w:t>the United Nations Entity for Gender Equality and the Empowerment of Women (</w:t>
      </w:r>
      <w:r w:rsidR="00841940" w:rsidRPr="00E8394D">
        <w:rPr>
          <w:rFonts w:eastAsia="Calibri"/>
          <w:lang w:val="en-GB"/>
        </w:rPr>
        <w:t>UN</w:t>
      </w:r>
      <w:r w:rsidR="00C407CB">
        <w:rPr>
          <w:rFonts w:eastAsia="Calibri"/>
          <w:lang w:val="en-GB"/>
        </w:rPr>
        <w:t>-</w:t>
      </w:r>
      <w:r w:rsidR="00841940" w:rsidRPr="00E8394D">
        <w:rPr>
          <w:rFonts w:eastAsia="Calibri"/>
          <w:lang w:val="en-GB"/>
        </w:rPr>
        <w:t>Women</w:t>
      </w:r>
      <w:r w:rsidR="00C407CB">
        <w:rPr>
          <w:rFonts w:eastAsia="Calibri"/>
          <w:lang w:val="en-GB"/>
        </w:rPr>
        <w:t>)</w:t>
      </w:r>
      <w:r w:rsidR="00841940" w:rsidRPr="00E8394D">
        <w:rPr>
          <w:rFonts w:eastAsia="Calibri"/>
          <w:lang w:val="en-GB"/>
        </w:rPr>
        <w:t xml:space="preserve"> </w:t>
      </w:r>
      <w:r w:rsidRPr="00E8394D">
        <w:rPr>
          <w:rFonts w:eastAsia="Calibri"/>
          <w:lang w:val="en-GB"/>
        </w:rPr>
        <w:t>successfully support</w:t>
      </w:r>
      <w:r w:rsidR="00300FC6" w:rsidRPr="00E8394D">
        <w:rPr>
          <w:rFonts w:eastAsia="Calibri"/>
          <w:lang w:val="en-GB"/>
        </w:rPr>
        <w:t>ed</w:t>
      </w:r>
      <w:r w:rsidRPr="00E8394D">
        <w:rPr>
          <w:rFonts w:eastAsia="Calibri"/>
          <w:lang w:val="en-GB"/>
        </w:rPr>
        <w:t xml:space="preserve"> </w:t>
      </w:r>
      <w:r w:rsidR="00A13005" w:rsidRPr="00E8394D">
        <w:rPr>
          <w:lang w:val="en-GB"/>
        </w:rPr>
        <w:t>political dialogue with groups</w:t>
      </w:r>
      <w:r w:rsidR="00C407CB">
        <w:rPr>
          <w:lang w:val="en-GB"/>
        </w:rPr>
        <w:t>,</w:t>
      </w:r>
      <w:r w:rsidR="00A13005" w:rsidRPr="00E8394D">
        <w:rPr>
          <w:lang w:val="en-GB"/>
        </w:rPr>
        <w:t xml:space="preserve"> such as ex-combatants, </w:t>
      </w:r>
      <w:r w:rsidR="00E14EF4">
        <w:rPr>
          <w:lang w:val="en-GB"/>
        </w:rPr>
        <w:t xml:space="preserve">when the </w:t>
      </w:r>
      <w:r w:rsidR="00A13005" w:rsidRPr="00E8394D">
        <w:rPr>
          <w:lang w:val="en-GB"/>
        </w:rPr>
        <w:t xml:space="preserve">need </w:t>
      </w:r>
      <w:r w:rsidR="00E14EF4">
        <w:rPr>
          <w:lang w:val="en-GB"/>
        </w:rPr>
        <w:t xml:space="preserve">to </w:t>
      </w:r>
      <w:r w:rsidR="00A13005" w:rsidRPr="00E8394D">
        <w:rPr>
          <w:lang w:val="en-GB"/>
        </w:rPr>
        <w:t>unif</w:t>
      </w:r>
      <w:r w:rsidR="00E14EF4">
        <w:rPr>
          <w:lang w:val="en-GB"/>
        </w:rPr>
        <w:t>y</w:t>
      </w:r>
      <w:r w:rsidR="00A13005" w:rsidRPr="00E8394D">
        <w:rPr>
          <w:lang w:val="en-GB"/>
        </w:rPr>
        <w:t xml:space="preserve"> political factions </w:t>
      </w:r>
      <w:r w:rsidR="00E14EF4">
        <w:rPr>
          <w:lang w:val="en-GB"/>
        </w:rPr>
        <w:t xml:space="preserve">was </w:t>
      </w:r>
      <w:r w:rsidR="00A13005" w:rsidRPr="00E8394D">
        <w:rPr>
          <w:lang w:val="en-GB"/>
        </w:rPr>
        <w:t xml:space="preserve">central to peace and stability in Bougainville and other parts of </w:t>
      </w:r>
      <w:r w:rsidR="00E14EF4">
        <w:rPr>
          <w:lang w:val="en-GB"/>
        </w:rPr>
        <w:t>Papua New Guinea</w:t>
      </w:r>
      <w:r w:rsidR="00A13005" w:rsidRPr="00E8394D">
        <w:rPr>
          <w:lang w:val="en-GB"/>
        </w:rPr>
        <w:t>.</w:t>
      </w:r>
    </w:p>
    <w:p w14:paraId="16546327" w14:textId="77777777" w:rsidR="00F06AD7" w:rsidRPr="00E8394D" w:rsidRDefault="00E32B0C" w:rsidP="00BA5E65">
      <w:pPr>
        <w:pStyle w:val="ListParagraph"/>
        <w:numPr>
          <w:ilvl w:val="0"/>
          <w:numId w:val="21"/>
        </w:numPr>
        <w:tabs>
          <w:tab w:val="left" w:pos="450"/>
        </w:tabs>
        <w:spacing w:after="120"/>
        <w:ind w:left="0" w:firstLine="0"/>
        <w:jc w:val="both"/>
        <w:rPr>
          <w:lang w:val="en-GB"/>
        </w:rPr>
      </w:pPr>
      <w:r w:rsidRPr="00E8394D">
        <w:rPr>
          <w:lang w:val="en-GB"/>
        </w:rPr>
        <w:t xml:space="preserve">The third </w:t>
      </w:r>
      <w:r w:rsidR="009307D4" w:rsidRPr="00E8394D">
        <w:rPr>
          <w:lang w:val="en-GB"/>
        </w:rPr>
        <w:t xml:space="preserve">development </w:t>
      </w:r>
      <w:r w:rsidRPr="00E8394D">
        <w:rPr>
          <w:lang w:val="en-GB"/>
        </w:rPr>
        <w:t>challenge</w:t>
      </w:r>
      <w:r w:rsidR="009307D4" w:rsidRPr="00E8394D">
        <w:rPr>
          <w:lang w:val="en-GB"/>
        </w:rPr>
        <w:t xml:space="preserve"> is </w:t>
      </w:r>
      <w:r w:rsidRPr="00E8394D">
        <w:rPr>
          <w:lang w:val="en-GB"/>
        </w:rPr>
        <w:t>th</w:t>
      </w:r>
      <w:r w:rsidR="00306B68" w:rsidRPr="00E8394D">
        <w:rPr>
          <w:lang w:val="en-GB"/>
        </w:rPr>
        <w:t xml:space="preserve">at </w:t>
      </w:r>
      <w:r w:rsidR="00E14EF4">
        <w:rPr>
          <w:lang w:val="en-GB"/>
        </w:rPr>
        <w:t xml:space="preserve">the </w:t>
      </w:r>
      <w:r w:rsidR="00306B68" w:rsidRPr="00E8394D">
        <w:rPr>
          <w:lang w:val="en-GB"/>
        </w:rPr>
        <w:t>economy has long been divided between a formal sector based on exports of natural resources and a large informal sector that relies on subsistence farming and other small-scale economic activit</w:t>
      </w:r>
      <w:r w:rsidR="0045055C" w:rsidRPr="00E8394D">
        <w:rPr>
          <w:lang w:val="en-GB"/>
        </w:rPr>
        <w:t>ies</w:t>
      </w:r>
      <w:r w:rsidR="00306B68" w:rsidRPr="00E8394D">
        <w:rPr>
          <w:lang w:val="en-GB"/>
        </w:rPr>
        <w:t>.</w:t>
      </w:r>
      <w:r w:rsidR="00306B68" w:rsidRPr="00E8394D">
        <w:rPr>
          <w:rStyle w:val="FootnoteReference"/>
          <w:lang w:val="en-GB"/>
        </w:rPr>
        <w:footnoteReference w:id="13"/>
      </w:r>
      <w:r w:rsidR="00AB23F9" w:rsidRPr="00E8394D">
        <w:rPr>
          <w:lang w:val="en-GB"/>
        </w:rPr>
        <w:t xml:space="preserve"> </w:t>
      </w:r>
      <w:r w:rsidR="000D6499" w:rsidRPr="00E8394D">
        <w:rPr>
          <w:lang w:val="en-GB"/>
        </w:rPr>
        <w:t xml:space="preserve">Based on the Household Income and Expenditure Survey 2009, </w:t>
      </w:r>
      <w:r w:rsidR="0088293D" w:rsidRPr="00E8394D">
        <w:rPr>
          <w:lang w:val="en-GB"/>
        </w:rPr>
        <w:t>it was</w:t>
      </w:r>
      <w:r w:rsidR="000D6499" w:rsidRPr="00E8394D">
        <w:rPr>
          <w:lang w:val="en-GB"/>
        </w:rPr>
        <w:t xml:space="preserve"> </w:t>
      </w:r>
      <w:r w:rsidR="00E2241F" w:rsidRPr="00E8394D">
        <w:rPr>
          <w:lang w:val="en-GB"/>
        </w:rPr>
        <w:t>calculated</w:t>
      </w:r>
      <w:r w:rsidR="00E2241F" w:rsidRPr="00E8394D">
        <w:rPr>
          <w:rStyle w:val="FootnoteReference"/>
          <w:lang w:val="en-GB"/>
        </w:rPr>
        <w:footnoteReference w:id="14"/>
      </w:r>
      <w:r w:rsidR="000D6499" w:rsidRPr="00E8394D">
        <w:rPr>
          <w:lang w:val="en-GB"/>
        </w:rPr>
        <w:t xml:space="preserve"> that 39.9</w:t>
      </w:r>
      <w:r w:rsidR="0016688D" w:rsidRPr="00E8394D">
        <w:rPr>
          <w:lang w:val="en-GB"/>
        </w:rPr>
        <w:t xml:space="preserve"> per cent</w:t>
      </w:r>
      <w:r w:rsidR="000D6499" w:rsidRPr="00E8394D">
        <w:rPr>
          <w:lang w:val="en-GB"/>
        </w:rPr>
        <w:t xml:space="preserve"> of the population live below the upper poverty line.</w:t>
      </w:r>
      <w:r w:rsidR="00E2241F" w:rsidRPr="00E8394D">
        <w:rPr>
          <w:rStyle w:val="FootnoteReference"/>
          <w:lang w:val="en-GB"/>
        </w:rPr>
        <w:footnoteReference w:id="15"/>
      </w:r>
      <w:r w:rsidR="00E2241F" w:rsidRPr="00E8394D">
        <w:rPr>
          <w:lang w:val="en-GB"/>
        </w:rPr>
        <w:t xml:space="preserve"> </w:t>
      </w:r>
      <w:r w:rsidR="0088293D" w:rsidRPr="00E8394D">
        <w:rPr>
          <w:shd w:val="clear" w:color="auto" w:fill="FFFFFF"/>
          <w:lang w:val="en-GB"/>
        </w:rPr>
        <w:t xml:space="preserve">With </w:t>
      </w:r>
      <w:r w:rsidR="00287D75" w:rsidRPr="00E8394D">
        <w:rPr>
          <w:shd w:val="clear" w:color="auto" w:fill="FFFFFF"/>
          <w:lang w:val="en-GB"/>
        </w:rPr>
        <w:t>less than</w:t>
      </w:r>
      <w:r w:rsidR="0088293D" w:rsidRPr="00E8394D">
        <w:rPr>
          <w:shd w:val="clear" w:color="auto" w:fill="FFFFFF"/>
          <w:lang w:val="en-GB"/>
        </w:rPr>
        <w:t xml:space="preserve"> 1</w:t>
      </w:r>
      <w:r w:rsidR="00287D75" w:rsidRPr="00E8394D">
        <w:rPr>
          <w:shd w:val="clear" w:color="auto" w:fill="FFFFFF"/>
          <w:lang w:val="en-GB"/>
        </w:rPr>
        <w:t>5</w:t>
      </w:r>
      <w:r w:rsidR="0016688D" w:rsidRPr="00E8394D">
        <w:rPr>
          <w:shd w:val="clear" w:color="auto" w:fill="FFFFFF"/>
          <w:lang w:val="en-GB"/>
        </w:rPr>
        <w:t xml:space="preserve"> per cent</w:t>
      </w:r>
      <w:r w:rsidR="0088293D" w:rsidRPr="00E8394D">
        <w:rPr>
          <w:shd w:val="clear" w:color="auto" w:fill="FFFFFF"/>
          <w:lang w:val="en-GB"/>
        </w:rPr>
        <w:t xml:space="preserve"> of the population connected to </w:t>
      </w:r>
      <w:r w:rsidR="00B273F2" w:rsidRPr="00E8394D">
        <w:rPr>
          <w:shd w:val="clear" w:color="auto" w:fill="FFFFFF"/>
          <w:lang w:val="en-GB"/>
        </w:rPr>
        <w:t>electricity</w:t>
      </w:r>
      <w:r w:rsidR="0088293D" w:rsidRPr="00E8394D">
        <w:rPr>
          <w:shd w:val="clear" w:color="auto" w:fill="FFFFFF"/>
          <w:lang w:val="en-GB"/>
        </w:rPr>
        <w:t xml:space="preserve">, </w:t>
      </w:r>
      <w:r w:rsidR="00300FC6" w:rsidRPr="00E8394D">
        <w:rPr>
          <w:shd w:val="clear" w:color="auto" w:fill="FFFFFF"/>
          <w:lang w:val="en-GB"/>
        </w:rPr>
        <w:t xml:space="preserve">there is a need to </w:t>
      </w:r>
      <w:r w:rsidR="0088293D" w:rsidRPr="00E8394D">
        <w:rPr>
          <w:shd w:val="clear" w:color="auto" w:fill="FFFFFF"/>
          <w:lang w:val="en-GB"/>
        </w:rPr>
        <w:t xml:space="preserve">increase access to clean, reliable energy. </w:t>
      </w:r>
      <w:r w:rsidR="00450EC5" w:rsidRPr="00E8394D">
        <w:rPr>
          <w:lang w:val="en-GB"/>
        </w:rPr>
        <w:t>T</w:t>
      </w:r>
      <w:r w:rsidR="00306B68" w:rsidRPr="00E8394D">
        <w:rPr>
          <w:lang w:val="en-GB"/>
        </w:rPr>
        <w:t xml:space="preserve">he </w:t>
      </w:r>
      <w:r w:rsidRPr="00E8394D">
        <w:rPr>
          <w:lang w:val="en-GB"/>
        </w:rPr>
        <w:t xml:space="preserve">profitable </w:t>
      </w:r>
      <w:r w:rsidR="00C73DA7" w:rsidRPr="00E8394D">
        <w:rPr>
          <w:lang w:val="en-GB"/>
        </w:rPr>
        <w:t xml:space="preserve">extractives sector generates revenue for the country </w:t>
      </w:r>
      <w:r w:rsidR="00300FC6" w:rsidRPr="00E8394D">
        <w:rPr>
          <w:lang w:val="en-GB"/>
        </w:rPr>
        <w:t xml:space="preserve">but </w:t>
      </w:r>
      <w:r w:rsidR="00C73DA7" w:rsidRPr="00E8394D">
        <w:rPr>
          <w:lang w:val="en-GB"/>
        </w:rPr>
        <w:t>not significant local employment</w:t>
      </w:r>
      <w:r w:rsidRPr="00E8394D">
        <w:rPr>
          <w:lang w:val="en-GB"/>
        </w:rPr>
        <w:t xml:space="preserve"> </w:t>
      </w:r>
      <w:r w:rsidR="00A72DA4" w:rsidRPr="00E8394D">
        <w:rPr>
          <w:lang w:val="en-GB"/>
        </w:rPr>
        <w:t xml:space="preserve">and </w:t>
      </w:r>
      <w:r w:rsidR="00BD78EE" w:rsidRPr="00E8394D">
        <w:rPr>
          <w:lang w:val="en-GB"/>
        </w:rPr>
        <w:t xml:space="preserve">no </w:t>
      </w:r>
      <w:r w:rsidR="009B53CB" w:rsidRPr="00E8394D">
        <w:rPr>
          <w:lang w:val="en-GB"/>
        </w:rPr>
        <w:t xml:space="preserve">significant improvements in the lives of most </w:t>
      </w:r>
      <w:r w:rsidR="00300FC6" w:rsidRPr="00E8394D">
        <w:rPr>
          <w:lang w:val="en-GB"/>
        </w:rPr>
        <w:t>people</w:t>
      </w:r>
      <w:r w:rsidR="00C73DA7" w:rsidRPr="00E8394D">
        <w:rPr>
          <w:lang w:val="en-GB"/>
        </w:rPr>
        <w:t>.</w:t>
      </w:r>
      <w:r w:rsidR="0046616C" w:rsidRPr="00E8394D">
        <w:rPr>
          <w:rStyle w:val="FootnoteReference"/>
          <w:lang w:val="en-GB"/>
        </w:rPr>
        <w:footnoteReference w:id="16"/>
      </w:r>
      <w:r w:rsidR="00C73DA7" w:rsidRPr="00E8394D">
        <w:rPr>
          <w:lang w:val="en-GB"/>
        </w:rPr>
        <w:t xml:space="preserve"> </w:t>
      </w:r>
      <w:r w:rsidR="00E14EF4">
        <w:rPr>
          <w:lang w:val="en-GB"/>
        </w:rPr>
        <w:t xml:space="preserve">The national human development report </w:t>
      </w:r>
      <w:r w:rsidR="005D3269" w:rsidRPr="00E8394D">
        <w:rPr>
          <w:lang w:val="en-GB"/>
        </w:rPr>
        <w:t>20</w:t>
      </w:r>
      <w:r w:rsidR="003723F7" w:rsidRPr="00E8394D">
        <w:rPr>
          <w:lang w:val="en-GB"/>
        </w:rPr>
        <w:t>14</w:t>
      </w:r>
      <w:r w:rsidR="001468A1" w:rsidRPr="00E8394D">
        <w:rPr>
          <w:lang w:val="en-GB"/>
        </w:rPr>
        <w:t xml:space="preserve">, </w:t>
      </w:r>
      <w:r w:rsidR="00E14EF4">
        <w:rPr>
          <w:lang w:val="en-GB"/>
        </w:rPr>
        <w:t>“</w:t>
      </w:r>
      <w:r w:rsidR="003723F7" w:rsidRPr="0043128F">
        <w:rPr>
          <w:lang w:val="en-GB"/>
        </w:rPr>
        <w:t xml:space="preserve">From </w:t>
      </w:r>
      <w:r w:rsidR="00E14EF4">
        <w:rPr>
          <w:lang w:val="en-GB"/>
        </w:rPr>
        <w:t>w</w:t>
      </w:r>
      <w:r w:rsidR="003723F7" w:rsidRPr="0043128F">
        <w:rPr>
          <w:lang w:val="en-GB"/>
        </w:rPr>
        <w:t xml:space="preserve">ealth to </w:t>
      </w:r>
      <w:r w:rsidR="00E14EF4">
        <w:rPr>
          <w:lang w:val="en-GB"/>
        </w:rPr>
        <w:t>w</w:t>
      </w:r>
      <w:r w:rsidR="003723F7" w:rsidRPr="0043128F">
        <w:rPr>
          <w:lang w:val="en-GB"/>
        </w:rPr>
        <w:t xml:space="preserve">ellbeing: Translating </w:t>
      </w:r>
      <w:r w:rsidR="00E14EF4">
        <w:rPr>
          <w:lang w:val="en-GB"/>
        </w:rPr>
        <w:t>r</w:t>
      </w:r>
      <w:r w:rsidR="003723F7" w:rsidRPr="0043128F">
        <w:rPr>
          <w:lang w:val="en-GB"/>
        </w:rPr>
        <w:t xml:space="preserve">esource </w:t>
      </w:r>
      <w:r w:rsidR="00E14EF4">
        <w:rPr>
          <w:lang w:val="en-GB"/>
        </w:rPr>
        <w:t>r</w:t>
      </w:r>
      <w:r w:rsidR="003723F7" w:rsidRPr="0043128F">
        <w:rPr>
          <w:lang w:val="en-GB"/>
        </w:rPr>
        <w:t xml:space="preserve">evenue into </w:t>
      </w:r>
      <w:r w:rsidR="00E14EF4">
        <w:rPr>
          <w:lang w:val="en-GB"/>
        </w:rPr>
        <w:t>s</w:t>
      </w:r>
      <w:r w:rsidR="003723F7" w:rsidRPr="0043128F">
        <w:rPr>
          <w:lang w:val="en-GB"/>
        </w:rPr>
        <w:t xml:space="preserve">ustainable </w:t>
      </w:r>
      <w:r w:rsidR="00E14EF4">
        <w:rPr>
          <w:lang w:val="en-GB"/>
        </w:rPr>
        <w:t>h</w:t>
      </w:r>
      <w:r w:rsidR="003723F7" w:rsidRPr="0043128F">
        <w:rPr>
          <w:lang w:val="en-GB"/>
        </w:rPr>
        <w:t xml:space="preserve">uman </w:t>
      </w:r>
      <w:r w:rsidR="00E14EF4">
        <w:rPr>
          <w:lang w:val="en-GB"/>
        </w:rPr>
        <w:t>d</w:t>
      </w:r>
      <w:r w:rsidR="003723F7" w:rsidRPr="0043128F">
        <w:rPr>
          <w:lang w:val="en-GB"/>
        </w:rPr>
        <w:t>evelopment</w:t>
      </w:r>
      <w:r w:rsidR="00E14EF4">
        <w:rPr>
          <w:lang w:val="en-GB"/>
        </w:rPr>
        <w:t>”</w:t>
      </w:r>
      <w:r w:rsidR="003723F7" w:rsidRPr="00E8394D">
        <w:rPr>
          <w:lang w:val="en-GB"/>
        </w:rPr>
        <w:t xml:space="preserve">, </w:t>
      </w:r>
      <w:r w:rsidR="00E14EF4">
        <w:rPr>
          <w:lang w:val="en-GB"/>
        </w:rPr>
        <w:t xml:space="preserve">proved </w:t>
      </w:r>
      <w:r w:rsidR="003723F7" w:rsidRPr="00E8394D">
        <w:rPr>
          <w:lang w:val="en-GB"/>
        </w:rPr>
        <w:t xml:space="preserve">important </w:t>
      </w:r>
      <w:r w:rsidR="00E14EF4">
        <w:rPr>
          <w:lang w:val="en-GB"/>
        </w:rPr>
        <w:t xml:space="preserve">in </w:t>
      </w:r>
      <w:r w:rsidR="003723F7" w:rsidRPr="00E8394D">
        <w:rPr>
          <w:shd w:val="clear" w:color="auto" w:fill="FFFFFF"/>
          <w:lang w:val="en-GB"/>
        </w:rPr>
        <w:t xml:space="preserve">shifting the debate </w:t>
      </w:r>
      <w:r w:rsidR="001620A8" w:rsidRPr="00E8394D">
        <w:rPr>
          <w:shd w:val="clear" w:color="auto" w:fill="FFFFFF"/>
          <w:lang w:val="en-GB"/>
        </w:rPr>
        <w:t xml:space="preserve">about extractives </w:t>
      </w:r>
      <w:r w:rsidR="003723F7" w:rsidRPr="00E8394D">
        <w:rPr>
          <w:shd w:val="clear" w:color="auto" w:fill="FFFFFF"/>
          <w:lang w:val="en-GB"/>
        </w:rPr>
        <w:t xml:space="preserve">to enable leaders to make </w:t>
      </w:r>
      <w:r w:rsidR="00300FC6" w:rsidRPr="00E8394D">
        <w:rPr>
          <w:shd w:val="clear" w:color="auto" w:fill="FFFFFF"/>
          <w:lang w:val="en-GB"/>
        </w:rPr>
        <w:t>better</w:t>
      </w:r>
      <w:r w:rsidR="003723F7" w:rsidRPr="00E8394D">
        <w:rPr>
          <w:shd w:val="clear" w:color="auto" w:fill="FFFFFF"/>
          <w:lang w:val="en-GB"/>
        </w:rPr>
        <w:t xml:space="preserve"> choices for </w:t>
      </w:r>
      <w:r w:rsidR="00E14EF4">
        <w:rPr>
          <w:shd w:val="clear" w:color="auto" w:fill="FFFFFF"/>
          <w:lang w:val="en-GB"/>
        </w:rPr>
        <w:t xml:space="preserve">citizens’ </w:t>
      </w:r>
      <w:r w:rsidR="003723F7" w:rsidRPr="00E8394D">
        <w:rPr>
          <w:shd w:val="clear" w:color="auto" w:fill="FFFFFF"/>
          <w:lang w:val="en-GB"/>
        </w:rPr>
        <w:t>wellbeing.</w:t>
      </w:r>
      <w:r w:rsidR="001468A1" w:rsidRPr="00E8394D">
        <w:rPr>
          <w:shd w:val="clear" w:color="auto" w:fill="FFFFFF"/>
          <w:lang w:val="en-GB"/>
        </w:rPr>
        <w:t xml:space="preserve"> </w:t>
      </w:r>
    </w:p>
    <w:p w14:paraId="3E6C97D9" w14:textId="77777777" w:rsidR="0045055C" w:rsidRPr="00E8394D" w:rsidRDefault="00B219CC" w:rsidP="00BA5E65">
      <w:pPr>
        <w:pStyle w:val="ListParagraph"/>
        <w:numPr>
          <w:ilvl w:val="0"/>
          <w:numId w:val="21"/>
        </w:numPr>
        <w:tabs>
          <w:tab w:val="left" w:pos="450"/>
        </w:tabs>
        <w:spacing w:after="120"/>
        <w:ind w:left="0" w:firstLine="0"/>
        <w:jc w:val="both"/>
        <w:rPr>
          <w:lang w:val="en-GB"/>
        </w:rPr>
      </w:pPr>
      <w:r w:rsidRPr="00E8394D">
        <w:rPr>
          <w:shd w:val="clear" w:color="auto" w:fill="FFFFFF"/>
          <w:lang w:val="en-GB"/>
        </w:rPr>
        <w:t>T</w:t>
      </w:r>
      <w:r w:rsidRPr="00E8394D">
        <w:rPr>
          <w:lang w:val="en-GB"/>
        </w:rPr>
        <w:t>he Government is on the path to becoming a strong</w:t>
      </w:r>
      <w:r w:rsidR="00501D00">
        <w:rPr>
          <w:lang w:val="en-GB"/>
        </w:rPr>
        <w:t xml:space="preserve">, </w:t>
      </w:r>
      <w:r w:rsidRPr="00E8394D">
        <w:rPr>
          <w:lang w:val="en-GB"/>
        </w:rPr>
        <w:t xml:space="preserve">effective leader on many issues in the Pacific and has wider leadership aspirations in Asia. </w:t>
      </w:r>
      <w:r w:rsidR="00501D00">
        <w:rPr>
          <w:lang w:val="en-GB"/>
        </w:rPr>
        <w:t xml:space="preserve">It </w:t>
      </w:r>
      <w:r w:rsidRPr="00E8394D">
        <w:rPr>
          <w:lang w:val="en-GB"/>
        </w:rPr>
        <w:t xml:space="preserve">will host the Asia Pacific Economic Cooperation (APEC) Summit in 2018. While firmly rooted in the Pacific, </w:t>
      </w:r>
      <w:r w:rsidR="00501D00">
        <w:rPr>
          <w:lang w:val="en-GB"/>
        </w:rPr>
        <w:t xml:space="preserve">Papua New Guinea </w:t>
      </w:r>
      <w:r w:rsidRPr="00E8394D">
        <w:rPr>
          <w:lang w:val="en-GB"/>
        </w:rPr>
        <w:t xml:space="preserve">shares a border with Indonesia and is increasingly developing strong partnerships with China, India, Japan, Malaysia, Korea and Singapore. </w:t>
      </w:r>
      <w:r w:rsidR="00501D00">
        <w:rPr>
          <w:lang w:val="en-GB"/>
        </w:rPr>
        <w:t xml:space="preserve">The country </w:t>
      </w:r>
      <w:r w:rsidR="001B745E" w:rsidRPr="00E8394D">
        <w:rPr>
          <w:lang w:val="en-GB"/>
        </w:rPr>
        <w:t xml:space="preserve">has </w:t>
      </w:r>
      <w:r w:rsidR="00073FD1" w:rsidRPr="00E8394D">
        <w:rPr>
          <w:lang w:val="en-GB"/>
        </w:rPr>
        <w:t>a vast endowment of natural resources and geographic proximity to rapidly growing Asian markets</w:t>
      </w:r>
      <w:r w:rsidR="00501D00">
        <w:rPr>
          <w:lang w:val="en-GB"/>
        </w:rPr>
        <w:t>,</w:t>
      </w:r>
      <w:r w:rsidR="00073FD1" w:rsidRPr="00E8394D">
        <w:rPr>
          <w:lang w:val="en-GB"/>
        </w:rPr>
        <w:t xml:space="preserve"> </w:t>
      </w:r>
      <w:r w:rsidR="00501D00">
        <w:rPr>
          <w:lang w:val="en-GB"/>
        </w:rPr>
        <w:t xml:space="preserve">and </w:t>
      </w:r>
      <w:r w:rsidR="00073FD1" w:rsidRPr="00E8394D">
        <w:rPr>
          <w:lang w:val="en-GB"/>
        </w:rPr>
        <w:t>has been one of the world’s fastest growing economies</w:t>
      </w:r>
      <w:r w:rsidR="001B745E" w:rsidRPr="00E8394D">
        <w:rPr>
          <w:lang w:val="en-GB"/>
        </w:rPr>
        <w:t xml:space="preserve"> over the past decade</w:t>
      </w:r>
      <w:r w:rsidR="003723F7" w:rsidRPr="00E8394D">
        <w:rPr>
          <w:lang w:val="en-GB"/>
        </w:rPr>
        <w:t>.</w:t>
      </w:r>
      <w:r w:rsidR="00073FD1" w:rsidRPr="00E8394D">
        <w:rPr>
          <w:lang w:val="en-GB"/>
        </w:rPr>
        <w:t xml:space="preserve"> The </w:t>
      </w:r>
      <w:r w:rsidR="00501D00">
        <w:rPr>
          <w:lang w:val="en-GB"/>
        </w:rPr>
        <w:t xml:space="preserve">gross domestic product </w:t>
      </w:r>
      <w:r w:rsidR="00073FD1" w:rsidRPr="00E8394D">
        <w:rPr>
          <w:lang w:val="en-GB"/>
        </w:rPr>
        <w:t>growth rate</w:t>
      </w:r>
      <w:r w:rsidR="00BB7C7E" w:rsidRPr="00E8394D">
        <w:rPr>
          <w:lang w:val="en-GB"/>
        </w:rPr>
        <w:t xml:space="preserve"> has been positive since the early 2000s</w:t>
      </w:r>
      <w:r w:rsidR="00501D00">
        <w:rPr>
          <w:lang w:val="en-GB"/>
        </w:rPr>
        <w:t>,</w:t>
      </w:r>
      <w:r w:rsidR="00BB7C7E" w:rsidRPr="00E8394D">
        <w:rPr>
          <w:vertAlign w:val="superscript"/>
          <w:lang w:val="en-GB"/>
        </w:rPr>
        <w:footnoteReference w:id="17"/>
      </w:r>
      <w:r w:rsidR="00BB7C7E" w:rsidRPr="00E8394D">
        <w:rPr>
          <w:lang w:val="en-GB"/>
        </w:rPr>
        <w:t xml:space="preserve"> </w:t>
      </w:r>
      <w:r w:rsidR="00501D00">
        <w:rPr>
          <w:lang w:val="en-GB"/>
        </w:rPr>
        <w:t xml:space="preserve">reaching </w:t>
      </w:r>
      <w:r w:rsidR="00BB7C7E" w:rsidRPr="00E8394D">
        <w:rPr>
          <w:lang w:val="en-GB"/>
        </w:rPr>
        <w:t xml:space="preserve">9.9 </w:t>
      </w:r>
      <w:r w:rsidR="0016688D" w:rsidRPr="00E8394D">
        <w:rPr>
          <w:lang w:val="en-GB"/>
        </w:rPr>
        <w:t>per cent</w:t>
      </w:r>
      <w:r w:rsidR="00BB7C7E" w:rsidRPr="00E8394D">
        <w:rPr>
          <w:lang w:val="en-GB"/>
        </w:rPr>
        <w:t xml:space="preserve"> in 2015, </w:t>
      </w:r>
      <w:r w:rsidR="00501D00">
        <w:rPr>
          <w:lang w:val="en-GB"/>
        </w:rPr>
        <w:t xml:space="preserve">though falling </w:t>
      </w:r>
      <w:r w:rsidR="00967C89" w:rsidRPr="00E8394D">
        <w:rPr>
          <w:lang w:val="en-GB"/>
        </w:rPr>
        <w:t xml:space="preserve">to </w:t>
      </w:r>
      <w:r w:rsidR="00BB7C7E" w:rsidRPr="00E8394D">
        <w:rPr>
          <w:lang w:val="en-GB"/>
        </w:rPr>
        <w:t>3</w:t>
      </w:r>
      <w:r w:rsidR="00501D00">
        <w:rPr>
          <w:lang w:val="en-GB"/>
        </w:rPr>
        <w:t> </w:t>
      </w:r>
      <w:r w:rsidR="0016688D" w:rsidRPr="00E8394D">
        <w:rPr>
          <w:lang w:val="en-GB"/>
        </w:rPr>
        <w:t>per cent</w:t>
      </w:r>
      <w:r w:rsidR="00BB7C7E" w:rsidRPr="00E8394D">
        <w:rPr>
          <w:lang w:val="en-GB"/>
        </w:rPr>
        <w:t xml:space="preserve"> </w:t>
      </w:r>
      <w:r w:rsidR="00501D00">
        <w:rPr>
          <w:lang w:val="en-GB"/>
        </w:rPr>
        <w:t xml:space="preserve">in </w:t>
      </w:r>
      <w:r w:rsidR="00BB7C7E" w:rsidRPr="00E8394D">
        <w:rPr>
          <w:lang w:val="en-GB"/>
        </w:rPr>
        <w:t>2017</w:t>
      </w:r>
      <w:r w:rsidR="00501D00">
        <w:rPr>
          <w:lang w:val="en-GB"/>
        </w:rPr>
        <w:t>.</w:t>
      </w:r>
      <w:r w:rsidR="00BB7C7E" w:rsidRPr="00E8394D">
        <w:rPr>
          <w:rStyle w:val="FootnoteReference"/>
          <w:lang w:val="en-GB"/>
        </w:rPr>
        <w:footnoteReference w:id="18"/>
      </w:r>
      <w:r w:rsidR="00BB7C7E" w:rsidRPr="00E8394D">
        <w:rPr>
          <w:lang w:val="en-GB"/>
        </w:rPr>
        <w:t xml:space="preserve"> The Government’s Vision 2050 </w:t>
      </w:r>
      <w:r w:rsidR="00300FC6" w:rsidRPr="00E8394D">
        <w:rPr>
          <w:lang w:val="en-GB"/>
        </w:rPr>
        <w:t xml:space="preserve">has the </w:t>
      </w:r>
      <w:r w:rsidR="00BB7C7E" w:rsidRPr="00E8394D">
        <w:rPr>
          <w:lang w:val="en-GB"/>
        </w:rPr>
        <w:t>goal to “develop and grow the manufacturing, services, agriculture, forestry, fisheries and ecotourism sectors from 2010 to 2050”.</w:t>
      </w:r>
      <w:r w:rsidR="00BB7C7E" w:rsidRPr="00E8394D">
        <w:rPr>
          <w:vertAlign w:val="superscript"/>
          <w:lang w:val="en-GB"/>
        </w:rPr>
        <w:footnoteReference w:id="19"/>
      </w:r>
      <w:r w:rsidR="00450EC5" w:rsidRPr="00E8394D">
        <w:rPr>
          <w:lang w:val="en-GB"/>
        </w:rPr>
        <w:t xml:space="preserve"> </w:t>
      </w:r>
      <w:r w:rsidR="009B1C8B" w:rsidRPr="00E8394D">
        <w:rPr>
          <w:lang w:val="en-GB"/>
        </w:rPr>
        <w:t xml:space="preserve">UNDP launched </w:t>
      </w:r>
      <w:r w:rsidR="00501D00">
        <w:rPr>
          <w:lang w:val="en-GB"/>
        </w:rPr>
        <w:t xml:space="preserve">the </w:t>
      </w:r>
      <w:r w:rsidR="009B1C8B" w:rsidRPr="00E8394D">
        <w:rPr>
          <w:lang w:val="en-GB"/>
        </w:rPr>
        <w:t xml:space="preserve">first </w:t>
      </w:r>
      <w:r w:rsidR="00501D00">
        <w:rPr>
          <w:lang w:val="en-GB"/>
        </w:rPr>
        <w:t>b</w:t>
      </w:r>
      <w:r w:rsidR="009B1C8B" w:rsidRPr="00E8394D">
        <w:rPr>
          <w:lang w:val="en-GB"/>
        </w:rPr>
        <w:t xml:space="preserve">usiness </w:t>
      </w:r>
      <w:r w:rsidR="00501D00">
        <w:rPr>
          <w:lang w:val="en-GB"/>
        </w:rPr>
        <w:t>p</w:t>
      </w:r>
      <w:r w:rsidR="009B1C8B" w:rsidRPr="00E8394D">
        <w:rPr>
          <w:lang w:val="en-GB"/>
        </w:rPr>
        <w:t xml:space="preserve">lan </w:t>
      </w:r>
      <w:r w:rsidR="00501D00">
        <w:rPr>
          <w:lang w:val="en-GB"/>
        </w:rPr>
        <w:t>c</w:t>
      </w:r>
      <w:r w:rsidR="009B1C8B" w:rsidRPr="00E8394D">
        <w:rPr>
          <w:lang w:val="en-GB"/>
        </w:rPr>
        <w:t xml:space="preserve">ompetition for young entrepreneurs, attracting </w:t>
      </w:r>
      <w:r w:rsidR="009B1C8B" w:rsidRPr="00E8394D">
        <w:rPr>
          <w:lang w:val="en-GB"/>
        </w:rPr>
        <w:lastRenderedPageBreak/>
        <w:t>more than 300 innovative business ideas, provided training and mentoring</w:t>
      </w:r>
      <w:r w:rsidR="00501D00">
        <w:rPr>
          <w:lang w:val="en-GB"/>
        </w:rPr>
        <w:t>,</w:t>
      </w:r>
      <w:r w:rsidR="009B1C8B" w:rsidRPr="00E8394D">
        <w:rPr>
          <w:lang w:val="en-GB"/>
        </w:rPr>
        <w:t xml:space="preserve"> and connected the best ideas to potential investors.</w:t>
      </w:r>
      <w:r w:rsidR="009B1C8B" w:rsidRPr="00E8394D">
        <w:rPr>
          <w:rStyle w:val="FootnoteReference"/>
          <w:lang w:val="en-GB"/>
        </w:rPr>
        <w:footnoteReference w:id="20"/>
      </w:r>
    </w:p>
    <w:p w14:paraId="670A4103" w14:textId="77777777" w:rsidR="008A6F05" w:rsidRPr="00E8394D" w:rsidRDefault="009307D4" w:rsidP="00BA5E65">
      <w:pPr>
        <w:pStyle w:val="ListParagraph"/>
        <w:numPr>
          <w:ilvl w:val="0"/>
          <w:numId w:val="21"/>
        </w:numPr>
        <w:tabs>
          <w:tab w:val="left" w:pos="450"/>
        </w:tabs>
        <w:spacing w:after="120"/>
        <w:ind w:left="0" w:firstLine="0"/>
        <w:jc w:val="both"/>
        <w:rPr>
          <w:lang w:val="en-GB"/>
        </w:rPr>
      </w:pPr>
      <w:r w:rsidRPr="00E8394D">
        <w:rPr>
          <w:lang w:val="en-GB"/>
        </w:rPr>
        <w:t>The fourth development chall</w:t>
      </w:r>
      <w:r w:rsidR="00E32B0C" w:rsidRPr="00E8394D">
        <w:rPr>
          <w:lang w:val="en-GB"/>
        </w:rPr>
        <w:t>enge i</w:t>
      </w:r>
      <w:r w:rsidRPr="00E8394D">
        <w:rPr>
          <w:lang w:val="en-GB"/>
        </w:rPr>
        <w:t>s climate</w:t>
      </w:r>
      <w:r w:rsidR="00464F3B">
        <w:rPr>
          <w:lang w:val="en-GB"/>
        </w:rPr>
        <w:t>-</w:t>
      </w:r>
      <w:r w:rsidR="00E32B0C" w:rsidRPr="00E8394D">
        <w:rPr>
          <w:lang w:val="en-GB"/>
        </w:rPr>
        <w:t>proofing</w:t>
      </w:r>
      <w:r w:rsidRPr="00E8394D">
        <w:rPr>
          <w:lang w:val="en-GB"/>
        </w:rPr>
        <w:t xml:space="preserve"> the </w:t>
      </w:r>
      <w:r w:rsidR="00E32B0C" w:rsidRPr="00E8394D">
        <w:rPr>
          <w:lang w:val="en-GB"/>
        </w:rPr>
        <w:t>country’s</w:t>
      </w:r>
      <w:r w:rsidRPr="00E8394D">
        <w:rPr>
          <w:lang w:val="en-GB"/>
        </w:rPr>
        <w:t xml:space="preserve"> sustain</w:t>
      </w:r>
      <w:r w:rsidR="00E32B0C" w:rsidRPr="00E8394D">
        <w:rPr>
          <w:lang w:val="en-GB"/>
        </w:rPr>
        <w:t>able</w:t>
      </w:r>
      <w:r w:rsidRPr="00E8394D">
        <w:rPr>
          <w:lang w:val="en-GB"/>
        </w:rPr>
        <w:t xml:space="preserve"> development </w:t>
      </w:r>
      <w:r w:rsidR="001620A8" w:rsidRPr="00E8394D">
        <w:rPr>
          <w:lang w:val="en-GB"/>
        </w:rPr>
        <w:t xml:space="preserve">pathway </w:t>
      </w:r>
      <w:r w:rsidR="00E64495" w:rsidRPr="00E8394D">
        <w:rPr>
          <w:lang w:val="en-GB"/>
        </w:rPr>
        <w:t xml:space="preserve">and increasing the </w:t>
      </w:r>
      <w:r w:rsidR="000911C4" w:rsidRPr="00E8394D">
        <w:rPr>
          <w:lang w:val="en-GB"/>
        </w:rPr>
        <w:t>resilience</w:t>
      </w:r>
      <w:r w:rsidR="00E64495" w:rsidRPr="00E8394D">
        <w:rPr>
          <w:lang w:val="en-GB"/>
        </w:rPr>
        <w:t xml:space="preserve"> of </w:t>
      </w:r>
      <w:r w:rsidR="001B745E" w:rsidRPr="00E8394D">
        <w:rPr>
          <w:lang w:val="en-GB"/>
        </w:rPr>
        <w:t xml:space="preserve">authorities </w:t>
      </w:r>
      <w:r w:rsidR="00E64495" w:rsidRPr="00E8394D">
        <w:rPr>
          <w:lang w:val="en-GB"/>
        </w:rPr>
        <w:t xml:space="preserve">and communities to respond </w:t>
      </w:r>
      <w:r w:rsidR="00CF0974" w:rsidRPr="00E8394D">
        <w:rPr>
          <w:lang w:val="en-GB"/>
        </w:rPr>
        <w:t xml:space="preserve">to </w:t>
      </w:r>
      <w:r w:rsidR="00E64495" w:rsidRPr="00E8394D">
        <w:rPr>
          <w:lang w:val="en-GB"/>
        </w:rPr>
        <w:t>and recover from disasters.</w:t>
      </w:r>
      <w:r w:rsidRPr="00E8394D">
        <w:rPr>
          <w:lang w:val="en-GB"/>
        </w:rPr>
        <w:t xml:space="preserve"> </w:t>
      </w:r>
      <w:r w:rsidR="00464F3B">
        <w:rPr>
          <w:lang w:val="en-GB" w:eastAsia="en-AU"/>
        </w:rPr>
        <w:t xml:space="preserve">Papua New Guinea </w:t>
      </w:r>
      <w:r w:rsidR="005E5C94" w:rsidRPr="00E8394D">
        <w:rPr>
          <w:lang w:val="en-GB" w:eastAsia="en-AU"/>
        </w:rPr>
        <w:t>is vulnerable to floods, droughts (such as the 1997</w:t>
      </w:r>
      <w:r w:rsidR="00464F3B">
        <w:rPr>
          <w:lang w:val="en-GB" w:eastAsia="en-AU"/>
        </w:rPr>
        <w:t>-19</w:t>
      </w:r>
      <w:r w:rsidR="005E5C94" w:rsidRPr="00E8394D">
        <w:rPr>
          <w:lang w:val="en-GB" w:eastAsia="en-AU"/>
        </w:rPr>
        <w:t>98 and 2015</w:t>
      </w:r>
      <w:r w:rsidR="00464F3B">
        <w:rPr>
          <w:lang w:val="en-GB" w:eastAsia="en-AU"/>
        </w:rPr>
        <w:t>-20</w:t>
      </w:r>
      <w:r w:rsidR="005E5C94" w:rsidRPr="00E8394D">
        <w:rPr>
          <w:lang w:val="en-GB" w:eastAsia="en-AU"/>
        </w:rPr>
        <w:t>16 El Niño</w:t>
      </w:r>
      <w:r w:rsidR="00464F3B">
        <w:rPr>
          <w:lang w:val="en-GB" w:eastAsia="en-AU"/>
        </w:rPr>
        <w:t xml:space="preserve"> weather patterns</w:t>
      </w:r>
      <w:r w:rsidR="005E5C94" w:rsidRPr="00E8394D">
        <w:rPr>
          <w:lang w:val="en-GB" w:eastAsia="en-AU"/>
        </w:rPr>
        <w:t xml:space="preserve">), frosts, storm surges and king tides, as well as extreme winds and waves at sea. </w:t>
      </w:r>
      <w:r w:rsidR="005E5C94" w:rsidRPr="00E8394D">
        <w:rPr>
          <w:lang w:val="en-GB"/>
        </w:rPr>
        <w:t>Such weather-related events are expected to increase in frequency</w:t>
      </w:r>
      <w:r w:rsidR="00464F3B">
        <w:rPr>
          <w:lang w:val="en-GB"/>
        </w:rPr>
        <w:t>.</w:t>
      </w:r>
      <w:r w:rsidR="005E5C94" w:rsidRPr="00E8394D">
        <w:rPr>
          <w:rStyle w:val="FootnoteReference"/>
          <w:lang w:val="en-GB"/>
        </w:rPr>
        <w:footnoteReference w:id="21"/>
      </w:r>
      <w:r w:rsidR="005E5C94" w:rsidRPr="00E8394D">
        <w:rPr>
          <w:lang w:val="en-GB"/>
        </w:rPr>
        <w:t xml:space="preserve"> Located in the “Pacific ring of fire”, communities </w:t>
      </w:r>
      <w:r w:rsidR="00464F3B">
        <w:rPr>
          <w:lang w:val="en-GB"/>
        </w:rPr>
        <w:t xml:space="preserve">in Papua New Guinea </w:t>
      </w:r>
      <w:r w:rsidR="005E5C94" w:rsidRPr="00E8394D">
        <w:rPr>
          <w:lang w:val="en-GB"/>
        </w:rPr>
        <w:t xml:space="preserve">are prone to earthquakes (which cause deadly tsunamis) and a number of active volcanoes. </w:t>
      </w:r>
      <w:r w:rsidR="00464F3B">
        <w:rPr>
          <w:lang w:val="en-GB"/>
        </w:rPr>
        <w:t xml:space="preserve">The country </w:t>
      </w:r>
      <w:r w:rsidR="00E64495" w:rsidRPr="00E8394D">
        <w:rPr>
          <w:rFonts w:cstheme="minorHAnsi"/>
          <w:lang w:val="en-GB"/>
        </w:rPr>
        <w:t>holds some of the world’s last tracts of mature tropical rainforest and coral reefs. These forest and marine ecosystems, combined with a unique array of species that have evolved in isolation, make the country one of the world’s most important biodiversity hotspots</w:t>
      </w:r>
      <w:r w:rsidR="00464F3B">
        <w:rPr>
          <w:rFonts w:cstheme="minorHAnsi"/>
          <w:lang w:val="en-GB"/>
        </w:rPr>
        <w:t>.</w:t>
      </w:r>
      <w:r w:rsidR="00E64495" w:rsidRPr="00E8394D">
        <w:rPr>
          <w:rStyle w:val="FootnoteReference"/>
          <w:lang w:val="en-GB"/>
        </w:rPr>
        <w:footnoteReference w:id="22"/>
      </w:r>
      <w:r w:rsidR="00E64495" w:rsidRPr="00E8394D">
        <w:rPr>
          <w:rFonts w:cstheme="minorHAnsi"/>
          <w:lang w:val="en-GB" w:eastAsia="en-ZA"/>
        </w:rPr>
        <w:t xml:space="preserve"> </w:t>
      </w:r>
      <w:r w:rsidR="00464F3B">
        <w:rPr>
          <w:lang w:val="en-GB"/>
        </w:rPr>
        <w:t>Papua New Guinea</w:t>
      </w:r>
      <w:r w:rsidR="00E64495" w:rsidRPr="00E8394D">
        <w:rPr>
          <w:rFonts w:cstheme="minorHAnsi"/>
          <w:lang w:val="en-GB"/>
        </w:rPr>
        <w:t xml:space="preserve"> is home to over 5</w:t>
      </w:r>
      <w:r w:rsidR="002F12AE" w:rsidRPr="00E8394D">
        <w:rPr>
          <w:rFonts w:cstheme="minorHAnsi"/>
          <w:lang w:val="en-GB"/>
        </w:rPr>
        <w:t xml:space="preserve"> </w:t>
      </w:r>
      <w:r w:rsidR="00E70D0F" w:rsidRPr="00E8394D">
        <w:rPr>
          <w:rFonts w:cstheme="minorHAnsi"/>
          <w:lang w:val="en-GB"/>
        </w:rPr>
        <w:t>per cent</w:t>
      </w:r>
      <w:r w:rsidR="00E64495" w:rsidRPr="00E8394D">
        <w:rPr>
          <w:rStyle w:val="FootnoteReference"/>
          <w:lang w:val="en-GB"/>
        </w:rPr>
        <w:footnoteReference w:id="23"/>
      </w:r>
      <w:r w:rsidR="00E64495" w:rsidRPr="00E8394D">
        <w:rPr>
          <w:rFonts w:cstheme="minorHAnsi"/>
          <w:lang w:val="en-GB"/>
        </w:rPr>
        <w:t xml:space="preserve"> of the world’s global biodiversity and 7</w:t>
      </w:r>
      <w:r w:rsidR="002F12AE" w:rsidRPr="00E8394D">
        <w:rPr>
          <w:rFonts w:cstheme="minorHAnsi"/>
          <w:lang w:val="en-GB"/>
        </w:rPr>
        <w:t xml:space="preserve"> </w:t>
      </w:r>
      <w:r w:rsidR="00E70D0F" w:rsidRPr="00E8394D">
        <w:rPr>
          <w:rFonts w:cstheme="minorHAnsi"/>
          <w:lang w:val="en-GB"/>
        </w:rPr>
        <w:t>per cent</w:t>
      </w:r>
      <w:r w:rsidR="00E64495" w:rsidRPr="00E8394D">
        <w:rPr>
          <w:rFonts w:cstheme="minorHAnsi"/>
          <w:lang w:val="en-GB"/>
        </w:rPr>
        <w:t xml:space="preserve"> of the world</w:t>
      </w:r>
      <w:r w:rsidR="003E7F05" w:rsidRPr="00E8394D">
        <w:rPr>
          <w:rFonts w:cstheme="minorHAnsi"/>
          <w:lang w:val="en-GB"/>
        </w:rPr>
        <w:t>’s</w:t>
      </w:r>
      <w:r w:rsidR="00E64495" w:rsidRPr="00E8394D">
        <w:rPr>
          <w:rFonts w:cstheme="minorHAnsi"/>
          <w:lang w:val="en-GB"/>
        </w:rPr>
        <w:t xml:space="preserve"> tuna reserves, with many original and untouched terrestrial and marine ecosystems rich in local endemic species. </w:t>
      </w:r>
      <w:r w:rsidR="00E64495" w:rsidRPr="00E8394D">
        <w:rPr>
          <w:lang w:val="en-GB"/>
        </w:rPr>
        <w:t>With 70</w:t>
      </w:r>
      <w:r w:rsidR="00E70D0F" w:rsidRPr="00E8394D">
        <w:rPr>
          <w:lang w:val="en-GB"/>
        </w:rPr>
        <w:t xml:space="preserve"> per cent</w:t>
      </w:r>
      <w:r w:rsidR="00894FE0" w:rsidRPr="00E8394D">
        <w:rPr>
          <w:lang w:val="en-GB"/>
        </w:rPr>
        <w:t xml:space="preserve"> forest cover</w:t>
      </w:r>
      <w:r w:rsidR="00E64495" w:rsidRPr="00E8394D">
        <w:rPr>
          <w:lang w:val="en-GB"/>
        </w:rPr>
        <w:t xml:space="preserve">, </w:t>
      </w:r>
      <w:r w:rsidR="00464F3B">
        <w:rPr>
          <w:lang w:val="en-GB"/>
        </w:rPr>
        <w:t xml:space="preserve">the country needs </w:t>
      </w:r>
      <w:r w:rsidR="00E64495" w:rsidRPr="00E8394D">
        <w:rPr>
          <w:lang w:val="en-GB"/>
        </w:rPr>
        <w:t xml:space="preserve">mechanisms to reduce emissions from deforestation and forest degradation and to conserve and enhance forest carbon stocks. </w:t>
      </w:r>
      <w:r w:rsidR="000D5EC1" w:rsidRPr="00E8394D">
        <w:rPr>
          <w:lang w:val="en-GB"/>
        </w:rPr>
        <w:t xml:space="preserve">UNDP was instrumental in supporting the adoption of the </w:t>
      </w:r>
      <w:r w:rsidR="00464F3B">
        <w:rPr>
          <w:lang w:val="en-GB"/>
        </w:rPr>
        <w:t>c</w:t>
      </w:r>
      <w:r w:rsidR="000D5EC1" w:rsidRPr="00E8394D">
        <w:rPr>
          <w:lang w:val="en-GB"/>
        </w:rPr>
        <w:t xml:space="preserve">limate </w:t>
      </w:r>
      <w:r w:rsidR="00464F3B">
        <w:rPr>
          <w:lang w:val="en-GB"/>
        </w:rPr>
        <w:t>c</w:t>
      </w:r>
      <w:r w:rsidR="000D5EC1" w:rsidRPr="00E8394D">
        <w:rPr>
          <w:lang w:val="en-GB"/>
        </w:rPr>
        <w:t xml:space="preserve">hange </w:t>
      </w:r>
      <w:r w:rsidR="00464F3B">
        <w:rPr>
          <w:lang w:val="en-GB"/>
        </w:rPr>
        <w:t>p</w:t>
      </w:r>
      <w:r w:rsidR="000D5EC1" w:rsidRPr="00E8394D">
        <w:rPr>
          <w:lang w:val="en-GB"/>
        </w:rPr>
        <w:t xml:space="preserve">olicy (2014), the </w:t>
      </w:r>
      <w:r w:rsidR="00464F3B">
        <w:rPr>
          <w:lang w:val="en-GB"/>
        </w:rPr>
        <w:t>p</w:t>
      </w:r>
      <w:r w:rsidR="000D5EC1" w:rsidRPr="00E8394D">
        <w:rPr>
          <w:lang w:val="en-GB"/>
        </w:rPr>
        <w:t xml:space="preserve">rotected </w:t>
      </w:r>
      <w:r w:rsidR="00464F3B">
        <w:rPr>
          <w:lang w:val="en-GB"/>
        </w:rPr>
        <w:t>a</w:t>
      </w:r>
      <w:r w:rsidR="000D5EC1" w:rsidRPr="00E8394D">
        <w:rPr>
          <w:lang w:val="en-GB"/>
        </w:rPr>
        <w:t xml:space="preserve">reas </w:t>
      </w:r>
      <w:r w:rsidR="00464F3B">
        <w:rPr>
          <w:lang w:val="en-GB"/>
        </w:rPr>
        <w:t>p</w:t>
      </w:r>
      <w:r w:rsidR="000D5EC1" w:rsidRPr="00E8394D">
        <w:rPr>
          <w:lang w:val="en-GB"/>
        </w:rPr>
        <w:t xml:space="preserve">olicy (2014), the </w:t>
      </w:r>
      <w:r w:rsidR="00464F3B">
        <w:rPr>
          <w:lang w:val="en-GB"/>
        </w:rPr>
        <w:t>p</w:t>
      </w:r>
      <w:r w:rsidR="000D5EC1" w:rsidRPr="00E8394D">
        <w:rPr>
          <w:lang w:val="en-GB"/>
        </w:rPr>
        <w:t xml:space="preserve">rotected </w:t>
      </w:r>
      <w:r w:rsidR="00464F3B">
        <w:rPr>
          <w:lang w:val="en-GB"/>
        </w:rPr>
        <w:t>a</w:t>
      </w:r>
      <w:r w:rsidR="000D5EC1" w:rsidRPr="00E8394D">
        <w:rPr>
          <w:lang w:val="en-GB"/>
        </w:rPr>
        <w:t xml:space="preserve">reas </w:t>
      </w:r>
      <w:r w:rsidR="00464F3B">
        <w:rPr>
          <w:lang w:val="en-GB"/>
        </w:rPr>
        <w:t>b</w:t>
      </w:r>
      <w:r w:rsidR="000D5EC1" w:rsidRPr="00E8394D">
        <w:rPr>
          <w:lang w:val="en-GB"/>
        </w:rPr>
        <w:t xml:space="preserve">ill (2016), the </w:t>
      </w:r>
      <w:r w:rsidR="00464F3B">
        <w:rPr>
          <w:lang w:val="en-GB"/>
        </w:rPr>
        <w:t>p</w:t>
      </w:r>
      <w:r w:rsidR="000D5EC1" w:rsidRPr="00E8394D">
        <w:rPr>
          <w:lang w:val="en-GB"/>
        </w:rPr>
        <w:t xml:space="preserve">rotected </w:t>
      </w:r>
      <w:r w:rsidR="00464F3B">
        <w:rPr>
          <w:lang w:val="en-GB"/>
        </w:rPr>
        <w:t>a</w:t>
      </w:r>
      <w:r w:rsidR="000D5EC1" w:rsidRPr="00E8394D">
        <w:rPr>
          <w:lang w:val="en-GB"/>
        </w:rPr>
        <w:t xml:space="preserve">reas </w:t>
      </w:r>
      <w:r w:rsidR="00464F3B">
        <w:rPr>
          <w:lang w:val="en-GB"/>
        </w:rPr>
        <w:t>i</w:t>
      </w:r>
      <w:r w:rsidR="000D5EC1" w:rsidRPr="00E8394D">
        <w:rPr>
          <w:lang w:val="en-GB"/>
        </w:rPr>
        <w:t xml:space="preserve">mplementation </w:t>
      </w:r>
      <w:r w:rsidR="00464F3B">
        <w:rPr>
          <w:lang w:val="en-GB"/>
        </w:rPr>
        <w:t>p</w:t>
      </w:r>
      <w:r w:rsidR="000D5EC1" w:rsidRPr="00E8394D">
        <w:rPr>
          <w:lang w:val="en-GB"/>
        </w:rPr>
        <w:t xml:space="preserve">lan (2016) and the </w:t>
      </w:r>
      <w:r w:rsidR="00464F3B">
        <w:rPr>
          <w:lang w:val="en-GB"/>
        </w:rPr>
        <w:t>d</w:t>
      </w:r>
      <w:r w:rsidR="000D5EC1" w:rsidRPr="00E8394D">
        <w:rPr>
          <w:lang w:val="en-GB"/>
        </w:rPr>
        <w:t xml:space="preserve">isaster </w:t>
      </w:r>
      <w:r w:rsidR="00464F3B">
        <w:rPr>
          <w:lang w:val="en-GB"/>
        </w:rPr>
        <w:t>r</w:t>
      </w:r>
      <w:r w:rsidR="000D5EC1" w:rsidRPr="00E8394D">
        <w:rPr>
          <w:lang w:val="en-GB"/>
        </w:rPr>
        <w:t xml:space="preserve">isk </w:t>
      </w:r>
      <w:r w:rsidR="00464F3B">
        <w:rPr>
          <w:lang w:val="en-GB"/>
        </w:rPr>
        <w:t>m</w:t>
      </w:r>
      <w:r w:rsidR="000D5EC1" w:rsidRPr="00E8394D">
        <w:rPr>
          <w:lang w:val="en-GB"/>
        </w:rPr>
        <w:t xml:space="preserve">anagement </w:t>
      </w:r>
      <w:r w:rsidR="00464F3B">
        <w:rPr>
          <w:lang w:val="en-GB"/>
        </w:rPr>
        <w:t>f</w:t>
      </w:r>
      <w:r w:rsidR="000D5EC1" w:rsidRPr="00E8394D">
        <w:rPr>
          <w:lang w:val="en-GB"/>
        </w:rPr>
        <w:t>ramework</w:t>
      </w:r>
      <w:r w:rsidR="00EF69E0" w:rsidRPr="00E8394D">
        <w:rPr>
          <w:lang w:val="en-GB"/>
        </w:rPr>
        <w:t>.</w:t>
      </w:r>
    </w:p>
    <w:p w14:paraId="0F6D007C" w14:textId="77777777" w:rsidR="00544F19" w:rsidRPr="00E8394D" w:rsidRDefault="009F15CB" w:rsidP="00BA5E65">
      <w:pPr>
        <w:pStyle w:val="ListParagraph"/>
        <w:numPr>
          <w:ilvl w:val="0"/>
          <w:numId w:val="21"/>
        </w:numPr>
        <w:tabs>
          <w:tab w:val="left" w:pos="450"/>
        </w:tabs>
        <w:spacing w:after="120"/>
        <w:ind w:left="0" w:firstLine="0"/>
        <w:jc w:val="both"/>
        <w:rPr>
          <w:lang w:val="en-GB"/>
        </w:rPr>
      </w:pPr>
      <w:r w:rsidRPr="00E8394D">
        <w:rPr>
          <w:lang w:val="en-GB"/>
        </w:rPr>
        <w:t xml:space="preserve">Based on </w:t>
      </w:r>
      <w:r w:rsidR="001A6340" w:rsidRPr="00E8394D">
        <w:rPr>
          <w:lang w:val="en-GB"/>
        </w:rPr>
        <w:t>an</w:t>
      </w:r>
      <w:r w:rsidRPr="00E8394D">
        <w:rPr>
          <w:lang w:val="en-GB"/>
        </w:rPr>
        <w:t xml:space="preserve"> </w:t>
      </w:r>
      <w:r w:rsidR="00B219CC" w:rsidRPr="00E8394D">
        <w:rPr>
          <w:lang w:val="en-GB"/>
        </w:rPr>
        <w:t>independent</w:t>
      </w:r>
      <w:r w:rsidRPr="00E8394D">
        <w:rPr>
          <w:lang w:val="en-GB"/>
        </w:rPr>
        <w:t xml:space="preserve"> evaluation of the </w:t>
      </w:r>
      <w:r w:rsidR="0004484C">
        <w:rPr>
          <w:lang w:val="en-GB"/>
        </w:rPr>
        <w:t>United Nations Development Assistance Framework (</w:t>
      </w:r>
      <w:r w:rsidRPr="00E8394D">
        <w:rPr>
          <w:lang w:val="en-GB"/>
        </w:rPr>
        <w:t>UNDAF</w:t>
      </w:r>
      <w:r w:rsidR="0004484C">
        <w:rPr>
          <w:lang w:val="en-GB"/>
        </w:rPr>
        <w:t>),</w:t>
      </w:r>
      <w:r w:rsidRPr="00E8394D">
        <w:rPr>
          <w:lang w:val="en-GB"/>
        </w:rPr>
        <w:t xml:space="preserve"> 2012</w:t>
      </w:r>
      <w:r w:rsidR="0004484C">
        <w:rPr>
          <w:lang w:val="en-GB"/>
        </w:rPr>
        <w:t>-</w:t>
      </w:r>
      <w:r w:rsidRPr="00E8394D">
        <w:rPr>
          <w:lang w:val="en-GB"/>
        </w:rPr>
        <w:t xml:space="preserve">2017, the </w:t>
      </w:r>
      <w:r w:rsidR="00C1145D" w:rsidRPr="00E8394D">
        <w:rPr>
          <w:rFonts w:eastAsia="Calibri"/>
          <w:lang w:val="en-GB"/>
        </w:rPr>
        <w:t>U</w:t>
      </w:r>
      <w:r w:rsidR="0004484C">
        <w:rPr>
          <w:rFonts w:eastAsia="Calibri"/>
          <w:lang w:val="en-GB"/>
        </w:rPr>
        <w:t xml:space="preserve">nited </w:t>
      </w:r>
      <w:r w:rsidR="00C1145D" w:rsidRPr="00E8394D">
        <w:rPr>
          <w:rFonts w:eastAsia="Calibri"/>
          <w:lang w:val="en-GB"/>
        </w:rPr>
        <w:t>N</w:t>
      </w:r>
      <w:r w:rsidR="0004484C">
        <w:rPr>
          <w:rFonts w:eastAsia="Calibri"/>
          <w:lang w:val="en-GB"/>
        </w:rPr>
        <w:t>ations</w:t>
      </w:r>
      <w:r w:rsidRPr="00E8394D">
        <w:rPr>
          <w:rFonts w:eastAsia="Calibri"/>
          <w:lang w:val="en-GB"/>
        </w:rPr>
        <w:t xml:space="preserve"> </w:t>
      </w:r>
      <w:r w:rsidR="00C1145D" w:rsidRPr="00E8394D">
        <w:rPr>
          <w:rFonts w:eastAsia="Calibri"/>
          <w:lang w:val="en-GB"/>
        </w:rPr>
        <w:t xml:space="preserve">comparative advantage </w:t>
      </w:r>
      <w:r w:rsidRPr="00E8394D">
        <w:rPr>
          <w:rFonts w:eastAsia="Calibri"/>
          <w:lang w:val="en-GB"/>
        </w:rPr>
        <w:t xml:space="preserve">in </w:t>
      </w:r>
      <w:r w:rsidR="0004484C">
        <w:rPr>
          <w:rFonts w:eastAsia="Calibri"/>
          <w:lang w:val="en-GB"/>
        </w:rPr>
        <w:t xml:space="preserve">Papua New Guinea </w:t>
      </w:r>
      <w:r w:rsidR="00C1145D" w:rsidRPr="00E8394D">
        <w:rPr>
          <w:rFonts w:eastAsia="Calibri"/>
          <w:lang w:val="en-GB"/>
        </w:rPr>
        <w:t>includes</w:t>
      </w:r>
      <w:r w:rsidR="00804B95" w:rsidRPr="00E8394D">
        <w:rPr>
          <w:rFonts w:eastAsia="Calibri"/>
          <w:lang w:val="en-GB"/>
        </w:rPr>
        <w:t xml:space="preserve"> the </w:t>
      </w:r>
      <w:r w:rsidR="00C1145D" w:rsidRPr="0043128F">
        <w:rPr>
          <w:rFonts w:eastAsia="Calibri"/>
          <w:i/>
          <w:lang w:val="en-GB"/>
        </w:rPr>
        <w:t xml:space="preserve">mandate </w:t>
      </w:r>
      <w:r w:rsidR="00C1145D" w:rsidRPr="00E8394D">
        <w:rPr>
          <w:rFonts w:eastAsia="Calibri"/>
          <w:lang w:val="en-GB"/>
        </w:rPr>
        <w:t>to act</w:t>
      </w:r>
      <w:r w:rsidR="00804B95" w:rsidRPr="00E8394D">
        <w:rPr>
          <w:rFonts w:eastAsia="Calibri"/>
          <w:lang w:val="en-GB"/>
        </w:rPr>
        <w:t xml:space="preserve">, </w:t>
      </w:r>
      <w:r w:rsidR="00C1145D" w:rsidRPr="00E8394D">
        <w:rPr>
          <w:rFonts w:eastAsia="Calibri"/>
          <w:lang w:val="en-GB"/>
        </w:rPr>
        <w:t xml:space="preserve">the </w:t>
      </w:r>
      <w:r w:rsidR="00C1145D" w:rsidRPr="0043128F">
        <w:rPr>
          <w:rFonts w:eastAsia="Calibri"/>
          <w:i/>
          <w:lang w:val="en-GB"/>
        </w:rPr>
        <w:t xml:space="preserve">capacity </w:t>
      </w:r>
      <w:r w:rsidR="00C1145D" w:rsidRPr="00E8394D">
        <w:rPr>
          <w:rFonts w:eastAsia="Calibri"/>
          <w:lang w:val="en-GB"/>
        </w:rPr>
        <w:t>to act</w:t>
      </w:r>
      <w:r w:rsidR="0004484C">
        <w:rPr>
          <w:rFonts w:eastAsia="Calibri"/>
          <w:lang w:val="en-GB"/>
        </w:rPr>
        <w:t>,</w:t>
      </w:r>
      <w:r w:rsidR="00C1145D" w:rsidRPr="00E8394D">
        <w:rPr>
          <w:rFonts w:eastAsia="Calibri"/>
          <w:lang w:val="en-GB"/>
        </w:rPr>
        <w:t xml:space="preserve"> and being </w:t>
      </w:r>
      <w:r w:rsidR="00C1145D" w:rsidRPr="0043128F">
        <w:rPr>
          <w:rFonts w:eastAsia="Calibri"/>
          <w:i/>
          <w:lang w:val="en-GB"/>
        </w:rPr>
        <w:t>best positioned</w:t>
      </w:r>
      <w:r w:rsidR="00C1145D" w:rsidRPr="00E8394D">
        <w:rPr>
          <w:rFonts w:eastAsia="Calibri"/>
          <w:lang w:val="en-GB"/>
        </w:rPr>
        <w:t xml:space="preserve"> to act. The analysis concluded that the U</w:t>
      </w:r>
      <w:r w:rsidR="0004484C">
        <w:rPr>
          <w:rFonts w:eastAsia="Calibri"/>
          <w:lang w:val="en-GB"/>
        </w:rPr>
        <w:t xml:space="preserve">nited </w:t>
      </w:r>
      <w:r w:rsidR="00C1145D" w:rsidRPr="00E8394D">
        <w:rPr>
          <w:rFonts w:eastAsia="Calibri"/>
          <w:lang w:val="en-GB"/>
        </w:rPr>
        <w:t>N</w:t>
      </w:r>
      <w:r w:rsidR="0004484C">
        <w:rPr>
          <w:rFonts w:eastAsia="Calibri"/>
          <w:lang w:val="en-GB"/>
        </w:rPr>
        <w:t>ations</w:t>
      </w:r>
      <w:r w:rsidR="00C1145D" w:rsidRPr="00E8394D">
        <w:rPr>
          <w:rFonts w:eastAsia="Calibri"/>
          <w:lang w:val="en-GB"/>
        </w:rPr>
        <w:t xml:space="preserve"> </w:t>
      </w:r>
      <w:r w:rsidR="00804B95" w:rsidRPr="00E8394D">
        <w:rPr>
          <w:rFonts w:eastAsia="Calibri"/>
          <w:lang w:val="en-GB"/>
        </w:rPr>
        <w:t>h</w:t>
      </w:r>
      <w:r w:rsidR="00C1145D" w:rsidRPr="00E8394D">
        <w:rPr>
          <w:rFonts w:eastAsia="Calibri"/>
          <w:lang w:val="en-GB"/>
        </w:rPr>
        <w:t xml:space="preserve">as strong relationships with government </w:t>
      </w:r>
      <w:r w:rsidR="00804B95" w:rsidRPr="00E8394D">
        <w:rPr>
          <w:rFonts w:eastAsia="Calibri"/>
          <w:lang w:val="en-GB"/>
        </w:rPr>
        <w:t>(</w:t>
      </w:r>
      <w:r w:rsidR="00C1145D" w:rsidRPr="00E8394D">
        <w:rPr>
          <w:rFonts w:eastAsia="Calibri"/>
          <w:lang w:val="en-GB"/>
        </w:rPr>
        <w:t>all levels</w:t>
      </w:r>
      <w:r w:rsidR="00804B95" w:rsidRPr="00E8394D">
        <w:rPr>
          <w:rFonts w:eastAsia="Calibri"/>
          <w:lang w:val="en-GB"/>
        </w:rPr>
        <w:t>)</w:t>
      </w:r>
      <w:r w:rsidR="0004484C">
        <w:rPr>
          <w:rFonts w:eastAsia="Calibri"/>
          <w:lang w:val="en-GB"/>
        </w:rPr>
        <w:t>,</w:t>
      </w:r>
      <w:r w:rsidR="00C1145D" w:rsidRPr="00E8394D">
        <w:rPr>
          <w:rFonts w:eastAsia="Calibri"/>
          <w:lang w:val="en-GB"/>
        </w:rPr>
        <w:t xml:space="preserve"> and </w:t>
      </w:r>
      <w:r w:rsidR="0004484C">
        <w:rPr>
          <w:rFonts w:eastAsia="Calibri"/>
          <w:lang w:val="en-GB"/>
        </w:rPr>
        <w:t xml:space="preserve">that </w:t>
      </w:r>
      <w:r w:rsidR="00C1145D" w:rsidRPr="00E8394D">
        <w:rPr>
          <w:rFonts w:eastAsia="Calibri"/>
          <w:lang w:val="en-GB"/>
        </w:rPr>
        <w:t>future programm</w:t>
      </w:r>
      <w:r w:rsidR="00804B95" w:rsidRPr="00E8394D">
        <w:rPr>
          <w:rFonts w:eastAsia="Calibri"/>
          <w:lang w:val="en-GB"/>
        </w:rPr>
        <w:t>ing</w:t>
      </w:r>
      <w:r w:rsidR="00C1145D" w:rsidRPr="00E8394D">
        <w:rPr>
          <w:rFonts w:eastAsia="Calibri"/>
          <w:lang w:val="en-GB"/>
        </w:rPr>
        <w:t xml:space="preserve"> </w:t>
      </w:r>
      <w:r w:rsidR="00BD78EE" w:rsidRPr="00E8394D">
        <w:rPr>
          <w:rFonts w:eastAsia="Calibri"/>
          <w:lang w:val="en-GB"/>
        </w:rPr>
        <w:t>must</w:t>
      </w:r>
      <w:r w:rsidR="00C1145D" w:rsidRPr="00E8394D">
        <w:rPr>
          <w:rFonts w:eastAsia="Calibri"/>
          <w:lang w:val="en-GB"/>
        </w:rPr>
        <w:t xml:space="preserve"> align to national priorities in the context of the SDGs. The analysis revealed that by </w:t>
      </w:r>
      <w:r w:rsidR="00BD78EE" w:rsidRPr="00E8394D">
        <w:rPr>
          <w:rFonts w:eastAsia="Calibri"/>
          <w:lang w:val="en-GB"/>
        </w:rPr>
        <w:t>delivering</w:t>
      </w:r>
      <w:r w:rsidR="0004484C">
        <w:rPr>
          <w:rFonts w:eastAsia="Calibri"/>
          <w:lang w:val="en-GB"/>
        </w:rPr>
        <w:t>-</w:t>
      </w:r>
      <w:r w:rsidR="00BD78EE" w:rsidRPr="00E8394D">
        <w:rPr>
          <w:rFonts w:eastAsia="Calibri"/>
          <w:lang w:val="en-GB"/>
        </w:rPr>
        <w:t>as</w:t>
      </w:r>
      <w:r w:rsidR="0004484C">
        <w:rPr>
          <w:rFonts w:eastAsia="Calibri"/>
          <w:lang w:val="en-GB"/>
        </w:rPr>
        <w:t>-</w:t>
      </w:r>
      <w:r w:rsidR="00BD78EE" w:rsidRPr="00E8394D">
        <w:rPr>
          <w:rFonts w:eastAsia="Calibri"/>
          <w:lang w:val="en-GB"/>
        </w:rPr>
        <w:t xml:space="preserve">one and using </w:t>
      </w:r>
      <w:r w:rsidR="00C1145D" w:rsidRPr="00E8394D">
        <w:rPr>
          <w:rFonts w:eastAsia="Calibri"/>
          <w:lang w:val="en-GB"/>
        </w:rPr>
        <w:t>its partnerships, the U</w:t>
      </w:r>
      <w:r w:rsidR="0004484C">
        <w:rPr>
          <w:rFonts w:eastAsia="Calibri"/>
          <w:lang w:val="en-GB"/>
        </w:rPr>
        <w:t xml:space="preserve">nited </w:t>
      </w:r>
      <w:r w:rsidR="00C1145D" w:rsidRPr="00E8394D">
        <w:rPr>
          <w:rFonts w:eastAsia="Calibri"/>
          <w:lang w:val="en-GB"/>
        </w:rPr>
        <w:t>N</w:t>
      </w:r>
      <w:r w:rsidR="0004484C">
        <w:rPr>
          <w:rFonts w:eastAsia="Calibri"/>
          <w:lang w:val="en-GB"/>
        </w:rPr>
        <w:t>ations</w:t>
      </w:r>
      <w:r w:rsidR="00C1145D" w:rsidRPr="00E8394D">
        <w:rPr>
          <w:rFonts w:eastAsia="Calibri"/>
          <w:lang w:val="en-GB"/>
        </w:rPr>
        <w:t xml:space="preserve"> can reach </w:t>
      </w:r>
      <w:r w:rsidR="00804B95" w:rsidRPr="00E8394D">
        <w:rPr>
          <w:rFonts w:eastAsia="Calibri"/>
          <w:lang w:val="en-GB"/>
        </w:rPr>
        <w:t xml:space="preserve">the </w:t>
      </w:r>
      <w:r w:rsidR="00C1145D" w:rsidRPr="00E8394D">
        <w:rPr>
          <w:rFonts w:eastAsia="Calibri"/>
          <w:lang w:val="en-GB"/>
        </w:rPr>
        <w:t xml:space="preserve">marginalized and vulnerable. </w:t>
      </w:r>
      <w:r w:rsidR="00544F19" w:rsidRPr="00E8394D">
        <w:rPr>
          <w:lang w:val="en-GB"/>
        </w:rPr>
        <w:t>T</w:t>
      </w:r>
      <w:r w:rsidR="00585AAF" w:rsidRPr="00E8394D">
        <w:rPr>
          <w:lang w:val="en-GB"/>
        </w:rPr>
        <w:t>o enhance delivering</w:t>
      </w:r>
      <w:r w:rsidR="0004484C">
        <w:rPr>
          <w:lang w:val="en-GB"/>
        </w:rPr>
        <w:t>-</w:t>
      </w:r>
      <w:r w:rsidR="00585AAF" w:rsidRPr="00E8394D">
        <w:rPr>
          <w:lang w:val="en-GB"/>
        </w:rPr>
        <w:t>as</w:t>
      </w:r>
      <w:r w:rsidR="0004484C">
        <w:rPr>
          <w:lang w:val="en-GB"/>
        </w:rPr>
        <w:t>-</w:t>
      </w:r>
      <w:r w:rsidR="00585AAF" w:rsidRPr="00E8394D">
        <w:rPr>
          <w:lang w:val="en-GB"/>
        </w:rPr>
        <w:t>one, t</w:t>
      </w:r>
      <w:r w:rsidR="00544F19" w:rsidRPr="00E8394D">
        <w:rPr>
          <w:lang w:val="en-GB"/>
        </w:rPr>
        <w:t xml:space="preserve">he </w:t>
      </w:r>
      <w:r w:rsidR="0004484C">
        <w:rPr>
          <w:lang w:val="en-GB"/>
        </w:rPr>
        <w:t>O</w:t>
      </w:r>
      <w:r w:rsidR="00544F19" w:rsidRPr="00E8394D">
        <w:rPr>
          <w:lang w:val="en-GB"/>
        </w:rPr>
        <w:t>ne</w:t>
      </w:r>
      <w:r w:rsidR="0004484C">
        <w:rPr>
          <w:lang w:val="en-GB"/>
        </w:rPr>
        <w:t xml:space="preserve">-UN </w:t>
      </w:r>
      <w:r w:rsidR="00544F19" w:rsidRPr="00E8394D">
        <w:rPr>
          <w:lang w:val="en-GB"/>
        </w:rPr>
        <w:t>Programme</w:t>
      </w:r>
      <w:r w:rsidR="00101D3A" w:rsidRPr="00E8394D">
        <w:rPr>
          <w:lang w:val="en-GB"/>
        </w:rPr>
        <w:t xml:space="preserve"> </w:t>
      </w:r>
      <w:r w:rsidR="00544F19" w:rsidRPr="00E8394D">
        <w:rPr>
          <w:lang w:val="en-GB"/>
        </w:rPr>
        <w:t xml:space="preserve">is financed through a </w:t>
      </w:r>
      <w:r w:rsidR="0004484C">
        <w:rPr>
          <w:lang w:val="en-GB"/>
        </w:rPr>
        <w:t>c</w:t>
      </w:r>
      <w:r w:rsidR="00544F19" w:rsidRPr="00E8394D">
        <w:rPr>
          <w:lang w:val="en-GB"/>
        </w:rPr>
        <w:t xml:space="preserve">ommon </w:t>
      </w:r>
      <w:r w:rsidR="0004484C">
        <w:rPr>
          <w:lang w:val="en-GB"/>
        </w:rPr>
        <w:t>b</w:t>
      </w:r>
      <w:r w:rsidR="00544F19" w:rsidRPr="00E8394D">
        <w:rPr>
          <w:lang w:val="en-GB"/>
        </w:rPr>
        <w:t xml:space="preserve">udgetary </w:t>
      </w:r>
      <w:r w:rsidR="0004484C">
        <w:rPr>
          <w:lang w:val="en-GB"/>
        </w:rPr>
        <w:t>f</w:t>
      </w:r>
      <w:r w:rsidR="00544F19" w:rsidRPr="00E8394D">
        <w:rPr>
          <w:lang w:val="en-GB"/>
        </w:rPr>
        <w:t>ramework</w:t>
      </w:r>
      <w:r w:rsidR="009D5A5A">
        <w:rPr>
          <w:lang w:val="en-GB"/>
        </w:rPr>
        <w:t>. T</w:t>
      </w:r>
      <w:r w:rsidR="00544F19" w:rsidRPr="00E8394D">
        <w:rPr>
          <w:lang w:val="en-GB"/>
        </w:rPr>
        <w:t>he Joint Programme Steering Committee, co-chaired by the Secretary</w:t>
      </w:r>
      <w:r w:rsidR="00804B95" w:rsidRPr="00E8394D">
        <w:rPr>
          <w:lang w:val="en-GB"/>
        </w:rPr>
        <w:t xml:space="preserve">, </w:t>
      </w:r>
      <w:r w:rsidR="00544F19" w:rsidRPr="00E8394D">
        <w:rPr>
          <w:lang w:val="en-GB"/>
        </w:rPr>
        <w:t xml:space="preserve">Department of National Planning </w:t>
      </w:r>
      <w:r w:rsidR="004416A7" w:rsidRPr="00E8394D">
        <w:rPr>
          <w:lang w:val="en-GB"/>
        </w:rPr>
        <w:t>a</w:t>
      </w:r>
      <w:r w:rsidR="00544F19" w:rsidRPr="00E8394D">
        <w:rPr>
          <w:lang w:val="en-GB"/>
        </w:rPr>
        <w:t>nd the U</w:t>
      </w:r>
      <w:r w:rsidR="0004484C">
        <w:rPr>
          <w:lang w:val="en-GB"/>
        </w:rPr>
        <w:t xml:space="preserve">nited </w:t>
      </w:r>
      <w:r w:rsidR="00544F19" w:rsidRPr="00E8394D">
        <w:rPr>
          <w:lang w:val="en-GB"/>
        </w:rPr>
        <w:t>N</w:t>
      </w:r>
      <w:r w:rsidR="0004484C">
        <w:rPr>
          <w:lang w:val="en-GB"/>
        </w:rPr>
        <w:t>ations</w:t>
      </w:r>
      <w:r w:rsidR="00544F19" w:rsidRPr="00E8394D">
        <w:rPr>
          <w:lang w:val="en-GB"/>
        </w:rPr>
        <w:t xml:space="preserve"> Resident Coordinator, </w:t>
      </w:r>
      <w:r w:rsidR="004416A7" w:rsidRPr="00E8394D">
        <w:rPr>
          <w:lang w:val="en-GB"/>
        </w:rPr>
        <w:t>i</w:t>
      </w:r>
      <w:r w:rsidR="00544F19" w:rsidRPr="00E8394D">
        <w:rPr>
          <w:lang w:val="en-GB"/>
        </w:rPr>
        <w:t xml:space="preserve">s the highest level of oversight </w:t>
      </w:r>
      <w:r w:rsidR="009D5A5A">
        <w:rPr>
          <w:lang w:val="en-GB"/>
        </w:rPr>
        <w:t xml:space="preserve">for </w:t>
      </w:r>
      <w:r w:rsidR="00544F19" w:rsidRPr="00E8394D">
        <w:rPr>
          <w:lang w:val="en-GB"/>
        </w:rPr>
        <w:t xml:space="preserve">the UNDAF. </w:t>
      </w:r>
      <w:r w:rsidR="009D5A5A">
        <w:rPr>
          <w:lang w:val="en-GB"/>
        </w:rPr>
        <w:t>A p</w:t>
      </w:r>
      <w:r w:rsidR="00544F19" w:rsidRPr="00E8394D">
        <w:rPr>
          <w:lang w:val="en-GB"/>
        </w:rPr>
        <w:t xml:space="preserve">rogramme </w:t>
      </w:r>
      <w:r w:rsidR="009D5A5A">
        <w:rPr>
          <w:lang w:val="en-GB"/>
        </w:rPr>
        <w:t>c</w:t>
      </w:r>
      <w:r w:rsidR="00544F19" w:rsidRPr="00E8394D">
        <w:rPr>
          <w:lang w:val="en-GB"/>
        </w:rPr>
        <w:t xml:space="preserve">oordination </w:t>
      </w:r>
      <w:r w:rsidR="009D5A5A">
        <w:rPr>
          <w:lang w:val="en-GB"/>
        </w:rPr>
        <w:t>c</w:t>
      </w:r>
      <w:r w:rsidR="00544F19" w:rsidRPr="00E8394D">
        <w:rPr>
          <w:lang w:val="en-GB"/>
        </w:rPr>
        <w:t xml:space="preserve">ommittee, comprised of leaders of the four </w:t>
      </w:r>
      <w:r w:rsidR="009D5A5A">
        <w:rPr>
          <w:lang w:val="en-GB"/>
        </w:rPr>
        <w:t>o</w:t>
      </w:r>
      <w:r w:rsidR="00544F19" w:rsidRPr="00E8394D">
        <w:rPr>
          <w:lang w:val="en-GB"/>
        </w:rPr>
        <w:t xml:space="preserve">utcome </w:t>
      </w:r>
      <w:r w:rsidR="009D5A5A">
        <w:rPr>
          <w:lang w:val="en-GB"/>
        </w:rPr>
        <w:t>g</w:t>
      </w:r>
      <w:r w:rsidR="00544F19" w:rsidRPr="00E8394D">
        <w:rPr>
          <w:lang w:val="en-GB"/>
        </w:rPr>
        <w:t>roups</w:t>
      </w:r>
      <w:r w:rsidR="009D5A5A">
        <w:rPr>
          <w:lang w:val="en-GB"/>
        </w:rPr>
        <w:t>,</w:t>
      </w:r>
      <w:r w:rsidR="00544F19" w:rsidRPr="00E8394D">
        <w:rPr>
          <w:lang w:val="en-GB"/>
        </w:rPr>
        <w:t xml:space="preserve"> promotes synergies </w:t>
      </w:r>
      <w:r w:rsidR="00D46756" w:rsidRPr="00E8394D">
        <w:rPr>
          <w:lang w:val="en-GB"/>
        </w:rPr>
        <w:t xml:space="preserve">and acts </w:t>
      </w:r>
      <w:r w:rsidR="00544F19" w:rsidRPr="00E8394D">
        <w:rPr>
          <w:lang w:val="en-GB"/>
        </w:rPr>
        <w:t>as an advisory group to the U</w:t>
      </w:r>
      <w:r w:rsidR="009D5A5A">
        <w:rPr>
          <w:lang w:val="en-GB"/>
        </w:rPr>
        <w:t xml:space="preserve">nited </w:t>
      </w:r>
      <w:r w:rsidR="00544F19" w:rsidRPr="00E8394D">
        <w:rPr>
          <w:lang w:val="en-GB"/>
        </w:rPr>
        <w:t>N</w:t>
      </w:r>
      <w:r w:rsidR="009D5A5A">
        <w:rPr>
          <w:lang w:val="en-GB"/>
        </w:rPr>
        <w:t>ations</w:t>
      </w:r>
      <w:r w:rsidR="00544F19" w:rsidRPr="00E8394D">
        <w:rPr>
          <w:lang w:val="en-GB"/>
        </w:rPr>
        <w:t xml:space="preserve"> </w:t>
      </w:r>
      <w:r w:rsidR="009D5A5A">
        <w:rPr>
          <w:lang w:val="en-GB"/>
        </w:rPr>
        <w:t>c</w:t>
      </w:r>
      <w:r w:rsidR="00544F19" w:rsidRPr="00E8394D">
        <w:rPr>
          <w:lang w:val="en-GB"/>
        </w:rPr>
        <w:t xml:space="preserve">ountry </w:t>
      </w:r>
      <w:r w:rsidR="009D5A5A">
        <w:rPr>
          <w:lang w:val="en-GB"/>
        </w:rPr>
        <w:t>t</w:t>
      </w:r>
      <w:r w:rsidR="00544F19" w:rsidRPr="00E8394D">
        <w:rPr>
          <w:lang w:val="en-GB"/>
        </w:rPr>
        <w:t xml:space="preserve">eam. </w:t>
      </w:r>
    </w:p>
    <w:p w14:paraId="63B85A34" w14:textId="77777777" w:rsidR="00450EC5" w:rsidRPr="00E8394D" w:rsidRDefault="00C1145D" w:rsidP="003618D6">
      <w:pPr>
        <w:pStyle w:val="ListParagraph"/>
        <w:numPr>
          <w:ilvl w:val="0"/>
          <w:numId w:val="21"/>
        </w:numPr>
        <w:tabs>
          <w:tab w:val="left" w:pos="450"/>
        </w:tabs>
        <w:ind w:left="0" w:firstLine="0"/>
        <w:jc w:val="both"/>
        <w:rPr>
          <w:lang w:val="en-GB"/>
        </w:rPr>
      </w:pPr>
      <w:r w:rsidRPr="00E8394D">
        <w:rPr>
          <w:rFonts w:eastAsia="Calibri"/>
          <w:lang w:val="en-GB"/>
        </w:rPr>
        <w:t>The U</w:t>
      </w:r>
      <w:r w:rsidR="009D5A5A">
        <w:rPr>
          <w:rFonts w:eastAsia="Calibri"/>
          <w:lang w:val="en-GB"/>
        </w:rPr>
        <w:t xml:space="preserve">nited </w:t>
      </w:r>
      <w:r w:rsidRPr="00E8394D">
        <w:rPr>
          <w:rFonts w:eastAsia="Calibri"/>
          <w:lang w:val="en-GB"/>
        </w:rPr>
        <w:t>N</w:t>
      </w:r>
      <w:r w:rsidR="009D5A5A">
        <w:rPr>
          <w:rFonts w:eastAsia="Calibri"/>
          <w:lang w:val="en-GB"/>
        </w:rPr>
        <w:t>ations</w:t>
      </w:r>
      <w:r w:rsidRPr="00E8394D">
        <w:rPr>
          <w:rFonts w:eastAsia="Calibri"/>
          <w:lang w:val="en-GB"/>
        </w:rPr>
        <w:t xml:space="preserve"> is well</w:t>
      </w:r>
      <w:r w:rsidR="009D5A5A">
        <w:rPr>
          <w:rFonts w:eastAsia="Calibri"/>
          <w:lang w:val="en-GB"/>
        </w:rPr>
        <w:t xml:space="preserve"> </w:t>
      </w:r>
      <w:r w:rsidRPr="00E8394D">
        <w:rPr>
          <w:rFonts w:eastAsia="Calibri"/>
          <w:lang w:val="en-GB"/>
        </w:rPr>
        <w:t>positioned to mainstream human rights, gender equality and women’s empowerment throughout its programmes.</w:t>
      </w:r>
      <w:r w:rsidR="009F15CB" w:rsidRPr="00E8394D">
        <w:rPr>
          <w:rFonts w:eastAsia="Calibri"/>
          <w:lang w:val="en-GB"/>
        </w:rPr>
        <w:t xml:space="preserve"> </w:t>
      </w:r>
      <w:r w:rsidR="009F15CB" w:rsidRPr="00E8394D">
        <w:rPr>
          <w:lang w:val="en-GB"/>
        </w:rPr>
        <w:t xml:space="preserve">UNDP and </w:t>
      </w:r>
      <w:r w:rsidR="009D5A5A">
        <w:rPr>
          <w:lang w:val="en-GB"/>
        </w:rPr>
        <w:t xml:space="preserve">the </w:t>
      </w:r>
      <w:r w:rsidR="009F15CB" w:rsidRPr="00E8394D">
        <w:rPr>
          <w:lang w:val="en-GB"/>
        </w:rPr>
        <w:t>U</w:t>
      </w:r>
      <w:r w:rsidR="009D5A5A">
        <w:rPr>
          <w:lang w:val="en-GB"/>
        </w:rPr>
        <w:t xml:space="preserve">nited </w:t>
      </w:r>
      <w:r w:rsidR="009F15CB" w:rsidRPr="00E8394D">
        <w:rPr>
          <w:lang w:val="en-GB"/>
        </w:rPr>
        <w:t>N</w:t>
      </w:r>
      <w:r w:rsidR="009D5A5A">
        <w:rPr>
          <w:lang w:val="en-GB"/>
        </w:rPr>
        <w:t>ations</w:t>
      </w:r>
      <w:r w:rsidR="009F15CB" w:rsidRPr="00E8394D">
        <w:rPr>
          <w:lang w:val="en-GB"/>
        </w:rPr>
        <w:t xml:space="preserve"> </w:t>
      </w:r>
      <w:r w:rsidR="009D5A5A">
        <w:rPr>
          <w:lang w:val="en-GB"/>
        </w:rPr>
        <w:t xml:space="preserve">system </w:t>
      </w:r>
      <w:r w:rsidR="009F15CB" w:rsidRPr="00E8394D">
        <w:rPr>
          <w:lang w:val="en-GB"/>
        </w:rPr>
        <w:t xml:space="preserve">are recognized by </w:t>
      </w:r>
      <w:r w:rsidR="00B219CC" w:rsidRPr="00E8394D">
        <w:rPr>
          <w:lang w:val="en-GB"/>
        </w:rPr>
        <w:t>bilateral partners</w:t>
      </w:r>
      <w:r w:rsidR="009F15CB" w:rsidRPr="00E8394D">
        <w:rPr>
          <w:lang w:val="en-GB"/>
        </w:rPr>
        <w:t xml:space="preserve"> and the </w:t>
      </w:r>
      <w:r w:rsidR="009D5A5A">
        <w:rPr>
          <w:lang w:val="en-GB"/>
        </w:rPr>
        <w:t>G</w:t>
      </w:r>
      <w:r w:rsidR="009F15CB" w:rsidRPr="00E8394D">
        <w:rPr>
          <w:lang w:val="en-GB"/>
        </w:rPr>
        <w:t xml:space="preserve">overnment as playing a </w:t>
      </w:r>
      <w:r w:rsidR="009D5A5A">
        <w:rPr>
          <w:lang w:val="en-GB"/>
        </w:rPr>
        <w:t xml:space="preserve">crucial </w:t>
      </w:r>
      <w:r w:rsidR="009F15CB" w:rsidRPr="00E8394D">
        <w:rPr>
          <w:lang w:val="en-GB"/>
        </w:rPr>
        <w:t xml:space="preserve">role in supporting development and in convening dialogue on sensitive issues. </w:t>
      </w:r>
      <w:r w:rsidR="00B219CC" w:rsidRPr="00E8394D">
        <w:rPr>
          <w:lang w:val="en-GB"/>
        </w:rPr>
        <w:t>A mid-term review of the climate change adaptation project recommended that</w:t>
      </w:r>
      <w:r w:rsidR="009D5A5A">
        <w:rPr>
          <w:lang w:val="en-GB"/>
        </w:rPr>
        <w:t>,</w:t>
      </w:r>
      <w:r w:rsidR="00B219CC" w:rsidRPr="00E8394D">
        <w:rPr>
          <w:lang w:val="en-GB"/>
        </w:rPr>
        <w:t xml:space="preserve"> </w:t>
      </w:r>
      <w:r w:rsidR="009F15CB" w:rsidRPr="00E8394D">
        <w:rPr>
          <w:lang w:val="en-GB"/>
        </w:rPr>
        <w:t xml:space="preserve">since transaction costs of doing development in </w:t>
      </w:r>
      <w:r w:rsidR="009D5A5A">
        <w:rPr>
          <w:lang w:val="en-GB"/>
        </w:rPr>
        <w:t xml:space="preserve">Papua New Guinea </w:t>
      </w:r>
      <w:r w:rsidR="00B219CC" w:rsidRPr="00E8394D">
        <w:rPr>
          <w:lang w:val="en-GB"/>
        </w:rPr>
        <w:t>are</w:t>
      </w:r>
      <w:r w:rsidR="009F15CB" w:rsidRPr="00E8394D">
        <w:rPr>
          <w:lang w:val="en-GB"/>
        </w:rPr>
        <w:t xml:space="preserve"> high, partnerships with U</w:t>
      </w:r>
      <w:r w:rsidR="009D5A5A">
        <w:rPr>
          <w:lang w:val="en-GB"/>
        </w:rPr>
        <w:t xml:space="preserve">nited </w:t>
      </w:r>
      <w:r w:rsidR="009F15CB" w:rsidRPr="00E8394D">
        <w:rPr>
          <w:lang w:val="en-GB"/>
        </w:rPr>
        <w:t>N</w:t>
      </w:r>
      <w:r w:rsidR="009D5A5A">
        <w:rPr>
          <w:lang w:val="en-GB"/>
        </w:rPr>
        <w:t>ations</w:t>
      </w:r>
      <w:r w:rsidR="009F15CB" w:rsidRPr="00E8394D">
        <w:rPr>
          <w:lang w:val="en-GB"/>
        </w:rPr>
        <w:t xml:space="preserve"> </w:t>
      </w:r>
      <w:r w:rsidR="009D5A5A">
        <w:rPr>
          <w:lang w:val="en-GB"/>
        </w:rPr>
        <w:t>organizations</w:t>
      </w:r>
      <w:r w:rsidR="009F15CB" w:rsidRPr="00E8394D">
        <w:rPr>
          <w:lang w:val="en-GB"/>
        </w:rPr>
        <w:t xml:space="preserve">, civil society organizations, churches and the private sector are important so that certain geographically targeted areas receive the full spectrum of development support. Development interventions around certain geographic regions will </w:t>
      </w:r>
      <w:r w:rsidR="00B219CC" w:rsidRPr="00E8394D">
        <w:rPr>
          <w:lang w:val="en-GB"/>
        </w:rPr>
        <w:t xml:space="preserve">therefore </w:t>
      </w:r>
      <w:r w:rsidR="009F15CB" w:rsidRPr="00E8394D">
        <w:rPr>
          <w:lang w:val="en-GB"/>
        </w:rPr>
        <w:t xml:space="preserve">be prioritized. </w:t>
      </w:r>
    </w:p>
    <w:p w14:paraId="32696FD5" w14:textId="77777777" w:rsidR="001A6340" w:rsidRPr="00E8394D" w:rsidRDefault="001A6340" w:rsidP="003618D6">
      <w:pPr>
        <w:pStyle w:val="ListParagraph"/>
        <w:tabs>
          <w:tab w:val="left" w:pos="450"/>
        </w:tabs>
        <w:ind w:left="0"/>
        <w:jc w:val="both"/>
        <w:rPr>
          <w:rFonts w:eastAsia="Calibri"/>
          <w:b/>
          <w:lang w:val="en-GB"/>
        </w:rPr>
      </w:pPr>
    </w:p>
    <w:p w14:paraId="11F40A49" w14:textId="77777777" w:rsidR="00335F77" w:rsidRPr="00E8394D" w:rsidRDefault="00335F77" w:rsidP="00BA5E65">
      <w:pPr>
        <w:pStyle w:val="ListParagraph"/>
        <w:numPr>
          <w:ilvl w:val="0"/>
          <w:numId w:val="16"/>
        </w:numPr>
        <w:tabs>
          <w:tab w:val="left" w:pos="450"/>
        </w:tabs>
        <w:ind w:left="0" w:hanging="450"/>
        <w:jc w:val="both"/>
        <w:rPr>
          <w:rFonts w:eastAsia="Calibri"/>
          <w:b/>
          <w:sz w:val="24"/>
          <w:szCs w:val="24"/>
          <w:lang w:val="en-GB"/>
        </w:rPr>
      </w:pPr>
      <w:r w:rsidRPr="00E8394D">
        <w:rPr>
          <w:rFonts w:eastAsia="Calibri"/>
          <w:b/>
          <w:sz w:val="24"/>
          <w:szCs w:val="24"/>
          <w:lang w:val="en-GB"/>
        </w:rPr>
        <w:t xml:space="preserve">Programme </w:t>
      </w:r>
      <w:r w:rsidR="00BA5E65" w:rsidRPr="00E8394D">
        <w:rPr>
          <w:rFonts w:eastAsia="Calibri"/>
          <w:b/>
          <w:sz w:val="24"/>
          <w:szCs w:val="24"/>
          <w:lang w:val="en-GB"/>
        </w:rPr>
        <w:t>p</w:t>
      </w:r>
      <w:r w:rsidRPr="00E8394D">
        <w:rPr>
          <w:rFonts w:eastAsia="Calibri"/>
          <w:b/>
          <w:sz w:val="24"/>
          <w:szCs w:val="24"/>
          <w:lang w:val="en-GB"/>
        </w:rPr>
        <w:t xml:space="preserve">riorities and </w:t>
      </w:r>
      <w:r w:rsidR="00BA5E65" w:rsidRPr="00E8394D">
        <w:rPr>
          <w:rFonts w:eastAsia="Calibri"/>
          <w:b/>
          <w:sz w:val="24"/>
          <w:szCs w:val="24"/>
          <w:lang w:val="en-GB"/>
        </w:rPr>
        <w:t>p</w:t>
      </w:r>
      <w:r w:rsidRPr="00E8394D">
        <w:rPr>
          <w:rFonts w:eastAsia="Calibri"/>
          <w:b/>
          <w:sz w:val="24"/>
          <w:szCs w:val="24"/>
          <w:lang w:val="en-GB"/>
        </w:rPr>
        <w:t>artnerships</w:t>
      </w:r>
    </w:p>
    <w:p w14:paraId="5A3B4612" w14:textId="77777777" w:rsidR="00450EC5" w:rsidRPr="00E8394D" w:rsidRDefault="00450EC5" w:rsidP="003618D6">
      <w:pPr>
        <w:pStyle w:val="ListParagraph"/>
        <w:tabs>
          <w:tab w:val="left" w:pos="450"/>
        </w:tabs>
        <w:ind w:left="1080"/>
        <w:jc w:val="both"/>
        <w:rPr>
          <w:rFonts w:eastAsia="Calibri"/>
          <w:b/>
          <w:lang w:val="en-GB"/>
        </w:rPr>
      </w:pPr>
    </w:p>
    <w:p w14:paraId="2EFBF92E" w14:textId="77777777" w:rsidR="00B027B9" w:rsidRPr="00E8394D" w:rsidRDefault="002303E9" w:rsidP="00BA5E65">
      <w:pPr>
        <w:pStyle w:val="ListParagraph"/>
        <w:numPr>
          <w:ilvl w:val="0"/>
          <w:numId w:val="21"/>
        </w:numPr>
        <w:tabs>
          <w:tab w:val="left" w:pos="450"/>
        </w:tabs>
        <w:spacing w:after="120"/>
        <w:ind w:left="0" w:firstLine="0"/>
        <w:contextualSpacing/>
        <w:jc w:val="both"/>
        <w:rPr>
          <w:lang w:val="en-GB"/>
        </w:rPr>
      </w:pPr>
      <w:r>
        <w:rPr>
          <w:rFonts w:eastAsia="Calibri"/>
          <w:lang w:val="en-GB"/>
        </w:rPr>
        <w:t xml:space="preserve">The </w:t>
      </w:r>
      <w:r w:rsidR="00942968" w:rsidRPr="00E8394D">
        <w:rPr>
          <w:rFonts w:eastAsia="Calibri"/>
          <w:lang w:val="en-GB"/>
        </w:rPr>
        <w:t>country programme is aligned to t</w:t>
      </w:r>
      <w:r w:rsidR="00942968" w:rsidRPr="00E8394D">
        <w:rPr>
          <w:lang w:val="en-GB"/>
        </w:rPr>
        <w:t>he Government</w:t>
      </w:r>
      <w:r>
        <w:rPr>
          <w:lang w:val="en-GB"/>
        </w:rPr>
        <w:t xml:space="preserve">’s </w:t>
      </w:r>
      <w:r w:rsidR="00942968" w:rsidRPr="00E8394D">
        <w:rPr>
          <w:lang w:val="en-GB"/>
        </w:rPr>
        <w:t>Vision 2050</w:t>
      </w:r>
      <w:r>
        <w:rPr>
          <w:lang w:val="en-GB"/>
        </w:rPr>
        <w:t>,</w:t>
      </w:r>
      <w:r w:rsidR="00942968" w:rsidRPr="00E8394D">
        <w:rPr>
          <w:lang w:val="en-GB"/>
        </w:rPr>
        <w:t xml:space="preserve"> </w:t>
      </w:r>
      <w:r w:rsidR="00942968" w:rsidRPr="00E8394D">
        <w:rPr>
          <w:rFonts w:eastAsia="Calibri"/>
          <w:lang w:val="en-GB"/>
        </w:rPr>
        <w:t xml:space="preserve">the </w:t>
      </w:r>
      <w:r>
        <w:rPr>
          <w:rFonts w:eastAsia="Calibri"/>
          <w:lang w:val="en-GB"/>
        </w:rPr>
        <w:t>m</w:t>
      </w:r>
      <w:r w:rsidR="007A3682" w:rsidRPr="00E8394D">
        <w:rPr>
          <w:rFonts w:eastAsia="Calibri"/>
          <w:lang w:val="en-GB"/>
        </w:rPr>
        <w:t>edium</w:t>
      </w:r>
      <w:r w:rsidR="005D7338" w:rsidRPr="00E8394D">
        <w:rPr>
          <w:rFonts w:eastAsia="Calibri"/>
          <w:lang w:val="en-GB"/>
        </w:rPr>
        <w:t>-</w:t>
      </w:r>
      <w:r>
        <w:rPr>
          <w:rFonts w:eastAsia="Calibri"/>
          <w:lang w:val="en-GB"/>
        </w:rPr>
        <w:t>t</w:t>
      </w:r>
      <w:r w:rsidR="007A3682" w:rsidRPr="00E8394D">
        <w:rPr>
          <w:rFonts w:eastAsia="Calibri"/>
          <w:lang w:val="en-GB"/>
        </w:rPr>
        <w:t xml:space="preserve">erm </w:t>
      </w:r>
      <w:r>
        <w:rPr>
          <w:rFonts w:eastAsia="Calibri"/>
          <w:lang w:val="en-GB"/>
        </w:rPr>
        <w:t>d</w:t>
      </w:r>
      <w:r w:rsidR="007A3682" w:rsidRPr="00E8394D">
        <w:rPr>
          <w:rFonts w:eastAsia="Calibri"/>
          <w:lang w:val="en-GB"/>
        </w:rPr>
        <w:t xml:space="preserve">evelopment </w:t>
      </w:r>
      <w:r>
        <w:rPr>
          <w:rFonts w:eastAsia="Calibri"/>
          <w:lang w:val="en-GB"/>
        </w:rPr>
        <w:t>p</w:t>
      </w:r>
      <w:r w:rsidR="007A3682" w:rsidRPr="00E8394D">
        <w:rPr>
          <w:rFonts w:eastAsia="Calibri"/>
          <w:lang w:val="en-GB"/>
        </w:rPr>
        <w:t>lan</w:t>
      </w:r>
      <w:r>
        <w:rPr>
          <w:rFonts w:eastAsia="Calibri"/>
          <w:lang w:val="en-GB"/>
        </w:rPr>
        <w:t xml:space="preserve">, </w:t>
      </w:r>
      <w:r w:rsidR="00942968" w:rsidRPr="00E8394D">
        <w:rPr>
          <w:rFonts w:eastAsia="Calibri"/>
          <w:lang w:val="en-GB"/>
        </w:rPr>
        <w:t>2018-2022</w:t>
      </w:r>
      <w:r>
        <w:rPr>
          <w:rFonts w:eastAsia="Calibri"/>
          <w:lang w:val="en-GB"/>
        </w:rPr>
        <w:t>,</w:t>
      </w:r>
      <w:r w:rsidR="00942968" w:rsidRPr="00E8394D">
        <w:rPr>
          <w:rFonts w:eastAsia="Calibri"/>
          <w:lang w:val="en-GB"/>
        </w:rPr>
        <w:t xml:space="preserve"> </w:t>
      </w:r>
      <w:r w:rsidR="00942968" w:rsidRPr="00E8394D">
        <w:rPr>
          <w:lang w:val="en-GB"/>
        </w:rPr>
        <w:t xml:space="preserve">and the </w:t>
      </w:r>
      <w:r>
        <w:rPr>
          <w:lang w:val="en-GB"/>
        </w:rPr>
        <w:t>n</w:t>
      </w:r>
      <w:r w:rsidR="00942968" w:rsidRPr="00E8394D">
        <w:rPr>
          <w:lang w:val="en-GB"/>
        </w:rPr>
        <w:t xml:space="preserve">ational </w:t>
      </w:r>
      <w:r>
        <w:rPr>
          <w:lang w:val="en-GB"/>
        </w:rPr>
        <w:t>s</w:t>
      </w:r>
      <w:r w:rsidR="00942968" w:rsidRPr="00E8394D">
        <w:rPr>
          <w:lang w:val="en-GB"/>
        </w:rPr>
        <w:t xml:space="preserve">trategy for </w:t>
      </w:r>
      <w:r>
        <w:rPr>
          <w:lang w:val="en-GB"/>
        </w:rPr>
        <w:t>r</w:t>
      </w:r>
      <w:r w:rsidR="00942968" w:rsidRPr="00E8394D">
        <w:rPr>
          <w:lang w:val="en-GB"/>
        </w:rPr>
        <w:t xml:space="preserve">esponsible </w:t>
      </w:r>
      <w:r>
        <w:rPr>
          <w:lang w:val="en-GB"/>
        </w:rPr>
        <w:t>s</w:t>
      </w:r>
      <w:r w:rsidR="00942968" w:rsidRPr="00E8394D">
        <w:rPr>
          <w:lang w:val="en-GB"/>
        </w:rPr>
        <w:t xml:space="preserve">ustainable </w:t>
      </w:r>
      <w:r>
        <w:rPr>
          <w:lang w:val="en-GB"/>
        </w:rPr>
        <w:t>d</w:t>
      </w:r>
      <w:r w:rsidR="00942968" w:rsidRPr="00E8394D">
        <w:rPr>
          <w:lang w:val="en-GB"/>
        </w:rPr>
        <w:t xml:space="preserve">evelopment. The programme is informed by the UNDP </w:t>
      </w:r>
      <w:r>
        <w:rPr>
          <w:lang w:val="en-GB"/>
        </w:rPr>
        <w:t>s</w:t>
      </w:r>
      <w:r w:rsidR="00942968" w:rsidRPr="00E8394D">
        <w:rPr>
          <w:lang w:val="en-GB"/>
        </w:rPr>
        <w:t xml:space="preserve">trategic </w:t>
      </w:r>
      <w:r>
        <w:rPr>
          <w:lang w:val="en-GB"/>
        </w:rPr>
        <w:t>p</w:t>
      </w:r>
      <w:r w:rsidR="00942968" w:rsidRPr="00E8394D">
        <w:rPr>
          <w:lang w:val="en-GB"/>
        </w:rPr>
        <w:t>lan</w:t>
      </w:r>
      <w:r>
        <w:rPr>
          <w:lang w:val="en-GB"/>
        </w:rPr>
        <w:t>, 2018-2021,</w:t>
      </w:r>
      <w:r w:rsidR="00942968" w:rsidRPr="00E8394D">
        <w:rPr>
          <w:lang w:val="en-GB"/>
        </w:rPr>
        <w:t xml:space="preserve"> and </w:t>
      </w:r>
      <w:r w:rsidR="002935AD" w:rsidRPr="00E8394D">
        <w:rPr>
          <w:lang w:val="en-GB"/>
        </w:rPr>
        <w:t>contribute</w:t>
      </w:r>
      <w:r w:rsidR="00FF38F7" w:rsidRPr="00E8394D">
        <w:rPr>
          <w:lang w:val="en-GB"/>
        </w:rPr>
        <w:t>s</w:t>
      </w:r>
      <w:r w:rsidR="002935AD" w:rsidRPr="00E8394D">
        <w:rPr>
          <w:lang w:val="en-GB"/>
        </w:rPr>
        <w:t xml:space="preserve"> to the </w:t>
      </w:r>
      <w:r>
        <w:rPr>
          <w:lang w:val="en-GB"/>
        </w:rPr>
        <w:t xml:space="preserve">UNDAF, </w:t>
      </w:r>
      <w:r w:rsidR="00942968" w:rsidRPr="00E8394D">
        <w:rPr>
          <w:lang w:val="en-GB"/>
        </w:rPr>
        <w:t>2018-2</w:t>
      </w:r>
      <w:bookmarkStart w:id="1" w:name="_Hlk480203776"/>
      <w:r w:rsidR="00B027B9" w:rsidRPr="00E8394D">
        <w:rPr>
          <w:lang w:val="en-GB"/>
        </w:rPr>
        <w:t>022.</w:t>
      </w:r>
      <w:bookmarkEnd w:id="1"/>
      <w:r w:rsidR="00B027B9" w:rsidRPr="00E8394D">
        <w:rPr>
          <w:lang w:val="en-GB"/>
        </w:rPr>
        <w:t xml:space="preserve"> </w:t>
      </w:r>
      <w:r w:rsidR="00271226" w:rsidRPr="00E8394D">
        <w:rPr>
          <w:lang w:val="en-GB"/>
        </w:rPr>
        <w:t xml:space="preserve">The programme promotes </w:t>
      </w:r>
      <w:r w:rsidR="00D24A97" w:rsidRPr="00E8394D">
        <w:rPr>
          <w:lang w:val="en-GB"/>
        </w:rPr>
        <w:t>a whole-of-society approach</w:t>
      </w:r>
      <w:r w:rsidR="005A523D">
        <w:rPr>
          <w:lang w:val="en-GB"/>
        </w:rPr>
        <w:t>,</w:t>
      </w:r>
      <w:r w:rsidR="005E054C" w:rsidRPr="00E8394D">
        <w:rPr>
          <w:lang w:val="en-GB"/>
        </w:rPr>
        <w:t xml:space="preserve"> which requires</w:t>
      </w:r>
      <w:r w:rsidR="00D24A97" w:rsidRPr="00E8394D">
        <w:rPr>
          <w:lang w:val="en-GB"/>
        </w:rPr>
        <w:t xml:space="preserve"> innovation and business models from the private sector, mobilization of civil society, and best </w:t>
      </w:r>
      <w:r w:rsidR="00D24A97" w:rsidRPr="00E8394D">
        <w:rPr>
          <w:lang w:val="en-GB"/>
        </w:rPr>
        <w:lastRenderedPageBreak/>
        <w:t>practices and funding from public and private sectors. UNDP will foster innovation and knowledge-generation, including integrated, issues-based approaches to complex development challenges. UNDP will act as a connector and platform supporting linkages and South-South knowledge</w:t>
      </w:r>
      <w:r w:rsidR="005A523D">
        <w:rPr>
          <w:lang w:val="en-GB"/>
        </w:rPr>
        <w:t>-</w:t>
      </w:r>
      <w:r w:rsidR="00D24A97" w:rsidRPr="00E8394D">
        <w:rPr>
          <w:lang w:val="en-GB"/>
        </w:rPr>
        <w:t xml:space="preserve">exchanges by bringing </w:t>
      </w:r>
      <w:r w:rsidR="005A523D">
        <w:rPr>
          <w:lang w:val="en-GB"/>
        </w:rPr>
        <w:t xml:space="preserve">the country’s </w:t>
      </w:r>
      <w:r w:rsidR="00D24A97" w:rsidRPr="00E8394D">
        <w:rPr>
          <w:lang w:val="en-GB"/>
        </w:rPr>
        <w:t xml:space="preserve">good practices to global and regional forums and global innovations to </w:t>
      </w:r>
      <w:r w:rsidR="005A523D">
        <w:rPr>
          <w:lang w:val="en-GB"/>
        </w:rPr>
        <w:t>Papua New Guinea</w:t>
      </w:r>
      <w:r w:rsidR="00D24A97" w:rsidRPr="00E8394D">
        <w:rPr>
          <w:lang w:val="en-GB"/>
        </w:rPr>
        <w:t xml:space="preserve">, </w:t>
      </w:r>
      <w:r w:rsidR="005A523D">
        <w:rPr>
          <w:lang w:val="en-GB"/>
        </w:rPr>
        <w:t xml:space="preserve">while </w:t>
      </w:r>
      <w:r w:rsidR="00D24A97" w:rsidRPr="00E8394D">
        <w:rPr>
          <w:lang w:val="en-GB"/>
        </w:rPr>
        <w:t>leveraging UNDP global knowledge and expertise.</w:t>
      </w:r>
      <w:r w:rsidR="001A6340" w:rsidRPr="00E8394D">
        <w:rPr>
          <w:lang w:val="en-GB"/>
        </w:rPr>
        <w:t xml:space="preserve"> </w:t>
      </w:r>
      <w:r w:rsidR="005A523D">
        <w:rPr>
          <w:lang w:val="en-GB"/>
        </w:rPr>
        <w:t>In particular, Papua New Guinea will</w:t>
      </w:r>
      <w:r w:rsidR="001A6340" w:rsidRPr="00E8394D">
        <w:rPr>
          <w:lang w:val="en-GB"/>
        </w:rPr>
        <w:t xml:space="preserve"> </w:t>
      </w:r>
      <w:r w:rsidR="005A523D">
        <w:rPr>
          <w:lang w:val="en-GB"/>
        </w:rPr>
        <w:t xml:space="preserve">work with </w:t>
      </w:r>
      <w:r w:rsidR="001A6340" w:rsidRPr="00E8394D">
        <w:rPr>
          <w:lang w:val="en-GB"/>
        </w:rPr>
        <w:t>India for renewable energy</w:t>
      </w:r>
      <w:r w:rsidR="00BE0ED2" w:rsidRPr="00E8394D">
        <w:rPr>
          <w:lang w:val="en-GB"/>
        </w:rPr>
        <w:t xml:space="preserve"> and </w:t>
      </w:r>
      <w:r w:rsidR="001A6340" w:rsidRPr="00E8394D">
        <w:rPr>
          <w:lang w:val="en-GB"/>
        </w:rPr>
        <w:t>smokeless stoves</w:t>
      </w:r>
      <w:r w:rsidR="00BE0ED2" w:rsidRPr="00E8394D">
        <w:rPr>
          <w:lang w:val="en-GB"/>
        </w:rPr>
        <w:t xml:space="preserve">; </w:t>
      </w:r>
      <w:r w:rsidR="001A6340" w:rsidRPr="00E8394D">
        <w:rPr>
          <w:lang w:val="en-GB"/>
        </w:rPr>
        <w:t xml:space="preserve">China (through the </w:t>
      </w:r>
      <w:r w:rsidR="005A523D">
        <w:rPr>
          <w:lang w:val="en-GB"/>
        </w:rPr>
        <w:t xml:space="preserve">Papua New Guinea </w:t>
      </w:r>
      <w:r w:rsidR="001A6340" w:rsidRPr="00E8394D">
        <w:rPr>
          <w:lang w:val="en-GB"/>
        </w:rPr>
        <w:t xml:space="preserve">Business Council) for e-waste management; Korea, </w:t>
      </w:r>
      <w:r w:rsidR="005A523D">
        <w:rPr>
          <w:lang w:val="en-GB"/>
        </w:rPr>
        <w:t xml:space="preserve">by </w:t>
      </w:r>
      <w:r w:rsidR="001A6340" w:rsidRPr="00E8394D">
        <w:rPr>
          <w:lang w:val="en-GB"/>
        </w:rPr>
        <w:t xml:space="preserve">making use of the Korean volunteer system in </w:t>
      </w:r>
      <w:r w:rsidR="005A523D">
        <w:rPr>
          <w:lang w:val="en-GB"/>
        </w:rPr>
        <w:t>Papua New Guinea</w:t>
      </w:r>
      <w:r w:rsidR="00345C1D" w:rsidRPr="00E8394D">
        <w:rPr>
          <w:lang w:val="en-GB"/>
        </w:rPr>
        <w:t xml:space="preserve"> to reach vulnerable communities</w:t>
      </w:r>
      <w:r w:rsidR="00393894" w:rsidRPr="00E8394D">
        <w:rPr>
          <w:lang w:val="en-GB"/>
        </w:rPr>
        <w:t xml:space="preserve">; </w:t>
      </w:r>
      <w:r w:rsidR="005A523D">
        <w:rPr>
          <w:lang w:val="en-GB"/>
        </w:rPr>
        <w:t xml:space="preserve">and </w:t>
      </w:r>
      <w:r w:rsidR="00393894" w:rsidRPr="00E8394D">
        <w:rPr>
          <w:lang w:val="en-GB"/>
        </w:rPr>
        <w:t>Singapore</w:t>
      </w:r>
      <w:r w:rsidR="005A523D">
        <w:rPr>
          <w:lang w:val="en-GB"/>
        </w:rPr>
        <w:t>,</w:t>
      </w:r>
      <w:r w:rsidR="00393894" w:rsidRPr="00E8394D">
        <w:rPr>
          <w:lang w:val="en-GB"/>
        </w:rPr>
        <w:t xml:space="preserve"> for excellence in </w:t>
      </w:r>
      <w:r w:rsidR="00BE0ED2" w:rsidRPr="00E8394D">
        <w:rPr>
          <w:lang w:val="en-GB"/>
        </w:rPr>
        <w:t xml:space="preserve">the civil service. </w:t>
      </w:r>
      <w:r w:rsidR="005A523D">
        <w:rPr>
          <w:lang w:val="en-GB"/>
        </w:rPr>
        <w:t>T</w:t>
      </w:r>
      <w:r w:rsidR="00BE0ED2" w:rsidRPr="00E8394D">
        <w:rPr>
          <w:lang w:val="en-GB"/>
        </w:rPr>
        <w:t xml:space="preserve">he </w:t>
      </w:r>
      <w:r w:rsidR="00185507">
        <w:rPr>
          <w:lang w:val="en-GB"/>
        </w:rPr>
        <w:t xml:space="preserve">2018 </w:t>
      </w:r>
      <w:r w:rsidR="00BE0ED2" w:rsidRPr="00E8394D">
        <w:rPr>
          <w:lang w:val="en-GB"/>
        </w:rPr>
        <w:t xml:space="preserve">APEC </w:t>
      </w:r>
      <w:r w:rsidR="005A523D">
        <w:rPr>
          <w:lang w:val="en-GB"/>
        </w:rPr>
        <w:t xml:space="preserve">Summit </w:t>
      </w:r>
      <w:r w:rsidR="00BE0ED2" w:rsidRPr="00E8394D">
        <w:rPr>
          <w:lang w:val="en-GB"/>
        </w:rPr>
        <w:t xml:space="preserve">will </w:t>
      </w:r>
      <w:r w:rsidR="005A523D">
        <w:rPr>
          <w:lang w:val="en-GB"/>
        </w:rPr>
        <w:t xml:space="preserve">offer </w:t>
      </w:r>
      <w:r w:rsidR="00BE0ED2" w:rsidRPr="00E8394D">
        <w:rPr>
          <w:lang w:val="en-GB"/>
        </w:rPr>
        <w:t xml:space="preserve">other entry points for </w:t>
      </w:r>
      <w:r w:rsidR="005A523D">
        <w:rPr>
          <w:lang w:val="en-GB"/>
        </w:rPr>
        <w:t>S</w:t>
      </w:r>
      <w:r w:rsidR="00BE0ED2" w:rsidRPr="00E8394D">
        <w:rPr>
          <w:lang w:val="en-GB"/>
        </w:rPr>
        <w:t>outh</w:t>
      </w:r>
      <w:r w:rsidR="005A523D">
        <w:rPr>
          <w:lang w:val="en-GB"/>
        </w:rPr>
        <w:t>-S</w:t>
      </w:r>
      <w:r w:rsidR="00BE0ED2" w:rsidRPr="00E8394D">
        <w:rPr>
          <w:lang w:val="en-GB"/>
        </w:rPr>
        <w:t>outh cooperation.</w:t>
      </w:r>
    </w:p>
    <w:p w14:paraId="13932EFB" w14:textId="77777777" w:rsidR="00345C1D" w:rsidRPr="00E8394D" w:rsidRDefault="00345C1D" w:rsidP="003618D6">
      <w:pPr>
        <w:pStyle w:val="ListParagraph"/>
        <w:tabs>
          <w:tab w:val="left" w:pos="450"/>
        </w:tabs>
        <w:ind w:left="0"/>
        <w:contextualSpacing/>
        <w:jc w:val="both"/>
        <w:rPr>
          <w:sz w:val="12"/>
          <w:szCs w:val="12"/>
          <w:highlight w:val="yellow"/>
          <w:lang w:val="en-GB"/>
        </w:rPr>
      </w:pPr>
    </w:p>
    <w:p w14:paraId="107E21C9" w14:textId="77777777" w:rsidR="0048086C" w:rsidRPr="00E8394D" w:rsidRDefault="0048086C" w:rsidP="003618D6">
      <w:pPr>
        <w:tabs>
          <w:tab w:val="left" w:pos="450"/>
        </w:tabs>
        <w:jc w:val="both"/>
        <w:rPr>
          <w:b/>
          <w:lang w:val="en-GB"/>
        </w:rPr>
      </w:pPr>
      <w:r w:rsidRPr="00E8394D">
        <w:rPr>
          <w:b/>
          <w:lang w:val="en-GB"/>
        </w:rPr>
        <w:t xml:space="preserve">Peace: </w:t>
      </w:r>
      <w:r w:rsidR="00185507">
        <w:rPr>
          <w:b/>
          <w:lang w:val="en-GB"/>
        </w:rPr>
        <w:t>p</w:t>
      </w:r>
      <w:r w:rsidRPr="00E8394D">
        <w:rPr>
          <w:b/>
          <w:lang w:val="en-GB"/>
        </w:rPr>
        <w:t xml:space="preserve">romoting </w:t>
      </w:r>
      <w:r w:rsidR="00185507">
        <w:rPr>
          <w:b/>
          <w:lang w:val="en-GB"/>
        </w:rPr>
        <w:t>i</w:t>
      </w:r>
      <w:r w:rsidRPr="00E8394D">
        <w:rPr>
          <w:b/>
          <w:lang w:val="en-GB"/>
        </w:rPr>
        <w:t xml:space="preserve">nclusive </w:t>
      </w:r>
      <w:r w:rsidR="00185507">
        <w:rPr>
          <w:b/>
          <w:lang w:val="en-GB"/>
        </w:rPr>
        <w:t>g</w:t>
      </w:r>
      <w:r w:rsidRPr="00E8394D">
        <w:rPr>
          <w:b/>
          <w:lang w:val="en-GB"/>
        </w:rPr>
        <w:t xml:space="preserve">overnance, </w:t>
      </w:r>
      <w:r w:rsidR="00185507">
        <w:rPr>
          <w:b/>
          <w:lang w:val="en-GB"/>
        </w:rPr>
        <w:t>j</w:t>
      </w:r>
      <w:r w:rsidRPr="00E8394D">
        <w:rPr>
          <w:b/>
          <w:lang w:val="en-GB"/>
        </w:rPr>
        <w:t xml:space="preserve">ustice </w:t>
      </w:r>
      <w:r w:rsidR="00185507">
        <w:rPr>
          <w:b/>
          <w:lang w:val="en-GB"/>
        </w:rPr>
        <w:t>and p</w:t>
      </w:r>
      <w:r w:rsidRPr="00E8394D">
        <w:rPr>
          <w:b/>
          <w:lang w:val="en-GB"/>
        </w:rPr>
        <w:t xml:space="preserve">eace </w:t>
      </w:r>
    </w:p>
    <w:p w14:paraId="51E2E440" w14:textId="77777777" w:rsidR="0048086C" w:rsidRPr="00E8394D" w:rsidRDefault="0048086C" w:rsidP="003618D6">
      <w:pPr>
        <w:tabs>
          <w:tab w:val="left" w:pos="450"/>
        </w:tabs>
        <w:jc w:val="both"/>
        <w:rPr>
          <w:sz w:val="12"/>
          <w:szCs w:val="12"/>
          <w:lang w:val="en-GB"/>
        </w:rPr>
      </w:pPr>
    </w:p>
    <w:p w14:paraId="085B48FD" w14:textId="77777777" w:rsidR="002F12AE" w:rsidRPr="00E8394D" w:rsidRDefault="00B47F5D" w:rsidP="00BA5E65">
      <w:pPr>
        <w:pStyle w:val="ListParagraph"/>
        <w:numPr>
          <w:ilvl w:val="0"/>
          <w:numId w:val="21"/>
        </w:numPr>
        <w:tabs>
          <w:tab w:val="left" w:pos="450"/>
        </w:tabs>
        <w:spacing w:after="120"/>
        <w:ind w:left="0" w:firstLine="0"/>
        <w:contextualSpacing/>
        <w:jc w:val="both"/>
        <w:rPr>
          <w:lang w:val="en-GB"/>
        </w:rPr>
      </w:pPr>
      <w:r>
        <w:rPr>
          <w:lang w:val="en-GB"/>
        </w:rPr>
        <w:t>B</w:t>
      </w:r>
      <w:r w:rsidR="008C24AF" w:rsidRPr="00E8394D">
        <w:rPr>
          <w:lang w:val="en-GB"/>
        </w:rPr>
        <w:t>uilding on its comparative advantage in this area,</w:t>
      </w:r>
      <w:r w:rsidR="00271226" w:rsidRPr="00E8394D">
        <w:rPr>
          <w:lang w:val="en-GB"/>
        </w:rPr>
        <w:t xml:space="preserve"> </w:t>
      </w:r>
      <w:r w:rsidRPr="00E8394D">
        <w:rPr>
          <w:lang w:val="en-GB"/>
        </w:rPr>
        <w:t xml:space="preserve">UNDP will </w:t>
      </w:r>
      <w:r w:rsidR="00271226" w:rsidRPr="00E8394D">
        <w:rPr>
          <w:lang w:val="en-GB"/>
        </w:rPr>
        <w:t xml:space="preserve">support </w:t>
      </w:r>
      <w:r w:rsidR="009413FB" w:rsidRPr="00E8394D">
        <w:rPr>
          <w:lang w:val="en-GB"/>
        </w:rPr>
        <w:t xml:space="preserve">the accountability, transparency, financial management and enhanced public institutional performance </w:t>
      </w:r>
      <w:r w:rsidR="00271226" w:rsidRPr="00E8394D">
        <w:rPr>
          <w:lang w:val="en-GB"/>
        </w:rPr>
        <w:t xml:space="preserve">of </w:t>
      </w:r>
      <w:r>
        <w:rPr>
          <w:lang w:val="en-GB"/>
        </w:rPr>
        <w:t>g</w:t>
      </w:r>
      <w:r w:rsidR="00271226" w:rsidRPr="00E8394D">
        <w:rPr>
          <w:lang w:val="en-GB"/>
        </w:rPr>
        <w:t xml:space="preserve">overnment </w:t>
      </w:r>
      <w:r w:rsidR="009413FB" w:rsidRPr="00E8394D">
        <w:rPr>
          <w:lang w:val="en-GB"/>
        </w:rPr>
        <w:t xml:space="preserve">at national and subnational levels. To move towards a more effective public service, UNDP will work with </w:t>
      </w:r>
      <w:r>
        <w:rPr>
          <w:lang w:val="en-GB"/>
        </w:rPr>
        <w:t xml:space="preserve">the </w:t>
      </w:r>
      <w:r w:rsidR="009413FB" w:rsidRPr="00E8394D">
        <w:rPr>
          <w:lang w:val="en-GB"/>
        </w:rPr>
        <w:t>Department of Personnel Management to strengthen the legal and policy framework for a professionalized, performance-based civil service and to set up stronger accountability measures. Working with the UNDP Global Centre for Public Service Excellence in Singapore</w:t>
      </w:r>
      <w:r w:rsidR="00BF10FC" w:rsidRPr="00E8394D">
        <w:rPr>
          <w:lang w:val="en-GB"/>
        </w:rPr>
        <w:t xml:space="preserve"> and</w:t>
      </w:r>
      <w:r w:rsidR="009413FB" w:rsidRPr="00E8394D">
        <w:rPr>
          <w:lang w:val="en-GB"/>
        </w:rPr>
        <w:t xml:space="preserve"> </w:t>
      </w:r>
      <w:r>
        <w:rPr>
          <w:lang w:val="en-GB"/>
        </w:rPr>
        <w:t xml:space="preserve">through </w:t>
      </w:r>
      <w:r w:rsidR="009413FB" w:rsidRPr="00E8394D">
        <w:rPr>
          <w:lang w:val="en-GB"/>
        </w:rPr>
        <w:t>South-South exchanges</w:t>
      </w:r>
      <w:r w:rsidR="00BF10FC" w:rsidRPr="00E8394D">
        <w:rPr>
          <w:lang w:val="en-GB"/>
        </w:rPr>
        <w:t>,</w:t>
      </w:r>
      <w:r w:rsidR="009413FB" w:rsidRPr="00E8394D">
        <w:rPr>
          <w:lang w:val="en-GB"/>
        </w:rPr>
        <w:t xml:space="preserve"> </w:t>
      </w:r>
      <w:r>
        <w:rPr>
          <w:lang w:val="en-GB"/>
        </w:rPr>
        <w:t xml:space="preserve">UNDP will explore </w:t>
      </w:r>
      <w:r w:rsidR="009413FB" w:rsidRPr="00E8394D">
        <w:rPr>
          <w:lang w:val="en-GB"/>
        </w:rPr>
        <w:t xml:space="preserve">the adoption of global good practices into the </w:t>
      </w:r>
      <w:r>
        <w:rPr>
          <w:lang w:val="en-GB"/>
        </w:rPr>
        <w:t xml:space="preserve">Papua New Guinea </w:t>
      </w:r>
      <w:r w:rsidR="009413FB" w:rsidRPr="00E8394D">
        <w:rPr>
          <w:lang w:val="en-GB"/>
        </w:rPr>
        <w:t>civil service</w:t>
      </w:r>
      <w:r w:rsidR="000E066E" w:rsidRPr="00E8394D">
        <w:rPr>
          <w:lang w:val="en-GB"/>
        </w:rPr>
        <w:t>.</w:t>
      </w:r>
      <w:r w:rsidR="009413FB" w:rsidRPr="00E8394D">
        <w:rPr>
          <w:lang w:val="en-GB"/>
        </w:rPr>
        <w:t xml:space="preserve"> UNDP will continue to scale</w:t>
      </w:r>
      <w:r>
        <w:rPr>
          <w:lang w:val="en-GB"/>
        </w:rPr>
        <w:t xml:space="preserve"> </w:t>
      </w:r>
      <w:r w:rsidR="009413FB" w:rsidRPr="00E8394D">
        <w:rPr>
          <w:lang w:val="en-GB"/>
        </w:rPr>
        <w:t xml:space="preserve">up </w:t>
      </w:r>
      <w:r w:rsidR="00BF10FC" w:rsidRPr="00E8394D">
        <w:rPr>
          <w:lang w:val="en-GB"/>
        </w:rPr>
        <w:t xml:space="preserve">its </w:t>
      </w:r>
      <w:r w:rsidR="009413FB" w:rsidRPr="00E8394D">
        <w:rPr>
          <w:lang w:val="en-GB"/>
        </w:rPr>
        <w:t xml:space="preserve">support to build capacities in financial management at the </w:t>
      </w:r>
      <w:r w:rsidR="00271226" w:rsidRPr="00E8394D">
        <w:rPr>
          <w:lang w:val="en-GB"/>
        </w:rPr>
        <w:t>p</w:t>
      </w:r>
      <w:r w:rsidR="009413FB" w:rsidRPr="00E8394D">
        <w:rPr>
          <w:lang w:val="en-GB"/>
        </w:rPr>
        <w:t xml:space="preserve">rovincial and </w:t>
      </w:r>
      <w:r w:rsidR="00271226" w:rsidRPr="00E8394D">
        <w:rPr>
          <w:lang w:val="en-GB"/>
        </w:rPr>
        <w:t>d</w:t>
      </w:r>
      <w:r w:rsidR="009413FB" w:rsidRPr="00E8394D">
        <w:rPr>
          <w:lang w:val="en-GB"/>
        </w:rPr>
        <w:t>istrict level</w:t>
      </w:r>
      <w:r>
        <w:rPr>
          <w:lang w:val="en-GB"/>
        </w:rPr>
        <w:t>s</w:t>
      </w:r>
      <w:r w:rsidR="009413FB" w:rsidRPr="00E8394D">
        <w:rPr>
          <w:lang w:val="en-GB"/>
        </w:rPr>
        <w:t>.</w:t>
      </w:r>
      <w:r w:rsidR="009413FB" w:rsidRPr="00E8394D">
        <w:rPr>
          <w:rFonts w:eastAsiaTheme="minorHAnsi"/>
          <w:lang w:val="en-GB" w:bidi="he-IL"/>
        </w:rPr>
        <w:t xml:space="preserve"> </w:t>
      </w:r>
    </w:p>
    <w:p w14:paraId="310BCE4E" w14:textId="77777777" w:rsidR="00CA1FBC" w:rsidRPr="00E8394D" w:rsidRDefault="00CA1FBC" w:rsidP="003618D6">
      <w:pPr>
        <w:pStyle w:val="ListParagraph"/>
        <w:tabs>
          <w:tab w:val="left" w:pos="450"/>
        </w:tabs>
        <w:ind w:left="0"/>
        <w:contextualSpacing/>
        <w:jc w:val="both"/>
        <w:rPr>
          <w:sz w:val="12"/>
          <w:szCs w:val="12"/>
          <w:lang w:val="en-GB"/>
        </w:rPr>
      </w:pPr>
    </w:p>
    <w:p w14:paraId="2CF64940" w14:textId="77777777" w:rsidR="0048086C" w:rsidRPr="00E8394D" w:rsidRDefault="009413FB" w:rsidP="003618D6">
      <w:pPr>
        <w:pStyle w:val="ListParagraph"/>
        <w:numPr>
          <w:ilvl w:val="0"/>
          <w:numId w:val="21"/>
        </w:numPr>
        <w:tabs>
          <w:tab w:val="left" w:pos="450"/>
        </w:tabs>
        <w:ind w:left="0" w:firstLine="0"/>
        <w:contextualSpacing/>
        <w:jc w:val="both"/>
        <w:rPr>
          <w:lang w:val="en-GB"/>
        </w:rPr>
      </w:pPr>
      <w:r w:rsidRPr="00E8394D">
        <w:rPr>
          <w:lang w:val="en-GB" w:eastAsia="en-GB"/>
        </w:rPr>
        <w:t>In partnership with other U</w:t>
      </w:r>
      <w:r w:rsidR="009143D0">
        <w:rPr>
          <w:lang w:val="en-GB" w:eastAsia="en-GB"/>
        </w:rPr>
        <w:t xml:space="preserve">nited </w:t>
      </w:r>
      <w:r w:rsidRPr="00E8394D">
        <w:rPr>
          <w:lang w:val="en-GB" w:eastAsia="en-GB"/>
        </w:rPr>
        <w:t>N</w:t>
      </w:r>
      <w:r w:rsidR="009143D0">
        <w:rPr>
          <w:lang w:val="en-GB" w:eastAsia="en-GB"/>
        </w:rPr>
        <w:t>ations organizations</w:t>
      </w:r>
      <w:r w:rsidRPr="00E8394D">
        <w:rPr>
          <w:lang w:val="en-GB" w:eastAsia="en-GB"/>
        </w:rPr>
        <w:t>, civil society, media and churches, UNDP will address the need for improved social accountability through the use of citizen surveys that ensure citizens’ voices are heard on national and local issues</w:t>
      </w:r>
      <w:r w:rsidR="00271226" w:rsidRPr="00E8394D">
        <w:rPr>
          <w:lang w:val="en-GB" w:eastAsia="en-GB"/>
        </w:rPr>
        <w:t xml:space="preserve">, particularly </w:t>
      </w:r>
      <w:r w:rsidR="004D7646" w:rsidRPr="00E8394D">
        <w:rPr>
          <w:lang w:val="en-GB" w:eastAsia="en-GB"/>
        </w:rPr>
        <w:t xml:space="preserve">those of </w:t>
      </w:r>
      <w:r w:rsidR="00271226" w:rsidRPr="00E8394D">
        <w:rPr>
          <w:lang w:val="en-GB" w:eastAsia="en-GB"/>
        </w:rPr>
        <w:t>women</w:t>
      </w:r>
      <w:r w:rsidR="004D7646" w:rsidRPr="00E8394D">
        <w:rPr>
          <w:lang w:val="en-GB" w:eastAsia="en-GB"/>
        </w:rPr>
        <w:t>, youth</w:t>
      </w:r>
      <w:r w:rsidR="00271226" w:rsidRPr="00E8394D">
        <w:rPr>
          <w:lang w:val="en-GB" w:eastAsia="en-GB"/>
        </w:rPr>
        <w:t xml:space="preserve"> and geographically isolated</w:t>
      </w:r>
      <w:r w:rsidR="004D7646" w:rsidRPr="00E8394D">
        <w:rPr>
          <w:lang w:val="en-GB" w:eastAsia="en-GB"/>
        </w:rPr>
        <w:t xml:space="preserve"> communities</w:t>
      </w:r>
      <w:r w:rsidRPr="00E8394D">
        <w:rPr>
          <w:lang w:val="en-GB" w:eastAsia="en-GB"/>
        </w:rPr>
        <w:t xml:space="preserve">. </w:t>
      </w:r>
      <w:r w:rsidRPr="00E8394D">
        <w:rPr>
          <w:lang w:val="en-GB"/>
        </w:rPr>
        <w:t>UNDP will continue to support</w:t>
      </w:r>
      <w:r w:rsidR="009143D0">
        <w:rPr>
          <w:lang w:val="en-GB"/>
        </w:rPr>
        <w:t xml:space="preserve"> a</w:t>
      </w:r>
      <w:r w:rsidRPr="00E8394D">
        <w:rPr>
          <w:lang w:val="en-GB"/>
        </w:rPr>
        <w:t>nti-</w:t>
      </w:r>
      <w:r w:rsidR="009143D0">
        <w:rPr>
          <w:lang w:val="en-GB"/>
        </w:rPr>
        <w:t>c</w:t>
      </w:r>
      <w:r w:rsidRPr="00E8394D">
        <w:rPr>
          <w:lang w:val="en-GB"/>
        </w:rPr>
        <w:t xml:space="preserve">orruption </w:t>
      </w:r>
      <w:r w:rsidR="0048086C" w:rsidRPr="00E8394D">
        <w:rPr>
          <w:lang w:val="en-GB"/>
        </w:rPr>
        <w:t xml:space="preserve">strategies </w:t>
      </w:r>
      <w:r w:rsidR="009143D0">
        <w:rPr>
          <w:lang w:val="en-GB"/>
        </w:rPr>
        <w:t xml:space="preserve">by </w:t>
      </w:r>
      <w:r w:rsidR="0048086C" w:rsidRPr="00E8394D">
        <w:rPr>
          <w:lang w:val="en-GB"/>
        </w:rPr>
        <w:t>collaborat</w:t>
      </w:r>
      <w:r w:rsidR="009143D0">
        <w:rPr>
          <w:lang w:val="en-GB"/>
        </w:rPr>
        <w:t>ing</w:t>
      </w:r>
      <w:r w:rsidR="0048086C" w:rsidRPr="00E8394D">
        <w:rPr>
          <w:lang w:val="en-GB"/>
        </w:rPr>
        <w:t xml:space="preserve"> with </w:t>
      </w:r>
      <w:r w:rsidRPr="00E8394D">
        <w:rPr>
          <w:lang w:val="en-GB"/>
        </w:rPr>
        <w:t xml:space="preserve">the Department of Finance, Ombudsman Commission and the proposed </w:t>
      </w:r>
      <w:r w:rsidR="009143D0">
        <w:rPr>
          <w:lang w:val="en-GB"/>
        </w:rPr>
        <w:t>i</w:t>
      </w:r>
      <w:r w:rsidR="00CA1FBC" w:rsidRPr="00E8394D">
        <w:rPr>
          <w:lang w:val="en-GB"/>
        </w:rPr>
        <w:t xml:space="preserve">ndependent </w:t>
      </w:r>
      <w:r w:rsidR="009143D0">
        <w:rPr>
          <w:lang w:val="en-GB"/>
        </w:rPr>
        <w:t>c</w:t>
      </w:r>
      <w:r w:rsidR="00CA1FBC" w:rsidRPr="00E8394D">
        <w:rPr>
          <w:lang w:val="en-GB"/>
        </w:rPr>
        <w:t xml:space="preserve">ommission </w:t>
      </w:r>
      <w:r w:rsidR="009143D0">
        <w:rPr>
          <w:lang w:val="en-GB"/>
        </w:rPr>
        <w:t>a</w:t>
      </w:r>
      <w:r w:rsidR="00CA1FBC" w:rsidRPr="00E8394D">
        <w:rPr>
          <w:lang w:val="en-GB"/>
        </w:rPr>
        <w:t xml:space="preserve">gainst </w:t>
      </w:r>
      <w:r w:rsidR="009143D0">
        <w:rPr>
          <w:lang w:val="en-GB"/>
        </w:rPr>
        <w:t>c</w:t>
      </w:r>
      <w:r w:rsidR="00CA1FBC" w:rsidRPr="00E8394D">
        <w:rPr>
          <w:lang w:val="en-GB"/>
        </w:rPr>
        <w:t>orruption</w:t>
      </w:r>
      <w:r w:rsidRPr="00E8394D">
        <w:rPr>
          <w:lang w:val="en-GB"/>
        </w:rPr>
        <w:t xml:space="preserve">. </w:t>
      </w:r>
    </w:p>
    <w:p w14:paraId="7F64D797" w14:textId="77777777" w:rsidR="0048086C" w:rsidRPr="00E8394D" w:rsidRDefault="0048086C" w:rsidP="003618D6">
      <w:pPr>
        <w:pStyle w:val="ListParagraph"/>
        <w:tabs>
          <w:tab w:val="left" w:pos="450"/>
        </w:tabs>
        <w:ind w:left="0"/>
        <w:contextualSpacing/>
        <w:jc w:val="both"/>
        <w:rPr>
          <w:sz w:val="12"/>
          <w:szCs w:val="12"/>
          <w:lang w:val="en-GB"/>
        </w:rPr>
      </w:pPr>
    </w:p>
    <w:p w14:paraId="5AAFB6A9" w14:textId="77777777" w:rsidR="002F4258" w:rsidRPr="00E8394D" w:rsidRDefault="009413FB" w:rsidP="003618D6">
      <w:pPr>
        <w:pStyle w:val="ListParagraph"/>
        <w:numPr>
          <w:ilvl w:val="0"/>
          <w:numId w:val="21"/>
        </w:numPr>
        <w:tabs>
          <w:tab w:val="left" w:pos="450"/>
        </w:tabs>
        <w:ind w:left="0" w:firstLine="0"/>
        <w:contextualSpacing/>
        <w:jc w:val="both"/>
        <w:rPr>
          <w:lang w:val="en-GB"/>
        </w:rPr>
      </w:pPr>
      <w:r w:rsidRPr="00E8394D">
        <w:rPr>
          <w:lang w:val="en-GB"/>
        </w:rPr>
        <w:t xml:space="preserve">UNDP will </w:t>
      </w:r>
      <w:r w:rsidR="002935AD" w:rsidRPr="00E8394D">
        <w:rPr>
          <w:lang w:val="en-GB"/>
        </w:rPr>
        <w:t>work with UN</w:t>
      </w:r>
      <w:r w:rsidR="00C70374">
        <w:rPr>
          <w:lang w:val="en-GB"/>
        </w:rPr>
        <w:t>-</w:t>
      </w:r>
      <w:r w:rsidR="002935AD" w:rsidRPr="00E8394D">
        <w:rPr>
          <w:lang w:val="en-GB"/>
        </w:rPr>
        <w:t xml:space="preserve">Women to </w:t>
      </w:r>
      <w:r w:rsidRPr="00E8394D">
        <w:rPr>
          <w:lang w:val="en-GB"/>
        </w:rPr>
        <w:t>support the strengthening and deepening of the democratic process</w:t>
      </w:r>
      <w:r w:rsidR="00BD0E0C" w:rsidRPr="00E8394D">
        <w:rPr>
          <w:lang w:val="en-GB"/>
        </w:rPr>
        <w:t>es</w:t>
      </w:r>
      <w:r w:rsidR="00C70374">
        <w:rPr>
          <w:lang w:val="en-GB"/>
        </w:rPr>
        <w:t xml:space="preserve"> for greater </w:t>
      </w:r>
      <w:r w:rsidRPr="00E8394D">
        <w:rPr>
          <w:lang w:val="en-GB"/>
        </w:rPr>
        <w:t>engagement and leadership of women and youth,</w:t>
      </w:r>
      <w:r w:rsidRPr="00E8394D" w:rsidDel="003E37CD">
        <w:rPr>
          <w:lang w:val="en-GB"/>
        </w:rPr>
        <w:t xml:space="preserve"> </w:t>
      </w:r>
      <w:r w:rsidR="00C70374">
        <w:rPr>
          <w:lang w:val="en-GB"/>
        </w:rPr>
        <w:t xml:space="preserve">and </w:t>
      </w:r>
      <w:r w:rsidRPr="00E8394D">
        <w:rPr>
          <w:lang w:val="en-GB"/>
        </w:rPr>
        <w:t xml:space="preserve">rurally isolated and marginalized groups. </w:t>
      </w:r>
      <w:r w:rsidR="00345C1D" w:rsidRPr="00E8394D">
        <w:rPr>
          <w:lang w:val="en-GB"/>
        </w:rPr>
        <w:t xml:space="preserve">This </w:t>
      </w:r>
      <w:r w:rsidR="00BE0ED2" w:rsidRPr="00E8394D">
        <w:rPr>
          <w:lang w:val="en-GB"/>
        </w:rPr>
        <w:t xml:space="preserve">intervention </w:t>
      </w:r>
      <w:r w:rsidR="00C70374">
        <w:rPr>
          <w:lang w:val="en-GB"/>
        </w:rPr>
        <w:t xml:space="preserve">will, </w:t>
      </w:r>
      <w:r w:rsidR="00BE0ED2" w:rsidRPr="00E8394D">
        <w:rPr>
          <w:lang w:val="en-GB"/>
        </w:rPr>
        <w:t>in turn</w:t>
      </w:r>
      <w:r w:rsidR="00C70374">
        <w:rPr>
          <w:lang w:val="en-GB"/>
        </w:rPr>
        <w:t>,</w:t>
      </w:r>
      <w:r w:rsidR="00BE0ED2" w:rsidRPr="00E8394D">
        <w:rPr>
          <w:lang w:val="en-GB"/>
        </w:rPr>
        <w:t xml:space="preserve"> strengthen </w:t>
      </w:r>
      <w:r w:rsidR="00345C1D" w:rsidRPr="00E8394D">
        <w:rPr>
          <w:lang w:val="en-GB"/>
        </w:rPr>
        <w:t>UNDP interventions in climate and environment</w:t>
      </w:r>
      <w:r w:rsidR="00C70374">
        <w:rPr>
          <w:lang w:val="en-GB"/>
        </w:rPr>
        <w:t>-</w:t>
      </w:r>
      <w:r w:rsidR="00345C1D" w:rsidRPr="00E8394D">
        <w:rPr>
          <w:lang w:val="en-GB"/>
        </w:rPr>
        <w:t xml:space="preserve">related activities. </w:t>
      </w:r>
      <w:r w:rsidR="00C70374">
        <w:rPr>
          <w:lang w:val="en-GB"/>
        </w:rPr>
        <w:t>It will support the development of t</w:t>
      </w:r>
      <w:r w:rsidRPr="00E8394D">
        <w:rPr>
          <w:lang w:val="en-GB"/>
        </w:rPr>
        <w:t xml:space="preserve">echnical skills that target management and decision-making in a decentralized context for both </w:t>
      </w:r>
      <w:r w:rsidR="00C70374">
        <w:rPr>
          <w:lang w:val="en-GB"/>
        </w:rPr>
        <w:t>m</w:t>
      </w:r>
      <w:r w:rsidRPr="00E8394D">
        <w:rPr>
          <w:lang w:val="en-GB"/>
        </w:rPr>
        <w:t xml:space="preserve">embers of </w:t>
      </w:r>
      <w:r w:rsidR="008837EE">
        <w:rPr>
          <w:lang w:val="en-GB"/>
        </w:rPr>
        <w:t>P</w:t>
      </w:r>
      <w:r w:rsidRPr="00E8394D">
        <w:rPr>
          <w:lang w:val="en-GB"/>
        </w:rPr>
        <w:t>arliament and local</w:t>
      </w:r>
      <w:r w:rsidR="00C70374">
        <w:rPr>
          <w:lang w:val="en-GB"/>
        </w:rPr>
        <w:t>-</w:t>
      </w:r>
      <w:r w:rsidRPr="00E8394D">
        <w:rPr>
          <w:lang w:val="en-GB"/>
        </w:rPr>
        <w:t>level government, focu</w:t>
      </w:r>
      <w:r w:rsidR="00C70374">
        <w:rPr>
          <w:lang w:val="en-GB"/>
        </w:rPr>
        <w:t>sed</w:t>
      </w:r>
      <w:r w:rsidRPr="00E8394D">
        <w:rPr>
          <w:lang w:val="en-GB"/>
        </w:rPr>
        <w:t xml:space="preserve"> on development priorities that include allocation and utilization of public funds</w:t>
      </w:r>
      <w:r w:rsidR="00C70374">
        <w:rPr>
          <w:lang w:val="en-GB"/>
        </w:rPr>
        <w:t>,</w:t>
      </w:r>
      <w:r w:rsidRPr="00E8394D">
        <w:rPr>
          <w:lang w:val="en-GB"/>
        </w:rPr>
        <w:t xml:space="preserve"> and procurement of and accountability for goods and services. </w:t>
      </w:r>
      <w:r w:rsidRPr="00E8394D">
        <w:rPr>
          <w:shd w:val="clear" w:color="auto" w:fill="FFFFFF"/>
          <w:lang w:val="en-GB"/>
        </w:rPr>
        <w:t xml:space="preserve">UNDP </w:t>
      </w:r>
      <w:r w:rsidRPr="00E8394D">
        <w:rPr>
          <w:lang w:val="en-GB"/>
        </w:rPr>
        <w:t xml:space="preserve">will support the </w:t>
      </w:r>
      <w:r w:rsidR="00C70374">
        <w:rPr>
          <w:lang w:val="en-GB"/>
        </w:rPr>
        <w:t>G</w:t>
      </w:r>
      <w:r w:rsidRPr="00E8394D">
        <w:rPr>
          <w:lang w:val="en-GB"/>
        </w:rPr>
        <w:t xml:space="preserve">overnment </w:t>
      </w:r>
      <w:r w:rsidR="004D7646" w:rsidRPr="00E8394D">
        <w:rPr>
          <w:lang w:val="en-GB"/>
        </w:rPr>
        <w:t xml:space="preserve">to </w:t>
      </w:r>
      <w:r w:rsidRPr="00E8394D">
        <w:rPr>
          <w:lang w:val="en-GB"/>
        </w:rPr>
        <w:t xml:space="preserve">strengthen systems and processes to ensure </w:t>
      </w:r>
      <w:r w:rsidR="004D7646" w:rsidRPr="00E8394D">
        <w:rPr>
          <w:lang w:val="en-GB"/>
        </w:rPr>
        <w:t xml:space="preserve">that </w:t>
      </w:r>
      <w:r w:rsidRPr="00E8394D">
        <w:rPr>
          <w:lang w:val="en-GB"/>
        </w:rPr>
        <w:t xml:space="preserve">the </w:t>
      </w:r>
      <w:r w:rsidR="008837EE">
        <w:rPr>
          <w:lang w:val="en-GB"/>
        </w:rPr>
        <w:t>P</w:t>
      </w:r>
      <w:r w:rsidRPr="00E8394D">
        <w:rPr>
          <w:lang w:val="en-GB"/>
        </w:rPr>
        <w:t xml:space="preserve">arliament and the Bougainville </w:t>
      </w:r>
      <w:r w:rsidR="008837EE">
        <w:rPr>
          <w:lang w:val="en-GB"/>
        </w:rPr>
        <w:t>H</w:t>
      </w:r>
      <w:r w:rsidRPr="00E8394D">
        <w:rPr>
          <w:lang w:val="en-GB"/>
        </w:rPr>
        <w:t xml:space="preserve">ouse of </w:t>
      </w:r>
      <w:r w:rsidR="008837EE">
        <w:rPr>
          <w:lang w:val="en-GB"/>
        </w:rPr>
        <w:t>R</w:t>
      </w:r>
      <w:r w:rsidRPr="00E8394D">
        <w:rPr>
          <w:lang w:val="en-GB"/>
        </w:rPr>
        <w:t>epresentatives have the capacity to fulfi</w:t>
      </w:r>
      <w:r w:rsidR="00BD0E0C" w:rsidRPr="00E8394D">
        <w:rPr>
          <w:lang w:val="en-GB"/>
        </w:rPr>
        <w:t>l</w:t>
      </w:r>
      <w:r w:rsidRPr="00E8394D">
        <w:rPr>
          <w:lang w:val="en-GB"/>
        </w:rPr>
        <w:t xml:space="preserve"> their duties efficiently</w:t>
      </w:r>
      <w:r w:rsidR="008837EE">
        <w:rPr>
          <w:lang w:val="en-GB"/>
        </w:rPr>
        <w:t xml:space="preserve"> and </w:t>
      </w:r>
      <w:r w:rsidR="0048086C" w:rsidRPr="00E8394D">
        <w:rPr>
          <w:lang w:val="en-GB"/>
        </w:rPr>
        <w:t>perform their legislative</w:t>
      </w:r>
      <w:r w:rsidR="004D7646" w:rsidRPr="00E8394D">
        <w:rPr>
          <w:lang w:val="en-GB"/>
        </w:rPr>
        <w:t>,</w:t>
      </w:r>
      <w:r w:rsidR="0048086C" w:rsidRPr="00E8394D">
        <w:rPr>
          <w:lang w:val="en-GB"/>
        </w:rPr>
        <w:t xml:space="preserve"> oversight and representative functions based on effective institutional capacities and adequate powers. </w:t>
      </w:r>
      <w:r w:rsidR="00271226" w:rsidRPr="00E8394D">
        <w:rPr>
          <w:lang w:val="en-GB"/>
        </w:rPr>
        <w:t xml:space="preserve">UNDP </w:t>
      </w:r>
      <w:r w:rsidR="00C45BCC" w:rsidRPr="00E8394D">
        <w:rPr>
          <w:lang w:val="en-GB"/>
        </w:rPr>
        <w:t>and UN</w:t>
      </w:r>
      <w:r w:rsidR="008837EE">
        <w:rPr>
          <w:lang w:val="en-GB"/>
        </w:rPr>
        <w:t>-</w:t>
      </w:r>
      <w:r w:rsidR="00C45BCC" w:rsidRPr="00E8394D">
        <w:rPr>
          <w:lang w:val="en-GB"/>
        </w:rPr>
        <w:t xml:space="preserve">Women </w:t>
      </w:r>
      <w:r w:rsidR="00271226" w:rsidRPr="00E8394D">
        <w:rPr>
          <w:lang w:val="en-GB"/>
        </w:rPr>
        <w:t xml:space="preserve">will support efforts to increase </w:t>
      </w:r>
      <w:r w:rsidR="008837EE">
        <w:rPr>
          <w:lang w:val="en-GB"/>
        </w:rPr>
        <w:t xml:space="preserve">women’s </w:t>
      </w:r>
      <w:r w:rsidR="00271226" w:rsidRPr="00E8394D">
        <w:rPr>
          <w:lang w:val="en-GB"/>
        </w:rPr>
        <w:t xml:space="preserve">effective participation in politics and in other leadership positions. This includes supporting more women candidates to </w:t>
      </w:r>
      <w:r w:rsidR="00BA1C74">
        <w:rPr>
          <w:lang w:val="en-GB"/>
        </w:rPr>
        <w:t>run in</w:t>
      </w:r>
      <w:r w:rsidR="00271226" w:rsidRPr="00E8394D">
        <w:rPr>
          <w:lang w:val="en-GB"/>
        </w:rPr>
        <w:t xml:space="preserve"> elections</w:t>
      </w:r>
      <w:r w:rsidR="008837EE">
        <w:rPr>
          <w:lang w:val="en-GB"/>
        </w:rPr>
        <w:t xml:space="preserve">, </w:t>
      </w:r>
      <w:r w:rsidR="00271226" w:rsidRPr="00E8394D">
        <w:rPr>
          <w:lang w:val="en-GB"/>
        </w:rPr>
        <w:t>build</w:t>
      </w:r>
      <w:r w:rsidR="008837EE">
        <w:rPr>
          <w:lang w:val="en-GB"/>
        </w:rPr>
        <w:t>ing</w:t>
      </w:r>
      <w:r w:rsidR="00271226" w:rsidRPr="00E8394D">
        <w:rPr>
          <w:lang w:val="en-GB"/>
        </w:rPr>
        <w:t xml:space="preserve"> on UNDP success in supporting women candidates during </w:t>
      </w:r>
      <w:r w:rsidR="00271226" w:rsidRPr="00E8394D">
        <w:rPr>
          <w:shd w:val="clear" w:color="auto" w:fill="FFFFFF"/>
          <w:lang w:val="en-GB"/>
        </w:rPr>
        <w:t xml:space="preserve">the </w:t>
      </w:r>
      <w:r w:rsidR="008837EE">
        <w:rPr>
          <w:shd w:val="clear" w:color="auto" w:fill="FFFFFF"/>
          <w:lang w:val="en-GB"/>
        </w:rPr>
        <w:t xml:space="preserve">2015 </w:t>
      </w:r>
      <w:r w:rsidR="00271226" w:rsidRPr="00E8394D">
        <w:rPr>
          <w:shd w:val="clear" w:color="auto" w:fill="FFFFFF"/>
          <w:lang w:val="en-GB"/>
        </w:rPr>
        <w:t>elections in Bougainville.</w:t>
      </w:r>
    </w:p>
    <w:p w14:paraId="21FF6682" w14:textId="77777777" w:rsidR="002F4258" w:rsidRPr="00E8394D" w:rsidRDefault="002F4258" w:rsidP="003618D6">
      <w:pPr>
        <w:pStyle w:val="ListParagraph"/>
        <w:tabs>
          <w:tab w:val="left" w:pos="450"/>
        </w:tabs>
        <w:ind w:left="0"/>
        <w:contextualSpacing/>
        <w:jc w:val="both"/>
        <w:rPr>
          <w:sz w:val="12"/>
          <w:szCs w:val="12"/>
          <w:lang w:val="en-GB"/>
        </w:rPr>
      </w:pPr>
    </w:p>
    <w:p w14:paraId="5E0C5F65" w14:textId="77777777" w:rsidR="002F4258" w:rsidRPr="00E8394D" w:rsidRDefault="009413FB" w:rsidP="003618D6">
      <w:pPr>
        <w:pStyle w:val="ListParagraph"/>
        <w:numPr>
          <w:ilvl w:val="0"/>
          <w:numId w:val="21"/>
        </w:numPr>
        <w:tabs>
          <w:tab w:val="left" w:pos="450"/>
        </w:tabs>
        <w:ind w:left="0" w:firstLine="0"/>
        <w:contextualSpacing/>
        <w:jc w:val="both"/>
        <w:rPr>
          <w:lang w:val="en-GB"/>
        </w:rPr>
      </w:pPr>
      <w:r w:rsidRPr="00E8394D">
        <w:rPr>
          <w:bCs/>
          <w:lang w:val="en-GB"/>
        </w:rPr>
        <w:t xml:space="preserve">UNDP </w:t>
      </w:r>
      <w:r w:rsidR="00450EC5" w:rsidRPr="00E8394D">
        <w:rPr>
          <w:bCs/>
          <w:lang w:val="en-GB"/>
        </w:rPr>
        <w:t>and UN</w:t>
      </w:r>
      <w:r w:rsidR="008837EE">
        <w:rPr>
          <w:bCs/>
          <w:lang w:val="en-GB"/>
        </w:rPr>
        <w:t>-</w:t>
      </w:r>
      <w:r w:rsidR="00450EC5" w:rsidRPr="00E8394D">
        <w:rPr>
          <w:bCs/>
          <w:lang w:val="en-GB"/>
        </w:rPr>
        <w:t xml:space="preserve">Women </w:t>
      </w:r>
      <w:r w:rsidRPr="00E8394D">
        <w:rPr>
          <w:bCs/>
          <w:lang w:val="en-GB"/>
        </w:rPr>
        <w:t xml:space="preserve">will support </w:t>
      </w:r>
      <w:r w:rsidR="008837EE">
        <w:rPr>
          <w:bCs/>
          <w:lang w:val="en-GB"/>
        </w:rPr>
        <w:t xml:space="preserve">the </w:t>
      </w:r>
      <w:r w:rsidRPr="00E8394D">
        <w:rPr>
          <w:bCs/>
          <w:lang w:val="en-GB"/>
        </w:rPr>
        <w:t xml:space="preserve">Government and partners to implement and operationalize the </w:t>
      </w:r>
      <w:r w:rsidR="008837EE">
        <w:rPr>
          <w:bCs/>
          <w:lang w:val="en-GB"/>
        </w:rPr>
        <w:t xml:space="preserve">gender-based violence </w:t>
      </w:r>
      <w:r w:rsidR="00B027B9" w:rsidRPr="00E8394D">
        <w:rPr>
          <w:bCs/>
          <w:lang w:val="en-GB"/>
        </w:rPr>
        <w:t>strategy</w:t>
      </w:r>
      <w:r w:rsidR="008837EE">
        <w:rPr>
          <w:bCs/>
          <w:lang w:val="en-GB"/>
        </w:rPr>
        <w:t>,</w:t>
      </w:r>
      <w:r w:rsidR="00BD0E0C" w:rsidRPr="00E8394D">
        <w:rPr>
          <w:bCs/>
          <w:lang w:val="en-GB"/>
        </w:rPr>
        <w:t xml:space="preserve"> which</w:t>
      </w:r>
      <w:r w:rsidRPr="00E8394D">
        <w:rPr>
          <w:bCs/>
          <w:lang w:val="en-GB"/>
        </w:rPr>
        <w:t xml:space="preserve"> </w:t>
      </w:r>
      <w:r w:rsidR="002F4258" w:rsidRPr="00E8394D">
        <w:rPr>
          <w:lang w:val="en-GB"/>
        </w:rPr>
        <w:t>provide</w:t>
      </w:r>
      <w:r w:rsidR="00BF02D3" w:rsidRPr="00E8394D">
        <w:rPr>
          <w:lang w:val="en-GB"/>
        </w:rPr>
        <w:t>s</w:t>
      </w:r>
      <w:r w:rsidR="002F4258" w:rsidRPr="00E8394D">
        <w:rPr>
          <w:lang w:val="en-GB"/>
        </w:rPr>
        <w:t xml:space="preserve"> </w:t>
      </w:r>
      <w:r w:rsidR="00BF02D3" w:rsidRPr="00E8394D">
        <w:rPr>
          <w:lang w:val="en-GB"/>
        </w:rPr>
        <w:t>a</w:t>
      </w:r>
      <w:r w:rsidR="002F4258" w:rsidRPr="00E8394D">
        <w:rPr>
          <w:lang w:val="en-GB"/>
        </w:rPr>
        <w:t xml:space="preserve"> roadmap </w:t>
      </w:r>
      <w:r w:rsidR="00BD0E0C" w:rsidRPr="00E8394D">
        <w:rPr>
          <w:lang w:val="en-GB"/>
        </w:rPr>
        <w:t>to</w:t>
      </w:r>
      <w:r w:rsidR="002F4258" w:rsidRPr="00E8394D">
        <w:rPr>
          <w:lang w:val="en-GB"/>
        </w:rPr>
        <w:t xml:space="preserve"> </w:t>
      </w:r>
      <w:r w:rsidR="00BD0E0C" w:rsidRPr="00E8394D">
        <w:rPr>
          <w:lang w:val="en-GB"/>
        </w:rPr>
        <w:t>achiev</w:t>
      </w:r>
      <w:r w:rsidR="00FC40EE" w:rsidRPr="00E8394D">
        <w:rPr>
          <w:lang w:val="en-GB"/>
        </w:rPr>
        <w:t>e</w:t>
      </w:r>
      <w:r w:rsidR="00BD0E0C" w:rsidRPr="00E8394D">
        <w:rPr>
          <w:lang w:val="en-GB"/>
        </w:rPr>
        <w:t xml:space="preserve"> zero-tolerance towards </w:t>
      </w:r>
      <w:r w:rsidR="008837EE">
        <w:rPr>
          <w:bCs/>
          <w:lang w:val="en-GB"/>
        </w:rPr>
        <w:t>gender-based violence</w:t>
      </w:r>
      <w:r w:rsidR="00FC40EE" w:rsidRPr="00E8394D">
        <w:rPr>
          <w:lang w:val="en-GB"/>
        </w:rPr>
        <w:t>.</w:t>
      </w:r>
      <w:r w:rsidR="00BD0E0C" w:rsidRPr="00E8394D">
        <w:rPr>
          <w:lang w:val="en-GB"/>
        </w:rPr>
        <w:t xml:space="preserve"> </w:t>
      </w:r>
      <w:r w:rsidR="004D7646" w:rsidRPr="00E8394D">
        <w:rPr>
          <w:lang w:val="en-GB"/>
        </w:rPr>
        <w:t>Together with other U</w:t>
      </w:r>
      <w:r w:rsidR="008837EE">
        <w:rPr>
          <w:lang w:val="en-GB"/>
        </w:rPr>
        <w:t xml:space="preserve">nited </w:t>
      </w:r>
      <w:r w:rsidR="004D7646" w:rsidRPr="00E8394D">
        <w:rPr>
          <w:lang w:val="en-GB"/>
        </w:rPr>
        <w:t>N</w:t>
      </w:r>
      <w:r w:rsidR="008837EE">
        <w:rPr>
          <w:lang w:val="en-GB"/>
        </w:rPr>
        <w:t>ations</w:t>
      </w:r>
      <w:r w:rsidR="004D7646" w:rsidRPr="00E8394D">
        <w:rPr>
          <w:lang w:val="en-GB"/>
        </w:rPr>
        <w:t xml:space="preserve"> </w:t>
      </w:r>
      <w:r w:rsidR="008837EE">
        <w:rPr>
          <w:lang w:val="en-GB"/>
        </w:rPr>
        <w:t>organizations</w:t>
      </w:r>
      <w:r w:rsidR="004D7646" w:rsidRPr="00E8394D">
        <w:rPr>
          <w:lang w:val="en-GB"/>
        </w:rPr>
        <w:t xml:space="preserve">, </w:t>
      </w:r>
      <w:r w:rsidR="002F4258" w:rsidRPr="00E8394D">
        <w:rPr>
          <w:bCs/>
          <w:lang w:val="en-GB"/>
        </w:rPr>
        <w:t xml:space="preserve">UNDP will play a lead role in mobilizing resources, </w:t>
      </w:r>
      <w:r w:rsidR="00FC40EE" w:rsidRPr="00E8394D">
        <w:rPr>
          <w:bCs/>
          <w:lang w:val="en-GB"/>
        </w:rPr>
        <w:t xml:space="preserve">including </w:t>
      </w:r>
      <w:r w:rsidR="002F4258" w:rsidRPr="00E8394D">
        <w:rPr>
          <w:bCs/>
          <w:lang w:val="en-GB"/>
        </w:rPr>
        <w:t xml:space="preserve">setting up the </w:t>
      </w:r>
      <w:r w:rsidR="008837EE">
        <w:rPr>
          <w:bCs/>
          <w:lang w:val="en-GB"/>
        </w:rPr>
        <w:t>gender-based violence</w:t>
      </w:r>
      <w:r w:rsidR="002F4258" w:rsidRPr="00E8394D">
        <w:rPr>
          <w:bCs/>
          <w:lang w:val="en-GB"/>
        </w:rPr>
        <w:t xml:space="preserve"> </w:t>
      </w:r>
      <w:r w:rsidR="008837EE">
        <w:rPr>
          <w:bCs/>
          <w:lang w:val="en-GB"/>
        </w:rPr>
        <w:t>c</w:t>
      </w:r>
      <w:r w:rsidR="002F4258" w:rsidRPr="00E8394D">
        <w:rPr>
          <w:bCs/>
          <w:lang w:val="en-GB"/>
        </w:rPr>
        <w:t xml:space="preserve">ouncil and continuing to roll out the referral protocol that UNDP piloted in 2016 in four provinces. </w:t>
      </w:r>
    </w:p>
    <w:p w14:paraId="1BB47B30" w14:textId="77777777" w:rsidR="002F4258" w:rsidRPr="00E8394D" w:rsidRDefault="002F4258" w:rsidP="003618D6">
      <w:pPr>
        <w:pStyle w:val="ListParagraph"/>
        <w:tabs>
          <w:tab w:val="left" w:pos="450"/>
        </w:tabs>
        <w:rPr>
          <w:sz w:val="12"/>
          <w:szCs w:val="12"/>
          <w:lang w:val="en-GB"/>
        </w:rPr>
      </w:pPr>
    </w:p>
    <w:p w14:paraId="75E69D93" w14:textId="77777777" w:rsidR="00711D41" w:rsidRPr="00E8394D" w:rsidRDefault="009413FB" w:rsidP="00BA5E65">
      <w:pPr>
        <w:pStyle w:val="ListParagraph"/>
        <w:numPr>
          <w:ilvl w:val="0"/>
          <w:numId w:val="21"/>
        </w:numPr>
        <w:tabs>
          <w:tab w:val="left" w:pos="450"/>
        </w:tabs>
        <w:spacing w:after="120"/>
        <w:ind w:left="0" w:firstLine="0"/>
        <w:contextualSpacing/>
        <w:jc w:val="both"/>
        <w:rPr>
          <w:lang w:val="en-GB"/>
        </w:rPr>
      </w:pPr>
      <w:r w:rsidRPr="00E8394D">
        <w:rPr>
          <w:lang w:val="en-GB"/>
        </w:rPr>
        <w:t>UNDP will offer specific support to the</w:t>
      </w:r>
      <w:r w:rsidR="004D7646" w:rsidRPr="00E8394D">
        <w:rPr>
          <w:lang w:val="en-GB"/>
        </w:rPr>
        <w:t xml:space="preserve"> National Government and the Government of the </w:t>
      </w:r>
      <w:r w:rsidRPr="00E8394D">
        <w:rPr>
          <w:lang w:val="en-GB"/>
        </w:rPr>
        <w:t xml:space="preserve">Autonomous Region of Bougainville in preparing for the </w:t>
      </w:r>
      <w:r w:rsidR="008837EE">
        <w:rPr>
          <w:lang w:val="en-GB"/>
        </w:rPr>
        <w:t xml:space="preserve">2019 </w:t>
      </w:r>
      <w:r w:rsidRPr="00E8394D">
        <w:rPr>
          <w:lang w:val="en-GB"/>
        </w:rPr>
        <w:t>referendum.</w:t>
      </w:r>
      <w:r w:rsidRPr="00E8394D">
        <w:rPr>
          <w:rFonts w:eastAsia="Calibri"/>
          <w:lang w:val="en-GB"/>
        </w:rPr>
        <w:t xml:space="preserve"> </w:t>
      </w:r>
      <w:r w:rsidR="002F4258" w:rsidRPr="00E8394D">
        <w:rPr>
          <w:lang w:val="en-GB"/>
        </w:rPr>
        <w:t xml:space="preserve">UNDP will focus on facilitating timely decision-making </w:t>
      </w:r>
      <w:r w:rsidR="008837EE">
        <w:rPr>
          <w:lang w:val="en-GB"/>
        </w:rPr>
        <w:t>(</w:t>
      </w:r>
      <w:r w:rsidR="002F4258" w:rsidRPr="00E8394D">
        <w:rPr>
          <w:lang w:val="en-GB"/>
        </w:rPr>
        <w:t>before and after the referendum</w:t>
      </w:r>
      <w:r w:rsidR="008837EE">
        <w:rPr>
          <w:lang w:val="en-GB"/>
        </w:rPr>
        <w:t>)</w:t>
      </w:r>
      <w:r w:rsidR="002F4258" w:rsidRPr="00E8394D">
        <w:rPr>
          <w:lang w:val="en-GB"/>
        </w:rPr>
        <w:t>, unification of factions</w:t>
      </w:r>
      <w:r w:rsidR="008837EE">
        <w:rPr>
          <w:lang w:val="en-GB"/>
        </w:rPr>
        <w:t>,</w:t>
      </w:r>
      <w:r w:rsidR="002F4258" w:rsidRPr="00E8394D">
        <w:rPr>
          <w:lang w:val="en-GB"/>
        </w:rPr>
        <w:t xml:space="preserve"> and promotion of social cohesion and widespread awareness of referendum-related issues. UNDP will provide planning and training assistance to the Bougainville Referendum Commission and other key institutions</w:t>
      </w:r>
      <w:r w:rsidR="008837EE">
        <w:rPr>
          <w:lang w:val="en-GB"/>
        </w:rPr>
        <w:t>,</w:t>
      </w:r>
      <w:r w:rsidR="002F4258" w:rsidRPr="00E8394D">
        <w:rPr>
          <w:lang w:val="en-GB"/>
        </w:rPr>
        <w:t xml:space="preserve"> and assist with preparations for the transition to a post-B</w:t>
      </w:r>
      <w:r w:rsidR="00D11244" w:rsidRPr="00E8394D">
        <w:rPr>
          <w:lang w:val="en-GB"/>
        </w:rPr>
        <w:t xml:space="preserve">ougainville </w:t>
      </w:r>
      <w:r w:rsidR="002F4258" w:rsidRPr="00E8394D">
        <w:rPr>
          <w:lang w:val="en-GB"/>
        </w:rPr>
        <w:t>P</w:t>
      </w:r>
      <w:r w:rsidR="00D11244" w:rsidRPr="00E8394D">
        <w:rPr>
          <w:lang w:val="en-GB"/>
        </w:rPr>
        <w:t xml:space="preserve">eace </w:t>
      </w:r>
      <w:r w:rsidR="002F4258" w:rsidRPr="00E8394D">
        <w:rPr>
          <w:lang w:val="en-GB"/>
        </w:rPr>
        <w:lastRenderedPageBreak/>
        <w:t>A</w:t>
      </w:r>
      <w:r w:rsidR="00D11244" w:rsidRPr="00E8394D">
        <w:rPr>
          <w:lang w:val="en-GB"/>
        </w:rPr>
        <w:t>greement</w:t>
      </w:r>
      <w:r w:rsidR="002F4258" w:rsidRPr="00E8394D">
        <w:rPr>
          <w:lang w:val="en-GB"/>
        </w:rPr>
        <w:t xml:space="preserve"> environment</w:t>
      </w:r>
      <w:r w:rsidR="00BD0E0C" w:rsidRPr="00E8394D">
        <w:rPr>
          <w:lang w:val="en-GB"/>
        </w:rPr>
        <w:t xml:space="preserve">, while </w:t>
      </w:r>
      <w:r w:rsidR="002F4258" w:rsidRPr="00E8394D">
        <w:rPr>
          <w:lang w:val="en-GB"/>
        </w:rPr>
        <w:t>coordinat</w:t>
      </w:r>
      <w:r w:rsidR="00BD0E0C" w:rsidRPr="00E8394D">
        <w:rPr>
          <w:lang w:val="en-GB"/>
        </w:rPr>
        <w:t xml:space="preserve">ing </w:t>
      </w:r>
      <w:r w:rsidR="002F4258" w:rsidRPr="00E8394D">
        <w:rPr>
          <w:lang w:val="en-GB"/>
        </w:rPr>
        <w:t xml:space="preserve">all international assistance to the referendum process. </w:t>
      </w:r>
      <w:r w:rsidRPr="00E8394D">
        <w:rPr>
          <w:lang w:val="en-GB"/>
        </w:rPr>
        <w:t>UNDP</w:t>
      </w:r>
      <w:r w:rsidR="002935AD" w:rsidRPr="00E8394D">
        <w:rPr>
          <w:lang w:val="en-GB"/>
        </w:rPr>
        <w:t>, with UNFPA and UN</w:t>
      </w:r>
      <w:r w:rsidR="008837EE">
        <w:rPr>
          <w:lang w:val="en-GB"/>
        </w:rPr>
        <w:t>-</w:t>
      </w:r>
      <w:r w:rsidR="002935AD" w:rsidRPr="00E8394D">
        <w:rPr>
          <w:lang w:val="en-GB"/>
        </w:rPr>
        <w:t>Women,</w:t>
      </w:r>
      <w:r w:rsidRPr="00E8394D">
        <w:rPr>
          <w:lang w:val="en-GB"/>
        </w:rPr>
        <w:t xml:space="preserve"> will support political dialogue with groups</w:t>
      </w:r>
      <w:r w:rsidR="008837EE">
        <w:rPr>
          <w:lang w:val="en-GB"/>
        </w:rPr>
        <w:t>,</w:t>
      </w:r>
      <w:r w:rsidRPr="00E8394D">
        <w:rPr>
          <w:lang w:val="en-GB"/>
        </w:rPr>
        <w:t xml:space="preserve"> such as ex-combatants, where </w:t>
      </w:r>
      <w:r w:rsidR="008837EE">
        <w:rPr>
          <w:lang w:val="en-GB"/>
        </w:rPr>
        <w:t xml:space="preserve">the </w:t>
      </w:r>
      <w:r w:rsidRPr="00E8394D">
        <w:rPr>
          <w:lang w:val="en-GB"/>
        </w:rPr>
        <w:t xml:space="preserve">unification of political factions is central to peace and stability in Bougainville and other parts of </w:t>
      </w:r>
      <w:r w:rsidR="008837EE">
        <w:rPr>
          <w:lang w:val="en-GB"/>
        </w:rPr>
        <w:t>the country</w:t>
      </w:r>
      <w:r w:rsidRPr="00E8394D">
        <w:rPr>
          <w:lang w:val="en-GB"/>
        </w:rPr>
        <w:t xml:space="preserve">. </w:t>
      </w:r>
      <w:r w:rsidR="00D24A97" w:rsidRPr="00E8394D">
        <w:rPr>
          <w:lang w:val="en-GB"/>
        </w:rPr>
        <w:t xml:space="preserve">UNDP will focus on young people as peacebuilders. </w:t>
      </w:r>
      <w:r w:rsidRPr="00E8394D">
        <w:rPr>
          <w:lang w:val="en-GB"/>
        </w:rPr>
        <w:t>Ensuring participation and inclusion of women</w:t>
      </w:r>
      <w:r w:rsidR="00D24A97" w:rsidRPr="00E8394D">
        <w:rPr>
          <w:lang w:val="en-GB"/>
        </w:rPr>
        <w:t xml:space="preserve">, </w:t>
      </w:r>
      <w:r w:rsidRPr="00E8394D">
        <w:rPr>
          <w:lang w:val="en-GB"/>
        </w:rPr>
        <w:t>the U</w:t>
      </w:r>
      <w:r w:rsidR="008837EE">
        <w:rPr>
          <w:lang w:val="en-GB"/>
        </w:rPr>
        <w:t xml:space="preserve">nited </w:t>
      </w:r>
      <w:r w:rsidRPr="00E8394D">
        <w:rPr>
          <w:lang w:val="en-GB"/>
        </w:rPr>
        <w:t>N</w:t>
      </w:r>
      <w:r w:rsidR="008837EE">
        <w:rPr>
          <w:lang w:val="en-GB"/>
        </w:rPr>
        <w:t>ations</w:t>
      </w:r>
      <w:r w:rsidRPr="00E8394D">
        <w:rPr>
          <w:lang w:val="en-GB"/>
        </w:rPr>
        <w:t xml:space="preserve"> </w:t>
      </w:r>
      <w:r w:rsidR="008837EE">
        <w:rPr>
          <w:lang w:val="en-GB"/>
        </w:rPr>
        <w:t xml:space="preserve">will </w:t>
      </w:r>
      <w:r w:rsidRPr="00E8394D">
        <w:rPr>
          <w:lang w:val="en-GB"/>
        </w:rPr>
        <w:t xml:space="preserve">provide a neutral space within which political issues can be addressed and resolved by supporting mediation and peace negotiations. </w:t>
      </w:r>
    </w:p>
    <w:p w14:paraId="2B381900" w14:textId="77777777" w:rsidR="00711D41" w:rsidRPr="00E8394D" w:rsidRDefault="00711D41" w:rsidP="003618D6">
      <w:pPr>
        <w:pStyle w:val="ListParagraph"/>
        <w:tabs>
          <w:tab w:val="left" w:pos="450"/>
        </w:tabs>
        <w:ind w:left="0"/>
        <w:jc w:val="both"/>
        <w:rPr>
          <w:sz w:val="12"/>
          <w:szCs w:val="12"/>
          <w:highlight w:val="yellow"/>
          <w:lang w:val="en-GB"/>
        </w:rPr>
      </w:pPr>
    </w:p>
    <w:p w14:paraId="2223CD93" w14:textId="77777777" w:rsidR="0048086C" w:rsidRPr="00E8394D" w:rsidRDefault="0048086C" w:rsidP="003618D6">
      <w:pPr>
        <w:pStyle w:val="ListParagraph"/>
        <w:tabs>
          <w:tab w:val="left" w:pos="450"/>
        </w:tabs>
        <w:ind w:left="0"/>
        <w:jc w:val="both"/>
        <w:rPr>
          <w:b/>
          <w:lang w:val="en-GB"/>
        </w:rPr>
      </w:pPr>
      <w:r w:rsidRPr="00E8394D">
        <w:rPr>
          <w:b/>
          <w:lang w:val="en-GB"/>
        </w:rPr>
        <w:t>Prosperity</w:t>
      </w:r>
      <w:r w:rsidR="00AF38EB" w:rsidRPr="00E8394D">
        <w:rPr>
          <w:b/>
          <w:lang w:val="en-GB"/>
        </w:rPr>
        <w:t>:</w:t>
      </w:r>
      <w:r w:rsidRPr="00E8394D">
        <w:rPr>
          <w:b/>
          <w:lang w:val="en-GB"/>
        </w:rPr>
        <w:t xml:space="preserve"> </w:t>
      </w:r>
      <w:r w:rsidR="008837EE">
        <w:rPr>
          <w:b/>
          <w:lang w:val="en-GB"/>
        </w:rPr>
        <w:t>i</w:t>
      </w:r>
      <w:r w:rsidRPr="00E8394D">
        <w:rPr>
          <w:b/>
          <w:lang w:val="en-GB"/>
        </w:rPr>
        <w:t xml:space="preserve">nclusive </w:t>
      </w:r>
      <w:r w:rsidR="008837EE">
        <w:rPr>
          <w:b/>
          <w:lang w:val="en-GB"/>
        </w:rPr>
        <w:t>and</w:t>
      </w:r>
      <w:r w:rsidRPr="00E8394D">
        <w:rPr>
          <w:b/>
          <w:lang w:val="en-GB"/>
        </w:rPr>
        <w:t xml:space="preserve"> </w:t>
      </w:r>
      <w:r w:rsidR="008837EE">
        <w:rPr>
          <w:b/>
          <w:lang w:val="en-GB"/>
        </w:rPr>
        <w:t>s</w:t>
      </w:r>
      <w:r w:rsidRPr="00E8394D">
        <w:rPr>
          <w:b/>
          <w:lang w:val="en-GB"/>
        </w:rPr>
        <w:t xml:space="preserve">ustainable </w:t>
      </w:r>
      <w:r w:rsidR="008837EE">
        <w:rPr>
          <w:b/>
          <w:lang w:val="en-GB"/>
        </w:rPr>
        <w:t>g</w:t>
      </w:r>
      <w:r w:rsidRPr="00E8394D">
        <w:rPr>
          <w:b/>
          <w:lang w:val="en-GB"/>
        </w:rPr>
        <w:t>rowth</w:t>
      </w:r>
    </w:p>
    <w:p w14:paraId="52923932" w14:textId="77777777" w:rsidR="0048086C" w:rsidRPr="00E8394D" w:rsidRDefault="0048086C" w:rsidP="003618D6">
      <w:pPr>
        <w:pStyle w:val="ListParagraph"/>
        <w:tabs>
          <w:tab w:val="left" w:pos="450"/>
        </w:tabs>
        <w:ind w:left="0"/>
        <w:jc w:val="both"/>
        <w:rPr>
          <w:sz w:val="12"/>
          <w:szCs w:val="12"/>
          <w:lang w:val="en-GB"/>
        </w:rPr>
      </w:pPr>
    </w:p>
    <w:p w14:paraId="4EA9273A" w14:textId="77777777" w:rsidR="00BF02D3" w:rsidRPr="00E8394D" w:rsidRDefault="009413FB" w:rsidP="003618D6">
      <w:pPr>
        <w:pStyle w:val="CommentText"/>
        <w:numPr>
          <w:ilvl w:val="0"/>
          <w:numId w:val="21"/>
        </w:numPr>
        <w:tabs>
          <w:tab w:val="left" w:pos="450"/>
        </w:tabs>
        <w:ind w:left="0" w:firstLine="0"/>
        <w:jc w:val="both"/>
        <w:rPr>
          <w:lang w:val="en-GB"/>
        </w:rPr>
      </w:pPr>
      <w:r w:rsidRPr="00E8394D">
        <w:rPr>
          <w:lang w:val="en-GB"/>
        </w:rPr>
        <w:t xml:space="preserve">UNDP will support </w:t>
      </w:r>
      <w:r w:rsidR="003406F6">
        <w:rPr>
          <w:lang w:val="en-GB"/>
        </w:rPr>
        <w:t xml:space="preserve">Papua New Guinea </w:t>
      </w:r>
      <w:r w:rsidRPr="00E8394D">
        <w:rPr>
          <w:lang w:val="en-GB"/>
        </w:rPr>
        <w:t xml:space="preserve">stakeholders in </w:t>
      </w:r>
      <w:r w:rsidR="003406F6">
        <w:rPr>
          <w:lang w:val="en-GB"/>
        </w:rPr>
        <w:t xml:space="preserve">SDG </w:t>
      </w:r>
      <w:r w:rsidRPr="00E8394D">
        <w:rPr>
          <w:lang w:val="en-GB"/>
        </w:rPr>
        <w:t>prioritiz</w:t>
      </w:r>
      <w:r w:rsidR="003406F6">
        <w:rPr>
          <w:lang w:val="en-GB"/>
        </w:rPr>
        <w:t>ation</w:t>
      </w:r>
      <w:r w:rsidRPr="00E8394D">
        <w:rPr>
          <w:lang w:val="en-GB"/>
        </w:rPr>
        <w:t xml:space="preserve"> and implement</w:t>
      </w:r>
      <w:r w:rsidR="003406F6">
        <w:rPr>
          <w:lang w:val="en-GB"/>
        </w:rPr>
        <w:t>ation</w:t>
      </w:r>
      <w:r w:rsidRPr="00E8394D">
        <w:rPr>
          <w:lang w:val="en-GB"/>
        </w:rPr>
        <w:t xml:space="preserve"> by providing evidence-based policy options </w:t>
      </w:r>
      <w:r w:rsidR="003406F6">
        <w:rPr>
          <w:lang w:val="en-GB"/>
        </w:rPr>
        <w:t xml:space="preserve">and </w:t>
      </w:r>
      <w:r w:rsidRPr="00E8394D">
        <w:rPr>
          <w:lang w:val="en-GB"/>
        </w:rPr>
        <w:t>advice</w:t>
      </w:r>
      <w:r w:rsidR="003406F6">
        <w:rPr>
          <w:lang w:val="en-GB"/>
        </w:rPr>
        <w:t>/</w:t>
      </w:r>
      <w:r w:rsidRPr="00E8394D">
        <w:rPr>
          <w:lang w:val="en-GB"/>
        </w:rPr>
        <w:t xml:space="preserve">support </w:t>
      </w:r>
      <w:r w:rsidR="003406F6">
        <w:rPr>
          <w:lang w:val="en-GB"/>
        </w:rPr>
        <w:t>i</w:t>
      </w:r>
      <w:r w:rsidRPr="00E8394D">
        <w:rPr>
          <w:lang w:val="en-GB"/>
        </w:rPr>
        <w:t xml:space="preserve">n </w:t>
      </w:r>
      <w:r w:rsidR="007D7ADF" w:rsidRPr="00E8394D">
        <w:rPr>
          <w:lang w:val="en-GB"/>
        </w:rPr>
        <w:t>strengthening institutional coordination mechanism(s)</w:t>
      </w:r>
      <w:r w:rsidR="003406F6">
        <w:rPr>
          <w:lang w:val="en-GB"/>
        </w:rPr>
        <w:t xml:space="preserve"> and </w:t>
      </w:r>
      <w:r w:rsidR="007D7ADF" w:rsidRPr="00E8394D">
        <w:rPr>
          <w:lang w:val="en-GB"/>
        </w:rPr>
        <w:t xml:space="preserve">parliamentary oversight committees, </w:t>
      </w:r>
      <w:r w:rsidR="003406F6">
        <w:rPr>
          <w:lang w:val="en-GB"/>
        </w:rPr>
        <w:t xml:space="preserve">mobilizing and engaging </w:t>
      </w:r>
      <w:r w:rsidR="007D7ADF" w:rsidRPr="00E8394D">
        <w:rPr>
          <w:lang w:val="en-GB"/>
        </w:rPr>
        <w:t>civil society, and contin</w:t>
      </w:r>
      <w:r w:rsidR="003406F6">
        <w:rPr>
          <w:lang w:val="en-GB"/>
        </w:rPr>
        <w:t>uing</w:t>
      </w:r>
      <w:r w:rsidR="007D7ADF" w:rsidRPr="00E8394D">
        <w:rPr>
          <w:lang w:val="en-GB"/>
        </w:rPr>
        <w:t xml:space="preserve"> the U</w:t>
      </w:r>
      <w:r w:rsidR="003406F6">
        <w:rPr>
          <w:lang w:val="en-GB"/>
        </w:rPr>
        <w:t xml:space="preserve">nited </w:t>
      </w:r>
      <w:r w:rsidR="007D7ADF" w:rsidRPr="00E8394D">
        <w:rPr>
          <w:lang w:val="en-GB"/>
        </w:rPr>
        <w:t>N</w:t>
      </w:r>
      <w:r w:rsidR="003406F6">
        <w:rPr>
          <w:lang w:val="en-GB"/>
        </w:rPr>
        <w:t xml:space="preserve">ations SDG </w:t>
      </w:r>
      <w:r w:rsidR="007D7ADF" w:rsidRPr="00E8394D">
        <w:rPr>
          <w:lang w:val="en-GB"/>
        </w:rPr>
        <w:t>advocacy campaign. Particularly important will be localiz</w:t>
      </w:r>
      <w:r w:rsidR="004E113D">
        <w:rPr>
          <w:lang w:val="en-GB"/>
        </w:rPr>
        <w:t>ing</w:t>
      </w:r>
      <w:r w:rsidR="007D7ADF" w:rsidRPr="00E8394D">
        <w:rPr>
          <w:lang w:val="en-GB"/>
        </w:rPr>
        <w:t xml:space="preserve"> the SDGs at the subnational and local levels. </w:t>
      </w:r>
      <w:r w:rsidRPr="00E8394D">
        <w:rPr>
          <w:lang w:val="en-GB"/>
        </w:rPr>
        <w:t xml:space="preserve">The UNDP approach will be to </w:t>
      </w:r>
      <w:r w:rsidR="002F4258" w:rsidRPr="00E8394D">
        <w:rPr>
          <w:lang w:val="en-GB"/>
        </w:rPr>
        <w:t xml:space="preserve">support </w:t>
      </w:r>
      <w:r w:rsidRPr="00E8394D">
        <w:rPr>
          <w:lang w:val="en-GB"/>
        </w:rPr>
        <w:t xml:space="preserve">a </w:t>
      </w:r>
      <w:r w:rsidRPr="00E8394D">
        <w:rPr>
          <w:i/>
          <w:lang w:val="en-GB"/>
        </w:rPr>
        <w:t xml:space="preserve">platform </w:t>
      </w:r>
      <w:r w:rsidRPr="00E8394D">
        <w:rPr>
          <w:lang w:val="en-GB"/>
        </w:rPr>
        <w:t xml:space="preserve">allowing multiple stakeholders to contribute to </w:t>
      </w:r>
      <w:r w:rsidR="004E113D">
        <w:rPr>
          <w:lang w:val="en-GB"/>
        </w:rPr>
        <w:t xml:space="preserve">SDG </w:t>
      </w:r>
      <w:r w:rsidRPr="00E8394D">
        <w:rPr>
          <w:lang w:val="en-GB"/>
        </w:rPr>
        <w:t>attainment in a coordinated</w:t>
      </w:r>
      <w:r w:rsidR="004E113D">
        <w:rPr>
          <w:lang w:val="en-GB"/>
        </w:rPr>
        <w:t xml:space="preserve">, </w:t>
      </w:r>
      <w:r w:rsidRPr="00E8394D">
        <w:rPr>
          <w:lang w:val="en-GB"/>
        </w:rPr>
        <w:t>collaborative way. UNDP will assist in the development of a</w:t>
      </w:r>
      <w:r w:rsidR="007D7ADF" w:rsidRPr="00E8394D">
        <w:rPr>
          <w:lang w:val="en-GB"/>
        </w:rPr>
        <w:t xml:space="preserve"> roadmap for an </w:t>
      </w:r>
      <w:r w:rsidRPr="00E8394D">
        <w:rPr>
          <w:lang w:val="en-GB"/>
        </w:rPr>
        <w:t>integrated national financing framework</w:t>
      </w:r>
      <w:r w:rsidR="004E113D">
        <w:rPr>
          <w:lang w:val="en-GB"/>
        </w:rPr>
        <w:t>,</w:t>
      </w:r>
      <w:r w:rsidRPr="00E8394D">
        <w:rPr>
          <w:lang w:val="en-GB"/>
        </w:rPr>
        <w:t xml:space="preserve"> identifying potential mechanisms and financing options, including private sector financing to implement the 2030 Agenda </w:t>
      </w:r>
      <w:r w:rsidR="004E113D">
        <w:rPr>
          <w:lang w:val="en-GB"/>
        </w:rPr>
        <w:t xml:space="preserve">for Sustainable Development </w:t>
      </w:r>
      <w:r w:rsidRPr="00E8394D">
        <w:rPr>
          <w:lang w:val="en-GB"/>
        </w:rPr>
        <w:t>and national policies.</w:t>
      </w:r>
      <w:r w:rsidR="007D7ADF" w:rsidRPr="00E8394D">
        <w:rPr>
          <w:lang w:val="en-GB"/>
        </w:rPr>
        <w:t xml:space="preserve"> </w:t>
      </w:r>
      <w:r w:rsidRPr="00E8394D">
        <w:rPr>
          <w:lang w:val="en-GB"/>
        </w:rPr>
        <w:t>UNDP will work with the Business Council to establish a</w:t>
      </w:r>
      <w:r w:rsidR="004E113D">
        <w:rPr>
          <w:lang w:val="en-GB"/>
        </w:rPr>
        <w:t>n</w:t>
      </w:r>
      <w:r w:rsidRPr="00E8394D">
        <w:rPr>
          <w:lang w:val="en-GB"/>
        </w:rPr>
        <w:t xml:space="preserve"> </w:t>
      </w:r>
      <w:r w:rsidR="004E113D">
        <w:rPr>
          <w:lang w:val="en-GB"/>
        </w:rPr>
        <w:t>SDG b</w:t>
      </w:r>
      <w:r w:rsidRPr="00E8394D">
        <w:rPr>
          <w:lang w:val="en-GB"/>
        </w:rPr>
        <w:t xml:space="preserve">usiness </w:t>
      </w:r>
      <w:r w:rsidR="004E113D">
        <w:rPr>
          <w:lang w:val="en-GB"/>
        </w:rPr>
        <w:t>c</w:t>
      </w:r>
      <w:r w:rsidRPr="00E8394D">
        <w:rPr>
          <w:lang w:val="en-GB"/>
        </w:rPr>
        <w:t xml:space="preserve">oalition </w:t>
      </w:r>
      <w:r w:rsidR="004E113D">
        <w:rPr>
          <w:lang w:val="en-GB"/>
        </w:rPr>
        <w:t xml:space="preserve">that </w:t>
      </w:r>
      <w:r w:rsidRPr="00E8394D">
        <w:rPr>
          <w:lang w:val="en-GB"/>
        </w:rPr>
        <w:t xml:space="preserve">will coordinate joint action for </w:t>
      </w:r>
      <w:r w:rsidR="004E113D">
        <w:rPr>
          <w:lang w:val="en-GB"/>
        </w:rPr>
        <w:t xml:space="preserve">SDG </w:t>
      </w:r>
      <w:r w:rsidRPr="00E8394D">
        <w:rPr>
          <w:lang w:val="en-GB"/>
        </w:rPr>
        <w:t>achievement. UNDP</w:t>
      </w:r>
      <w:r w:rsidR="004E113D">
        <w:rPr>
          <w:lang w:val="en-GB"/>
        </w:rPr>
        <w:t xml:space="preserve">, together with </w:t>
      </w:r>
      <w:r w:rsidR="00C45BCC" w:rsidRPr="00E8394D">
        <w:rPr>
          <w:lang w:val="en-GB"/>
        </w:rPr>
        <w:t>UNFPA</w:t>
      </w:r>
      <w:r w:rsidR="004E113D">
        <w:rPr>
          <w:lang w:val="en-GB"/>
        </w:rPr>
        <w:t>,</w:t>
      </w:r>
      <w:r w:rsidRPr="00E8394D">
        <w:rPr>
          <w:lang w:val="en-GB"/>
        </w:rPr>
        <w:t xml:space="preserve"> will partner with and provide technical assistance to key government departments and agencies, including the Department of National Planning and Monitoring and the National Statistics Office. UNDP, in partnership with U</w:t>
      </w:r>
      <w:r w:rsidR="00522E6E">
        <w:rPr>
          <w:lang w:val="en-GB"/>
        </w:rPr>
        <w:t xml:space="preserve">nited </w:t>
      </w:r>
      <w:r w:rsidRPr="00E8394D">
        <w:rPr>
          <w:lang w:val="en-GB"/>
        </w:rPr>
        <w:t>N</w:t>
      </w:r>
      <w:r w:rsidR="00522E6E">
        <w:rPr>
          <w:lang w:val="en-GB"/>
        </w:rPr>
        <w:t>ations</w:t>
      </w:r>
      <w:r w:rsidRPr="00E8394D">
        <w:rPr>
          <w:lang w:val="en-GB"/>
        </w:rPr>
        <w:t xml:space="preserve"> </w:t>
      </w:r>
      <w:r w:rsidR="00522E6E">
        <w:rPr>
          <w:lang w:val="en-GB"/>
        </w:rPr>
        <w:t>organizations</w:t>
      </w:r>
      <w:r w:rsidRPr="00E8394D">
        <w:rPr>
          <w:lang w:val="en-GB"/>
        </w:rPr>
        <w:t xml:space="preserve">, </w:t>
      </w:r>
      <w:r w:rsidR="00522E6E">
        <w:rPr>
          <w:lang w:val="en-GB"/>
        </w:rPr>
        <w:t>i</w:t>
      </w:r>
      <w:r w:rsidRPr="00E8394D">
        <w:rPr>
          <w:lang w:val="en-GB"/>
        </w:rPr>
        <w:t xml:space="preserve">nternational </w:t>
      </w:r>
      <w:r w:rsidR="00522E6E">
        <w:rPr>
          <w:lang w:val="en-GB"/>
        </w:rPr>
        <w:t>f</w:t>
      </w:r>
      <w:r w:rsidRPr="00E8394D">
        <w:rPr>
          <w:lang w:val="en-GB"/>
        </w:rPr>
        <w:t xml:space="preserve">inancial </w:t>
      </w:r>
      <w:r w:rsidR="00522E6E">
        <w:rPr>
          <w:lang w:val="en-GB"/>
        </w:rPr>
        <w:t>i</w:t>
      </w:r>
      <w:r w:rsidRPr="00E8394D">
        <w:rPr>
          <w:lang w:val="en-GB"/>
        </w:rPr>
        <w:t xml:space="preserve">nstitutes, civil society groups and private sector, will support the availability of reliable SDG data and develop national capacities for its generation and analysis and a system </w:t>
      </w:r>
      <w:r w:rsidR="00C95A03">
        <w:rPr>
          <w:lang w:val="en-GB"/>
        </w:rPr>
        <w:t xml:space="preserve">to </w:t>
      </w:r>
      <w:r w:rsidRPr="00E8394D">
        <w:rPr>
          <w:lang w:val="en-GB"/>
        </w:rPr>
        <w:t>undertak</w:t>
      </w:r>
      <w:r w:rsidR="00C95A03">
        <w:rPr>
          <w:lang w:val="en-GB"/>
        </w:rPr>
        <w:t>e</w:t>
      </w:r>
      <w:r w:rsidRPr="00E8394D">
        <w:rPr>
          <w:lang w:val="en-GB"/>
        </w:rPr>
        <w:t xml:space="preserve"> regular</w:t>
      </w:r>
      <w:r w:rsidR="00C95A03">
        <w:rPr>
          <w:lang w:val="en-GB"/>
        </w:rPr>
        <w:t xml:space="preserve">, </w:t>
      </w:r>
      <w:r w:rsidRPr="00E8394D">
        <w:rPr>
          <w:lang w:val="en-GB"/>
        </w:rPr>
        <w:t xml:space="preserve">effective monitoring and reporting. This includes bringing in innovations to generate an open-data platform with multiple stakeholders </w:t>
      </w:r>
      <w:r w:rsidR="00C95A03">
        <w:rPr>
          <w:lang w:val="en-GB"/>
        </w:rPr>
        <w:t xml:space="preserve">to </w:t>
      </w:r>
      <w:r w:rsidRPr="00E8394D">
        <w:rPr>
          <w:lang w:val="en-GB"/>
        </w:rPr>
        <w:t xml:space="preserve">monitoring progress towards the </w:t>
      </w:r>
      <w:r w:rsidR="00C95A03">
        <w:rPr>
          <w:lang w:val="en-GB"/>
        </w:rPr>
        <w:t>G</w:t>
      </w:r>
      <w:r w:rsidRPr="00E8394D">
        <w:rPr>
          <w:lang w:val="en-GB"/>
        </w:rPr>
        <w:t>oals.</w:t>
      </w:r>
    </w:p>
    <w:p w14:paraId="4A52C3C5" w14:textId="77777777" w:rsidR="00BF02D3" w:rsidRPr="00E8394D" w:rsidRDefault="00BF02D3" w:rsidP="003618D6">
      <w:pPr>
        <w:pStyle w:val="CommentText"/>
        <w:tabs>
          <w:tab w:val="left" w:pos="450"/>
        </w:tabs>
        <w:jc w:val="both"/>
        <w:rPr>
          <w:sz w:val="12"/>
          <w:szCs w:val="12"/>
          <w:lang w:val="en-GB"/>
        </w:rPr>
      </w:pPr>
    </w:p>
    <w:p w14:paraId="642D4564" w14:textId="77777777" w:rsidR="009047EA" w:rsidRPr="00E8394D" w:rsidRDefault="009413FB" w:rsidP="003618D6">
      <w:pPr>
        <w:pStyle w:val="CommentText"/>
        <w:numPr>
          <w:ilvl w:val="0"/>
          <w:numId w:val="21"/>
        </w:numPr>
        <w:tabs>
          <w:tab w:val="left" w:pos="450"/>
        </w:tabs>
        <w:ind w:left="0" w:firstLine="0"/>
        <w:jc w:val="both"/>
        <w:rPr>
          <w:lang w:val="en-GB"/>
        </w:rPr>
      </w:pPr>
      <w:r w:rsidRPr="00E8394D">
        <w:rPr>
          <w:lang w:val="en-GB"/>
        </w:rPr>
        <w:t xml:space="preserve">Following </w:t>
      </w:r>
      <w:r w:rsidR="002F12AE" w:rsidRPr="00E8394D">
        <w:rPr>
          <w:lang w:val="en-GB"/>
        </w:rPr>
        <w:t>Go</w:t>
      </w:r>
      <w:r w:rsidRPr="00E8394D">
        <w:rPr>
          <w:lang w:val="en-GB"/>
        </w:rPr>
        <w:t xml:space="preserve">PNG’s </w:t>
      </w:r>
      <w:r w:rsidR="00C95A03">
        <w:rPr>
          <w:lang w:val="en-GB"/>
        </w:rPr>
        <w:t xml:space="preserve">2016 </w:t>
      </w:r>
      <w:r w:rsidRPr="00E8394D">
        <w:rPr>
          <w:lang w:val="en-GB"/>
        </w:rPr>
        <w:t xml:space="preserve">publication of its </w:t>
      </w:r>
      <w:r w:rsidR="00C95A03">
        <w:rPr>
          <w:lang w:val="en-GB"/>
        </w:rPr>
        <w:t>small and medium-seize enterprise p</w:t>
      </w:r>
      <w:r w:rsidRPr="00E8394D">
        <w:rPr>
          <w:lang w:val="en-GB"/>
        </w:rPr>
        <w:t>olicy t</w:t>
      </w:r>
      <w:r w:rsidRPr="00E8394D">
        <w:rPr>
          <w:rFonts w:eastAsiaTheme="minorHAnsi"/>
          <w:bCs/>
          <w:lang w:val="en-GB" w:bidi="he-IL"/>
        </w:rPr>
        <w:t>o support and foster innovative</w:t>
      </w:r>
      <w:r w:rsidR="00C95A03">
        <w:rPr>
          <w:rFonts w:eastAsiaTheme="minorHAnsi"/>
          <w:bCs/>
          <w:lang w:val="en-GB" w:bidi="he-IL"/>
        </w:rPr>
        <w:t xml:space="preserve">, </w:t>
      </w:r>
      <w:r w:rsidRPr="00E8394D">
        <w:rPr>
          <w:rFonts w:eastAsiaTheme="minorHAnsi"/>
          <w:bCs/>
          <w:lang w:val="en-GB" w:bidi="he-IL"/>
        </w:rPr>
        <w:t>high-impact entrepreneurship</w:t>
      </w:r>
      <w:r w:rsidRPr="00E8394D">
        <w:rPr>
          <w:rFonts w:eastAsiaTheme="minorHAnsi"/>
          <w:lang w:val="en-GB" w:bidi="he-IL"/>
        </w:rPr>
        <w:t xml:space="preserve">, UNDP will </w:t>
      </w:r>
      <w:r w:rsidRPr="00E8394D">
        <w:rPr>
          <w:lang w:val="en-GB"/>
        </w:rPr>
        <w:t>scale</w:t>
      </w:r>
      <w:r w:rsidR="00C95A03">
        <w:rPr>
          <w:lang w:val="en-GB"/>
        </w:rPr>
        <w:t xml:space="preserve"> </w:t>
      </w:r>
      <w:r w:rsidRPr="00E8394D">
        <w:rPr>
          <w:lang w:val="en-GB"/>
        </w:rPr>
        <w:t>up and support interventions in social entrepreneurship</w:t>
      </w:r>
      <w:r w:rsidR="001620A8" w:rsidRPr="00E8394D">
        <w:rPr>
          <w:lang w:val="en-GB"/>
        </w:rPr>
        <w:t>, focus</w:t>
      </w:r>
      <w:r w:rsidR="00C95A03">
        <w:rPr>
          <w:lang w:val="en-GB"/>
        </w:rPr>
        <w:t>ed</w:t>
      </w:r>
      <w:r w:rsidR="001620A8" w:rsidRPr="00E8394D">
        <w:rPr>
          <w:lang w:val="en-GB"/>
        </w:rPr>
        <w:t xml:space="preserve"> on youth</w:t>
      </w:r>
      <w:r w:rsidRPr="00E8394D">
        <w:rPr>
          <w:lang w:val="en-GB"/>
        </w:rPr>
        <w:t>.</w:t>
      </w:r>
      <w:r w:rsidR="000608F7" w:rsidRPr="00E8394D">
        <w:rPr>
          <w:lang w:val="en-GB"/>
        </w:rPr>
        <w:t xml:space="preserve"> UNDP will seek to strengthen its links with the U</w:t>
      </w:r>
      <w:r w:rsidR="00C95A03">
        <w:rPr>
          <w:lang w:val="en-GB"/>
        </w:rPr>
        <w:t xml:space="preserve">nited </w:t>
      </w:r>
      <w:r w:rsidR="000608F7" w:rsidRPr="00E8394D">
        <w:rPr>
          <w:lang w:val="en-GB"/>
        </w:rPr>
        <w:t>N</w:t>
      </w:r>
      <w:r w:rsidR="00C95A03">
        <w:rPr>
          <w:lang w:val="en-GB"/>
        </w:rPr>
        <w:t>ations</w:t>
      </w:r>
      <w:r w:rsidRPr="00E8394D">
        <w:rPr>
          <w:lang w:val="en-GB"/>
        </w:rPr>
        <w:t xml:space="preserve"> </w:t>
      </w:r>
      <w:r w:rsidR="000608F7" w:rsidRPr="00E8394D">
        <w:rPr>
          <w:lang w:val="en-GB"/>
        </w:rPr>
        <w:t xml:space="preserve">Capital Development Fund (UNCDF) and other partners to promote financial inclusion, improve financial literacy and support district development planning. </w:t>
      </w:r>
      <w:r w:rsidRPr="00E8394D">
        <w:rPr>
          <w:rFonts w:eastAsiaTheme="minorHAnsi"/>
          <w:lang w:val="en-GB" w:bidi="he-IL"/>
        </w:rPr>
        <w:t xml:space="preserve"> </w:t>
      </w:r>
      <w:r w:rsidR="002F12AE" w:rsidRPr="00E8394D">
        <w:rPr>
          <w:rFonts w:eastAsiaTheme="minorHAnsi"/>
          <w:lang w:val="en-GB" w:bidi="he-IL"/>
        </w:rPr>
        <w:t xml:space="preserve">Building on </w:t>
      </w:r>
      <w:r w:rsidR="00C95A03">
        <w:rPr>
          <w:rFonts w:eastAsiaTheme="minorHAnsi"/>
          <w:lang w:val="en-GB" w:bidi="he-IL"/>
        </w:rPr>
        <w:t>the national human development report</w:t>
      </w:r>
      <w:r w:rsidR="002F12AE" w:rsidRPr="00E8394D">
        <w:rPr>
          <w:i/>
          <w:lang w:val="en-GB"/>
        </w:rPr>
        <w:t xml:space="preserve">, </w:t>
      </w:r>
      <w:r w:rsidR="002F12AE" w:rsidRPr="00E8394D">
        <w:rPr>
          <w:lang w:val="en-GB"/>
        </w:rPr>
        <w:t xml:space="preserve">UNDP will work with extractive industries to encourage their contribution to human development </w:t>
      </w:r>
      <w:r w:rsidR="00345C1D" w:rsidRPr="00E8394D">
        <w:rPr>
          <w:lang w:val="en-GB"/>
        </w:rPr>
        <w:t>in partnership with the Business Council</w:t>
      </w:r>
      <w:r w:rsidR="00C95A03">
        <w:rPr>
          <w:lang w:val="en-GB"/>
        </w:rPr>
        <w:t xml:space="preserve">. It </w:t>
      </w:r>
      <w:r w:rsidR="00BB394B" w:rsidRPr="00E8394D">
        <w:rPr>
          <w:lang w:val="en-GB"/>
        </w:rPr>
        <w:t xml:space="preserve">will work </w:t>
      </w:r>
      <w:r w:rsidR="00CD6EAE" w:rsidRPr="00E8394D">
        <w:rPr>
          <w:lang w:val="en-GB"/>
        </w:rPr>
        <w:t xml:space="preserve">on value chains </w:t>
      </w:r>
      <w:r w:rsidR="00BB394B" w:rsidRPr="00E8394D">
        <w:rPr>
          <w:lang w:val="en-GB"/>
        </w:rPr>
        <w:t xml:space="preserve">to </w:t>
      </w:r>
      <w:r w:rsidR="009047EA" w:rsidRPr="00E8394D">
        <w:rPr>
          <w:lang w:val="en-GB"/>
        </w:rPr>
        <w:t xml:space="preserve">provide small farmer communities with production options </w:t>
      </w:r>
      <w:r w:rsidR="00804B95" w:rsidRPr="00E8394D">
        <w:rPr>
          <w:lang w:val="en-GB"/>
        </w:rPr>
        <w:t xml:space="preserve">and </w:t>
      </w:r>
      <w:r w:rsidR="009047EA" w:rsidRPr="00E8394D">
        <w:rPr>
          <w:lang w:val="en-GB"/>
        </w:rPr>
        <w:t xml:space="preserve">skills </w:t>
      </w:r>
      <w:r w:rsidR="00BE0ED2" w:rsidRPr="00E8394D">
        <w:rPr>
          <w:lang w:val="en-GB"/>
        </w:rPr>
        <w:t xml:space="preserve">to </w:t>
      </w:r>
      <w:r w:rsidR="009047EA" w:rsidRPr="00E8394D">
        <w:rPr>
          <w:lang w:val="en-GB"/>
        </w:rPr>
        <w:t xml:space="preserve">improve their socioeconomic position </w:t>
      </w:r>
      <w:r w:rsidR="00804B95" w:rsidRPr="00E8394D">
        <w:rPr>
          <w:lang w:val="en-GB"/>
        </w:rPr>
        <w:t xml:space="preserve">in </w:t>
      </w:r>
      <w:r w:rsidR="009047EA" w:rsidRPr="00E8394D">
        <w:rPr>
          <w:lang w:val="en-GB"/>
        </w:rPr>
        <w:t xml:space="preserve">an </w:t>
      </w:r>
      <w:r w:rsidR="00804B95" w:rsidRPr="00E8394D">
        <w:rPr>
          <w:lang w:val="en-GB"/>
        </w:rPr>
        <w:t xml:space="preserve">expanding </w:t>
      </w:r>
      <w:r w:rsidR="009047EA" w:rsidRPr="00E8394D">
        <w:rPr>
          <w:lang w:val="en-GB"/>
        </w:rPr>
        <w:t>economy</w:t>
      </w:r>
      <w:r w:rsidR="00804B95" w:rsidRPr="00E8394D">
        <w:rPr>
          <w:lang w:val="en-GB"/>
        </w:rPr>
        <w:t xml:space="preserve"> </w:t>
      </w:r>
      <w:r w:rsidR="00C95A03">
        <w:rPr>
          <w:lang w:val="en-GB"/>
        </w:rPr>
        <w:t xml:space="preserve">owing </w:t>
      </w:r>
      <w:r w:rsidR="009047EA" w:rsidRPr="00E8394D">
        <w:rPr>
          <w:lang w:val="en-GB"/>
        </w:rPr>
        <w:t xml:space="preserve">to mineral and gas </w:t>
      </w:r>
      <w:r w:rsidR="00BE0ED2" w:rsidRPr="00E8394D">
        <w:rPr>
          <w:lang w:val="en-GB"/>
        </w:rPr>
        <w:t>p</w:t>
      </w:r>
      <w:r w:rsidR="009047EA" w:rsidRPr="00E8394D">
        <w:rPr>
          <w:lang w:val="en-GB"/>
        </w:rPr>
        <w:t xml:space="preserve">rojects. UNDP will provide </w:t>
      </w:r>
      <w:r w:rsidR="00804B95" w:rsidRPr="00E8394D">
        <w:rPr>
          <w:lang w:val="en-GB"/>
        </w:rPr>
        <w:t xml:space="preserve">support </w:t>
      </w:r>
      <w:r w:rsidR="009047EA" w:rsidRPr="00E8394D">
        <w:rPr>
          <w:lang w:val="en-GB"/>
        </w:rPr>
        <w:t xml:space="preserve">to improve </w:t>
      </w:r>
      <w:r w:rsidR="00C95A03">
        <w:rPr>
          <w:lang w:val="en-GB"/>
        </w:rPr>
        <w:t xml:space="preserve">value chain </w:t>
      </w:r>
      <w:r w:rsidR="009047EA" w:rsidRPr="00E8394D">
        <w:rPr>
          <w:lang w:val="en-GB"/>
        </w:rPr>
        <w:t xml:space="preserve">performance </w:t>
      </w:r>
      <w:r w:rsidR="00C95A03">
        <w:rPr>
          <w:lang w:val="en-GB"/>
        </w:rPr>
        <w:t xml:space="preserve">by </w:t>
      </w:r>
      <w:r w:rsidR="009047EA" w:rsidRPr="00E8394D">
        <w:rPr>
          <w:lang w:val="en-GB"/>
        </w:rPr>
        <w:t>enhancing relationships among chain participants</w:t>
      </w:r>
      <w:r w:rsidR="00BE0ED2" w:rsidRPr="00E8394D">
        <w:rPr>
          <w:lang w:val="en-GB"/>
        </w:rPr>
        <w:t>.</w:t>
      </w:r>
    </w:p>
    <w:p w14:paraId="37CBEB97" w14:textId="77777777" w:rsidR="002F3077" w:rsidRPr="00E8394D" w:rsidRDefault="002F3077" w:rsidP="003618D6">
      <w:pPr>
        <w:pStyle w:val="ListParagraph"/>
        <w:tabs>
          <w:tab w:val="left" w:pos="450"/>
        </w:tabs>
        <w:ind w:left="0"/>
        <w:jc w:val="both"/>
        <w:rPr>
          <w:sz w:val="12"/>
          <w:szCs w:val="12"/>
          <w:lang w:val="en-GB"/>
        </w:rPr>
      </w:pPr>
    </w:p>
    <w:p w14:paraId="2519C6AA" w14:textId="77777777" w:rsidR="00AD5256" w:rsidRPr="00E8394D" w:rsidRDefault="002F3077" w:rsidP="003618D6">
      <w:pPr>
        <w:tabs>
          <w:tab w:val="left" w:pos="450"/>
        </w:tabs>
        <w:jc w:val="both"/>
        <w:rPr>
          <w:b/>
          <w:lang w:val="en-GB"/>
        </w:rPr>
      </w:pPr>
      <w:r w:rsidRPr="00E8394D">
        <w:rPr>
          <w:b/>
          <w:lang w:val="en-GB"/>
        </w:rPr>
        <w:t xml:space="preserve">Planet: </w:t>
      </w:r>
      <w:r w:rsidR="00C95A03">
        <w:rPr>
          <w:b/>
          <w:lang w:val="en-GB"/>
        </w:rPr>
        <w:t>s</w:t>
      </w:r>
      <w:r w:rsidRPr="00E8394D">
        <w:rPr>
          <w:b/>
          <w:lang w:val="en-GB"/>
        </w:rPr>
        <w:t xml:space="preserve">ustainable management of natural resources, biodiversity conservation, strengthened climate </w:t>
      </w:r>
      <w:r w:rsidR="00C95A03">
        <w:rPr>
          <w:b/>
          <w:lang w:val="en-GB"/>
        </w:rPr>
        <w:t>and</w:t>
      </w:r>
      <w:r w:rsidRPr="00E8394D">
        <w:rPr>
          <w:b/>
          <w:lang w:val="en-GB"/>
        </w:rPr>
        <w:t xml:space="preserve"> disaster resilience </w:t>
      </w:r>
    </w:p>
    <w:p w14:paraId="68E7342F" w14:textId="77777777" w:rsidR="00AD5256" w:rsidRPr="00E8394D" w:rsidRDefault="00AD5256" w:rsidP="003618D6">
      <w:pPr>
        <w:tabs>
          <w:tab w:val="left" w:pos="450"/>
        </w:tabs>
        <w:jc w:val="both"/>
        <w:rPr>
          <w:sz w:val="12"/>
          <w:szCs w:val="12"/>
          <w:lang w:val="en-GB"/>
        </w:rPr>
      </w:pPr>
    </w:p>
    <w:p w14:paraId="08C9D368" w14:textId="77777777" w:rsidR="00711D41" w:rsidRPr="00E8394D" w:rsidRDefault="009413FB" w:rsidP="003618D6">
      <w:pPr>
        <w:pStyle w:val="ListParagraph"/>
        <w:numPr>
          <w:ilvl w:val="0"/>
          <w:numId w:val="21"/>
        </w:numPr>
        <w:tabs>
          <w:tab w:val="left" w:pos="450"/>
        </w:tabs>
        <w:ind w:left="0" w:firstLine="0"/>
        <w:contextualSpacing/>
        <w:jc w:val="both"/>
        <w:rPr>
          <w:lang w:val="en-GB"/>
        </w:rPr>
      </w:pPr>
      <w:r w:rsidRPr="00E8394D">
        <w:rPr>
          <w:lang w:val="en-GB"/>
        </w:rPr>
        <w:t xml:space="preserve">Working with development partners, </w:t>
      </w:r>
      <w:r w:rsidR="004D7646" w:rsidRPr="00E8394D">
        <w:rPr>
          <w:lang w:val="en-GB"/>
        </w:rPr>
        <w:t>civil society organi</w:t>
      </w:r>
      <w:r w:rsidR="004E7CA2">
        <w:rPr>
          <w:lang w:val="en-GB"/>
        </w:rPr>
        <w:t>z</w:t>
      </w:r>
      <w:r w:rsidR="004D7646" w:rsidRPr="00E8394D">
        <w:rPr>
          <w:lang w:val="en-GB"/>
        </w:rPr>
        <w:t xml:space="preserve">ations, </w:t>
      </w:r>
      <w:r w:rsidRPr="00E8394D">
        <w:rPr>
          <w:lang w:val="en-GB"/>
        </w:rPr>
        <w:t>national</w:t>
      </w:r>
      <w:r w:rsidR="004E7CA2">
        <w:rPr>
          <w:lang w:val="en-GB"/>
        </w:rPr>
        <w:t>-</w:t>
      </w:r>
      <w:r w:rsidRPr="00E8394D">
        <w:rPr>
          <w:lang w:val="en-GB"/>
        </w:rPr>
        <w:t xml:space="preserve">level institutions and local governments, UNDP will </w:t>
      </w:r>
      <w:r w:rsidR="00F64E85" w:rsidRPr="00E8394D">
        <w:rPr>
          <w:lang w:val="en-GB"/>
        </w:rPr>
        <w:t xml:space="preserve">leverage its comparative advantage to </w:t>
      </w:r>
      <w:r w:rsidRPr="00E8394D">
        <w:rPr>
          <w:lang w:val="en-GB"/>
        </w:rPr>
        <w:t>support the development of specific measures for climate-change adaptation and resilience</w:t>
      </w:r>
      <w:r w:rsidR="004E7CA2">
        <w:rPr>
          <w:lang w:val="en-GB"/>
        </w:rPr>
        <w:t>-</w:t>
      </w:r>
      <w:r w:rsidRPr="00E8394D">
        <w:rPr>
          <w:lang w:val="en-GB"/>
        </w:rPr>
        <w:t xml:space="preserve">building. </w:t>
      </w:r>
      <w:r w:rsidR="00AD5256" w:rsidRPr="00E8394D">
        <w:rPr>
          <w:lang w:val="en-GB"/>
        </w:rPr>
        <w:t xml:space="preserve">UNDP has a large </w:t>
      </w:r>
      <w:r w:rsidR="004E7CA2">
        <w:rPr>
          <w:lang w:val="en-GB"/>
        </w:rPr>
        <w:t>c</w:t>
      </w:r>
      <w:r w:rsidR="00AD5256" w:rsidRPr="00E8394D">
        <w:rPr>
          <w:lang w:val="en-GB"/>
        </w:rPr>
        <w:t xml:space="preserve">limate </w:t>
      </w:r>
      <w:r w:rsidR="004E7CA2">
        <w:rPr>
          <w:lang w:val="en-GB"/>
        </w:rPr>
        <w:t>c</w:t>
      </w:r>
      <w:r w:rsidR="00AD5256" w:rsidRPr="00E8394D">
        <w:rPr>
          <w:lang w:val="en-GB"/>
        </w:rPr>
        <w:t xml:space="preserve">hange portfolio and interventions at the community level </w:t>
      </w:r>
      <w:r w:rsidR="004E7CA2">
        <w:rPr>
          <w:lang w:val="en-GB"/>
        </w:rPr>
        <w:t xml:space="preserve">to </w:t>
      </w:r>
      <w:r w:rsidR="00AD5256" w:rsidRPr="00E8394D">
        <w:rPr>
          <w:lang w:val="en-GB"/>
        </w:rPr>
        <w:t>address issues such as gender inequality, poverty</w:t>
      </w:r>
      <w:r w:rsidR="004E7CA2">
        <w:rPr>
          <w:lang w:val="en-GB"/>
        </w:rPr>
        <w:t xml:space="preserve">, </w:t>
      </w:r>
      <w:r w:rsidR="00AD5256" w:rsidRPr="00E8394D">
        <w:rPr>
          <w:lang w:val="en-GB"/>
        </w:rPr>
        <w:t>widening economic disparity, lack of opportunity for youth</w:t>
      </w:r>
      <w:r w:rsidR="00C45BCC" w:rsidRPr="00E8394D">
        <w:rPr>
          <w:lang w:val="en-GB"/>
        </w:rPr>
        <w:t>, geographically isolated groups and communities affected by hazards</w:t>
      </w:r>
      <w:r w:rsidR="00AD5256" w:rsidRPr="00E8394D">
        <w:rPr>
          <w:lang w:val="en-GB"/>
        </w:rPr>
        <w:t xml:space="preserve">. </w:t>
      </w:r>
      <w:r w:rsidRPr="00E8394D">
        <w:rPr>
          <w:lang w:val="en-GB"/>
        </w:rPr>
        <w:t>Adaptation measures will support the resilience of subsistence-level agricultural communities</w:t>
      </w:r>
      <w:r w:rsidR="00AD5256" w:rsidRPr="00E8394D">
        <w:rPr>
          <w:lang w:val="en-GB"/>
        </w:rPr>
        <w:t xml:space="preserve">, which are among the </w:t>
      </w:r>
      <w:r w:rsidR="004E7CA2">
        <w:rPr>
          <w:lang w:val="en-GB"/>
        </w:rPr>
        <w:t xml:space="preserve">country’s </w:t>
      </w:r>
      <w:r w:rsidR="00AD5256" w:rsidRPr="00E8394D">
        <w:rPr>
          <w:lang w:val="en-GB"/>
        </w:rPr>
        <w:t>most vulnerable groups</w:t>
      </w:r>
      <w:r w:rsidRPr="00E8394D">
        <w:rPr>
          <w:lang w:val="en-GB"/>
        </w:rPr>
        <w:t>. Recognizing the importance of energy availability and access issues</w:t>
      </w:r>
      <w:r w:rsidRPr="00E8394D">
        <w:rPr>
          <w:rFonts w:cs="Arial"/>
          <w:lang w:val="en-GB"/>
        </w:rPr>
        <w:t xml:space="preserve">, UNDP </w:t>
      </w:r>
      <w:r w:rsidRPr="00E8394D">
        <w:rPr>
          <w:lang w:val="en-GB"/>
        </w:rPr>
        <w:t>will pilot renewable energy mini-grid systems</w:t>
      </w:r>
      <w:r w:rsidR="00C45BCC" w:rsidRPr="00E8394D">
        <w:rPr>
          <w:lang w:val="en-GB"/>
        </w:rPr>
        <w:t>.</w:t>
      </w:r>
    </w:p>
    <w:p w14:paraId="41BFF893" w14:textId="77777777" w:rsidR="00711D41" w:rsidRPr="00E8394D" w:rsidRDefault="00711D41" w:rsidP="003618D6">
      <w:pPr>
        <w:pStyle w:val="ListParagraph"/>
        <w:tabs>
          <w:tab w:val="left" w:pos="450"/>
        </w:tabs>
        <w:ind w:left="0"/>
        <w:contextualSpacing/>
        <w:jc w:val="both"/>
        <w:rPr>
          <w:sz w:val="12"/>
          <w:szCs w:val="12"/>
          <w:lang w:val="en-GB"/>
        </w:rPr>
      </w:pPr>
    </w:p>
    <w:p w14:paraId="7CAFF74A" w14:textId="77777777" w:rsidR="00711D41" w:rsidRPr="00E8394D" w:rsidRDefault="009413FB" w:rsidP="003618D6">
      <w:pPr>
        <w:pStyle w:val="ListParagraph"/>
        <w:numPr>
          <w:ilvl w:val="0"/>
          <w:numId w:val="21"/>
        </w:numPr>
        <w:tabs>
          <w:tab w:val="left" w:pos="450"/>
        </w:tabs>
        <w:ind w:left="0" w:firstLine="0"/>
        <w:jc w:val="both"/>
        <w:rPr>
          <w:lang w:val="en-GB"/>
        </w:rPr>
      </w:pPr>
      <w:r w:rsidRPr="00E8394D">
        <w:rPr>
          <w:rFonts w:cs="Arial"/>
          <w:lang w:val="en-GB"/>
        </w:rPr>
        <w:t xml:space="preserve">Together with key partners, UNDP </w:t>
      </w:r>
      <w:r w:rsidRPr="00E8394D">
        <w:rPr>
          <w:lang w:val="en-GB" w:eastAsia="en-IN"/>
        </w:rPr>
        <w:t xml:space="preserve">will support the Government to develop its </w:t>
      </w:r>
      <w:r w:rsidR="00061FE8">
        <w:rPr>
          <w:lang w:val="en-GB" w:eastAsia="en-IN"/>
        </w:rPr>
        <w:t>d</w:t>
      </w:r>
      <w:r w:rsidRPr="00E8394D">
        <w:rPr>
          <w:lang w:val="en-GB" w:eastAsia="en-IN"/>
        </w:rPr>
        <w:t xml:space="preserve">isaster </w:t>
      </w:r>
      <w:r w:rsidR="00061FE8">
        <w:rPr>
          <w:lang w:val="en-GB" w:eastAsia="en-IN"/>
        </w:rPr>
        <w:t>r</w:t>
      </w:r>
      <w:r w:rsidRPr="00E8394D">
        <w:rPr>
          <w:lang w:val="en-GB" w:eastAsia="en-IN"/>
        </w:rPr>
        <w:t xml:space="preserve">isk </w:t>
      </w:r>
      <w:r w:rsidR="00061FE8">
        <w:rPr>
          <w:lang w:val="en-GB" w:eastAsia="en-IN"/>
        </w:rPr>
        <w:t>m</w:t>
      </w:r>
      <w:r w:rsidRPr="00E8394D">
        <w:rPr>
          <w:lang w:val="en-GB" w:eastAsia="en-IN"/>
        </w:rPr>
        <w:t xml:space="preserve">anagement </w:t>
      </w:r>
      <w:r w:rsidR="00061FE8">
        <w:rPr>
          <w:lang w:val="en-GB" w:eastAsia="en-IN"/>
        </w:rPr>
        <w:t>f</w:t>
      </w:r>
      <w:r w:rsidRPr="00E8394D">
        <w:rPr>
          <w:lang w:val="en-GB" w:eastAsia="en-IN"/>
        </w:rPr>
        <w:t>ramework, in line with the Sendai Framework for Disaster Risk Reduction</w:t>
      </w:r>
      <w:r w:rsidR="00061FE8">
        <w:rPr>
          <w:lang w:val="en-GB" w:eastAsia="en-IN"/>
        </w:rPr>
        <w:t>.</w:t>
      </w:r>
      <w:r w:rsidRPr="00E8394D">
        <w:rPr>
          <w:lang w:val="en-GB" w:eastAsia="en-IN"/>
        </w:rPr>
        <w:t xml:space="preserve"> </w:t>
      </w:r>
      <w:r w:rsidR="00061FE8">
        <w:rPr>
          <w:lang w:val="en-GB" w:eastAsia="en-IN"/>
        </w:rPr>
        <w:t xml:space="preserve">It will </w:t>
      </w:r>
      <w:r w:rsidRPr="00E8394D">
        <w:rPr>
          <w:lang w:val="en-GB" w:eastAsia="en-IN"/>
        </w:rPr>
        <w:t xml:space="preserve">focus on </w:t>
      </w:r>
      <w:r w:rsidR="00061FE8">
        <w:rPr>
          <w:lang w:val="en-GB" w:eastAsia="en-IN"/>
        </w:rPr>
        <w:t xml:space="preserve">building </w:t>
      </w:r>
      <w:r w:rsidRPr="00E8394D">
        <w:rPr>
          <w:lang w:val="en-GB" w:eastAsia="en-IN"/>
        </w:rPr>
        <w:t>local</w:t>
      </w:r>
      <w:r w:rsidR="00061FE8">
        <w:rPr>
          <w:lang w:val="en-GB" w:eastAsia="en-IN"/>
        </w:rPr>
        <w:t>-</w:t>
      </w:r>
      <w:r w:rsidRPr="00E8394D">
        <w:rPr>
          <w:lang w:val="en-GB" w:eastAsia="en-IN"/>
        </w:rPr>
        <w:t>level capacity, improv</w:t>
      </w:r>
      <w:r w:rsidR="00061FE8">
        <w:rPr>
          <w:lang w:val="en-GB" w:eastAsia="en-IN"/>
        </w:rPr>
        <w:t>ing</w:t>
      </w:r>
      <w:r w:rsidRPr="00E8394D">
        <w:rPr>
          <w:lang w:val="en-GB" w:eastAsia="en-IN"/>
        </w:rPr>
        <w:t xml:space="preserve"> disaster recovery planning</w:t>
      </w:r>
      <w:r w:rsidR="00061FE8">
        <w:rPr>
          <w:lang w:val="en-GB" w:eastAsia="en-IN"/>
        </w:rPr>
        <w:t xml:space="preserve">, </w:t>
      </w:r>
      <w:r w:rsidRPr="00E8394D">
        <w:rPr>
          <w:lang w:val="en-GB" w:eastAsia="en-IN"/>
        </w:rPr>
        <w:t>disaster</w:t>
      </w:r>
      <w:r w:rsidR="00061FE8">
        <w:rPr>
          <w:lang w:val="en-GB" w:eastAsia="en-IN"/>
        </w:rPr>
        <w:t>-</w:t>
      </w:r>
      <w:r w:rsidRPr="00E8394D">
        <w:rPr>
          <w:lang w:val="en-GB" w:eastAsia="en-IN"/>
        </w:rPr>
        <w:t xml:space="preserve">related information management and early warning systems, and building community resilience to </w:t>
      </w:r>
      <w:r w:rsidRPr="00E8394D">
        <w:rPr>
          <w:lang w:val="en-GB" w:eastAsia="en-IN"/>
        </w:rPr>
        <w:lastRenderedPageBreak/>
        <w:t xml:space="preserve">disasters. </w:t>
      </w:r>
      <w:r w:rsidR="00061FE8">
        <w:rPr>
          <w:lang w:val="en-GB" w:eastAsia="en-IN"/>
        </w:rPr>
        <w:t>UNDP will support t</w:t>
      </w:r>
      <w:r w:rsidRPr="00E8394D">
        <w:rPr>
          <w:lang w:val="en-GB" w:eastAsia="en-IN"/>
        </w:rPr>
        <w:t>he National Disaster Centre to improve capacities</w:t>
      </w:r>
      <w:r w:rsidR="00061FE8">
        <w:rPr>
          <w:lang w:val="en-GB" w:eastAsia="en-IN"/>
        </w:rPr>
        <w:t>.</w:t>
      </w:r>
      <w:r w:rsidRPr="00E8394D">
        <w:rPr>
          <w:lang w:val="en-GB" w:eastAsia="en-IN"/>
        </w:rPr>
        <w:t xml:space="preserve"> </w:t>
      </w:r>
      <w:r w:rsidR="00061FE8">
        <w:rPr>
          <w:lang w:val="en-GB" w:eastAsia="en-IN"/>
        </w:rPr>
        <w:t xml:space="preserve">It will </w:t>
      </w:r>
      <w:r w:rsidRPr="00E8394D">
        <w:rPr>
          <w:lang w:val="en-GB" w:eastAsia="en-IN"/>
        </w:rPr>
        <w:t xml:space="preserve">work with relevant government institutions and development partners to mainstream disaster risk reduction in development planning and improve cross-sectoral collaboration and </w:t>
      </w:r>
      <w:r w:rsidR="002F12AE" w:rsidRPr="00E8394D">
        <w:rPr>
          <w:lang w:val="en-GB" w:eastAsia="en-IN"/>
        </w:rPr>
        <w:t>c</w:t>
      </w:r>
      <w:r w:rsidRPr="00E8394D">
        <w:rPr>
          <w:lang w:val="en-GB" w:eastAsia="en-IN"/>
        </w:rPr>
        <w:t xml:space="preserve">oordination. </w:t>
      </w:r>
      <w:r w:rsidR="00061FE8">
        <w:rPr>
          <w:lang w:val="en-GB" w:eastAsia="en-IN"/>
        </w:rPr>
        <w:t>It will use t</w:t>
      </w:r>
      <w:r w:rsidRPr="00E8394D">
        <w:rPr>
          <w:lang w:val="en-GB" w:eastAsia="en-IN"/>
        </w:rPr>
        <w:t>argeted measures to mitigate risks to most vulnerable populations and reduce urban vulnerability to disasters</w:t>
      </w:r>
      <w:r w:rsidR="00061FE8">
        <w:rPr>
          <w:lang w:val="en-GB" w:eastAsia="en-IN"/>
        </w:rPr>
        <w:t>,</w:t>
      </w:r>
      <w:r w:rsidRPr="00E8394D">
        <w:rPr>
          <w:lang w:val="en-GB" w:eastAsia="en-IN"/>
        </w:rPr>
        <w:t xml:space="preserve"> such as earthquakes, floods and fires. </w:t>
      </w:r>
      <w:r w:rsidR="002F12AE" w:rsidRPr="00E8394D">
        <w:rPr>
          <w:lang w:val="en-GB"/>
        </w:rPr>
        <w:t xml:space="preserve">UNDP </w:t>
      </w:r>
      <w:r w:rsidR="00BD0E0C" w:rsidRPr="00E8394D">
        <w:rPr>
          <w:lang w:val="en-GB"/>
        </w:rPr>
        <w:t xml:space="preserve">will </w:t>
      </w:r>
      <w:r w:rsidR="002F12AE" w:rsidRPr="00E8394D">
        <w:rPr>
          <w:lang w:val="en-GB"/>
        </w:rPr>
        <w:t xml:space="preserve">continue to promote the integration of climate change and disaster risk management as set out in the regional </w:t>
      </w:r>
      <w:r w:rsidR="00061FE8">
        <w:rPr>
          <w:lang w:val="en-GB"/>
        </w:rPr>
        <w:t>f</w:t>
      </w:r>
      <w:r w:rsidR="002F12AE" w:rsidRPr="00E8394D">
        <w:rPr>
          <w:lang w:val="en-GB"/>
        </w:rPr>
        <w:t xml:space="preserve">ramework for </w:t>
      </w:r>
      <w:r w:rsidR="00061FE8">
        <w:rPr>
          <w:lang w:val="en-GB"/>
        </w:rPr>
        <w:t>r</w:t>
      </w:r>
      <w:r w:rsidR="002F12AE" w:rsidRPr="00E8394D">
        <w:rPr>
          <w:lang w:val="en-GB"/>
        </w:rPr>
        <w:t xml:space="preserve">esilient </w:t>
      </w:r>
      <w:r w:rsidR="00061FE8">
        <w:rPr>
          <w:lang w:val="en-GB"/>
        </w:rPr>
        <w:t>d</w:t>
      </w:r>
      <w:r w:rsidR="002F12AE" w:rsidRPr="00E8394D">
        <w:rPr>
          <w:lang w:val="en-GB"/>
        </w:rPr>
        <w:t>evelopment in the Pacific</w:t>
      </w:r>
      <w:r w:rsidR="00061FE8">
        <w:rPr>
          <w:lang w:val="en-GB"/>
        </w:rPr>
        <w:t>.</w:t>
      </w:r>
      <w:r w:rsidR="002F12AE" w:rsidRPr="00E8394D">
        <w:rPr>
          <w:rStyle w:val="FootnoteReference"/>
          <w:lang w:val="en-GB"/>
        </w:rPr>
        <w:footnoteReference w:id="24"/>
      </w:r>
      <w:r w:rsidR="00061FE8">
        <w:rPr>
          <w:lang w:val="en-GB"/>
        </w:rPr>
        <w:t xml:space="preserve"> </w:t>
      </w:r>
      <w:r w:rsidRPr="00E8394D">
        <w:rPr>
          <w:lang w:val="en-GB" w:eastAsia="en-IN"/>
        </w:rPr>
        <w:t xml:space="preserve">UNDP will continue </w:t>
      </w:r>
      <w:r w:rsidR="00061FE8">
        <w:rPr>
          <w:lang w:val="en-GB" w:eastAsia="en-IN"/>
        </w:rPr>
        <w:t xml:space="preserve">to </w:t>
      </w:r>
      <w:r w:rsidRPr="00E8394D">
        <w:rPr>
          <w:lang w:val="en-GB" w:eastAsia="en-IN"/>
        </w:rPr>
        <w:t xml:space="preserve">support humanitarian coordination and clusters </w:t>
      </w:r>
      <w:r w:rsidR="00061FE8">
        <w:rPr>
          <w:lang w:val="en-GB" w:eastAsia="en-IN"/>
        </w:rPr>
        <w:t xml:space="preserve">by providing </w:t>
      </w:r>
      <w:r w:rsidRPr="00E8394D">
        <w:rPr>
          <w:lang w:val="en-GB" w:eastAsia="en-IN"/>
        </w:rPr>
        <w:t xml:space="preserve">secretariat services to the </w:t>
      </w:r>
      <w:r w:rsidR="00061FE8">
        <w:rPr>
          <w:lang w:val="en-GB" w:eastAsia="en-IN"/>
        </w:rPr>
        <w:t>d</w:t>
      </w:r>
      <w:r w:rsidRPr="00E8394D">
        <w:rPr>
          <w:lang w:val="en-GB" w:eastAsia="en-IN"/>
        </w:rPr>
        <w:t xml:space="preserve">isaster </w:t>
      </w:r>
      <w:r w:rsidR="00061FE8">
        <w:rPr>
          <w:lang w:val="en-GB" w:eastAsia="en-IN"/>
        </w:rPr>
        <w:t>m</w:t>
      </w:r>
      <w:r w:rsidRPr="00E8394D">
        <w:rPr>
          <w:lang w:val="en-GB" w:eastAsia="en-IN"/>
        </w:rPr>
        <w:t xml:space="preserve">anagement </w:t>
      </w:r>
      <w:r w:rsidR="00061FE8">
        <w:rPr>
          <w:lang w:val="en-GB" w:eastAsia="en-IN"/>
        </w:rPr>
        <w:t>t</w:t>
      </w:r>
      <w:r w:rsidRPr="00E8394D">
        <w:rPr>
          <w:lang w:val="en-GB" w:eastAsia="en-IN"/>
        </w:rPr>
        <w:t>eam.</w:t>
      </w:r>
    </w:p>
    <w:p w14:paraId="05AED490" w14:textId="77777777" w:rsidR="00711D41" w:rsidRPr="00E8394D" w:rsidRDefault="00711D41" w:rsidP="003618D6">
      <w:pPr>
        <w:pStyle w:val="ListParagraph"/>
        <w:tabs>
          <w:tab w:val="left" w:pos="450"/>
        </w:tabs>
        <w:ind w:left="0"/>
        <w:jc w:val="both"/>
        <w:rPr>
          <w:sz w:val="12"/>
          <w:szCs w:val="12"/>
          <w:lang w:val="en-GB" w:eastAsia="en-IN"/>
        </w:rPr>
      </w:pPr>
    </w:p>
    <w:p w14:paraId="1F1D4366" w14:textId="77777777" w:rsidR="00711D41" w:rsidRPr="00E8394D" w:rsidRDefault="009413FB" w:rsidP="003618D6">
      <w:pPr>
        <w:pStyle w:val="ListParagraph"/>
        <w:numPr>
          <w:ilvl w:val="0"/>
          <w:numId w:val="21"/>
        </w:numPr>
        <w:tabs>
          <w:tab w:val="left" w:pos="450"/>
        </w:tabs>
        <w:ind w:left="0" w:firstLine="0"/>
        <w:contextualSpacing/>
        <w:jc w:val="both"/>
        <w:rPr>
          <w:lang w:val="en-GB"/>
        </w:rPr>
      </w:pPr>
      <w:r w:rsidRPr="00E8394D">
        <w:rPr>
          <w:lang w:val="en-GB" w:eastAsia="en-IN"/>
        </w:rPr>
        <w:t xml:space="preserve">To address challenges related to environmental protection and conservation, UNDP will continue its partnership with the Government at national and local levels, civil society and development partners to expand </w:t>
      </w:r>
      <w:r w:rsidR="00993AFC">
        <w:rPr>
          <w:lang w:val="en-GB" w:eastAsia="en-IN"/>
        </w:rPr>
        <w:t>the p</w:t>
      </w:r>
      <w:r w:rsidRPr="00E8394D">
        <w:rPr>
          <w:lang w:val="en-GB" w:eastAsia="en-IN"/>
        </w:rPr>
        <w:t xml:space="preserve">rotected </w:t>
      </w:r>
      <w:r w:rsidR="00993AFC">
        <w:rPr>
          <w:lang w:val="en-GB" w:eastAsia="en-IN"/>
        </w:rPr>
        <w:t>a</w:t>
      </w:r>
      <w:r w:rsidRPr="00E8394D">
        <w:rPr>
          <w:lang w:val="en-GB" w:eastAsia="en-IN"/>
        </w:rPr>
        <w:t xml:space="preserve">reas </w:t>
      </w:r>
      <w:r w:rsidR="00993AFC">
        <w:rPr>
          <w:lang w:val="en-GB" w:eastAsia="en-IN"/>
        </w:rPr>
        <w:t>n</w:t>
      </w:r>
      <w:r w:rsidRPr="00E8394D">
        <w:rPr>
          <w:lang w:val="en-GB" w:eastAsia="en-IN"/>
        </w:rPr>
        <w:t xml:space="preserve">etwork, developing legal frameworks on conservation, strengthening institutional capacities and establishing a sustainable financing mechanism to manage protected areas. </w:t>
      </w:r>
    </w:p>
    <w:p w14:paraId="40AF648A" w14:textId="77777777" w:rsidR="00711D41" w:rsidRPr="00E8394D" w:rsidRDefault="00711D41" w:rsidP="003618D6">
      <w:pPr>
        <w:pStyle w:val="ListParagraph"/>
        <w:tabs>
          <w:tab w:val="left" w:pos="450"/>
        </w:tabs>
        <w:ind w:left="0"/>
        <w:jc w:val="both"/>
        <w:rPr>
          <w:sz w:val="12"/>
          <w:szCs w:val="12"/>
          <w:lang w:val="en-GB"/>
        </w:rPr>
      </w:pPr>
    </w:p>
    <w:p w14:paraId="23B0DCB9" w14:textId="77777777" w:rsidR="00280731" w:rsidRPr="00E8394D" w:rsidRDefault="009413FB" w:rsidP="003618D6">
      <w:pPr>
        <w:pStyle w:val="ListParagraph"/>
        <w:numPr>
          <w:ilvl w:val="0"/>
          <w:numId w:val="21"/>
        </w:numPr>
        <w:tabs>
          <w:tab w:val="left" w:pos="450"/>
        </w:tabs>
        <w:ind w:left="0" w:firstLine="0"/>
        <w:contextualSpacing/>
        <w:jc w:val="both"/>
        <w:rPr>
          <w:lang w:val="en-GB"/>
        </w:rPr>
      </w:pPr>
      <w:r w:rsidRPr="00E8394D">
        <w:rPr>
          <w:lang w:val="en-GB"/>
        </w:rPr>
        <w:t xml:space="preserve">UNDP will </w:t>
      </w:r>
      <w:r w:rsidR="00932EE5">
        <w:rPr>
          <w:lang w:val="en-GB"/>
        </w:rPr>
        <w:t xml:space="preserve">help </w:t>
      </w:r>
      <w:r w:rsidRPr="00E8394D">
        <w:rPr>
          <w:lang w:val="en-GB"/>
        </w:rPr>
        <w:t xml:space="preserve">the </w:t>
      </w:r>
      <w:r w:rsidR="00870468">
        <w:rPr>
          <w:lang w:val="en-GB"/>
        </w:rPr>
        <w:t>G</w:t>
      </w:r>
      <w:r w:rsidRPr="00E8394D">
        <w:rPr>
          <w:lang w:val="en-GB"/>
        </w:rPr>
        <w:t xml:space="preserve">overnment benefit from a </w:t>
      </w:r>
      <w:r w:rsidR="008A4488">
        <w:rPr>
          <w:lang w:val="en-GB"/>
        </w:rPr>
        <w:t xml:space="preserve">potential international REDD+ </w:t>
      </w:r>
      <w:r w:rsidRPr="00E8394D">
        <w:rPr>
          <w:lang w:val="en-GB"/>
        </w:rPr>
        <w:t xml:space="preserve">financial mechanism </w:t>
      </w:r>
      <w:r w:rsidR="00932EE5">
        <w:rPr>
          <w:lang w:val="en-GB"/>
        </w:rPr>
        <w:t xml:space="preserve">tied </w:t>
      </w:r>
      <w:r w:rsidRPr="00E8394D">
        <w:rPr>
          <w:lang w:val="en-GB"/>
        </w:rPr>
        <w:t xml:space="preserve">to reducing greenhouse gas </w:t>
      </w:r>
      <w:r w:rsidR="002F3077" w:rsidRPr="00E8394D">
        <w:rPr>
          <w:lang w:val="en-GB"/>
        </w:rPr>
        <w:t xml:space="preserve">emission </w:t>
      </w:r>
      <w:r w:rsidRPr="00E8394D">
        <w:rPr>
          <w:lang w:val="en-GB"/>
        </w:rPr>
        <w:t xml:space="preserve">from the forest sector. UNDP will prioritize its efforts </w:t>
      </w:r>
      <w:r w:rsidR="00870468">
        <w:rPr>
          <w:lang w:val="en-GB"/>
        </w:rPr>
        <w:t>i</w:t>
      </w:r>
      <w:r w:rsidRPr="00E8394D">
        <w:rPr>
          <w:lang w:val="en-GB"/>
        </w:rPr>
        <w:t xml:space="preserve">n </w:t>
      </w:r>
      <w:r w:rsidR="00870468">
        <w:rPr>
          <w:rStyle w:val="tgc"/>
          <w:lang w:val="en-GB"/>
        </w:rPr>
        <w:t>r</w:t>
      </w:r>
      <w:r w:rsidR="00AD5902" w:rsidRPr="00E8394D">
        <w:rPr>
          <w:rStyle w:val="tgc"/>
          <w:lang w:val="en-GB"/>
        </w:rPr>
        <w:t xml:space="preserve">educing </w:t>
      </w:r>
      <w:r w:rsidR="00870468">
        <w:rPr>
          <w:rStyle w:val="tgc"/>
          <w:lang w:val="en-GB"/>
        </w:rPr>
        <w:t>e</w:t>
      </w:r>
      <w:r w:rsidR="00AD5902" w:rsidRPr="00E8394D">
        <w:rPr>
          <w:rStyle w:val="tgc"/>
          <w:lang w:val="en-GB"/>
        </w:rPr>
        <w:t>missions</w:t>
      </w:r>
      <w:r w:rsidR="00870468">
        <w:rPr>
          <w:rStyle w:val="tgc"/>
          <w:lang w:val="en-GB"/>
        </w:rPr>
        <w:t xml:space="preserve"> </w:t>
      </w:r>
      <w:r w:rsidR="00AD5902" w:rsidRPr="00E8394D">
        <w:rPr>
          <w:rStyle w:val="tgc"/>
          <w:lang w:val="en-GB"/>
        </w:rPr>
        <w:t xml:space="preserve">from </w:t>
      </w:r>
      <w:r w:rsidR="00870468">
        <w:rPr>
          <w:rStyle w:val="tgc"/>
          <w:lang w:val="en-GB"/>
        </w:rPr>
        <w:t>d</w:t>
      </w:r>
      <w:r w:rsidR="00AD5902" w:rsidRPr="00E8394D">
        <w:rPr>
          <w:rStyle w:val="tgc"/>
          <w:lang w:val="en-GB"/>
        </w:rPr>
        <w:t xml:space="preserve">eforestation and forest </w:t>
      </w:r>
      <w:r w:rsidR="00870468">
        <w:rPr>
          <w:rStyle w:val="tgc"/>
          <w:lang w:val="en-GB"/>
        </w:rPr>
        <w:t>d</w:t>
      </w:r>
      <w:r w:rsidR="00AD5902" w:rsidRPr="00E8394D">
        <w:rPr>
          <w:rStyle w:val="tgc"/>
          <w:lang w:val="en-GB"/>
        </w:rPr>
        <w:t>egradation</w:t>
      </w:r>
      <w:r w:rsidR="00AD5902" w:rsidRPr="00E8394D">
        <w:rPr>
          <w:rStyle w:val="tgc"/>
          <w:rFonts w:ascii="Arial" w:hAnsi="Arial" w:cs="Arial"/>
          <w:lang w:val="en-GB"/>
        </w:rPr>
        <w:t xml:space="preserve"> </w:t>
      </w:r>
      <w:r w:rsidR="00A86706" w:rsidRPr="00E8394D">
        <w:rPr>
          <w:rStyle w:val="tgc"/>
          <w:rFonts w:ascii="Arial" w:hAnsi="Arial" w:cs="Arial"/>
          <w:lang w:val="en-GB"/>
        </w:rPr>
        <w:t>(</w:t>
      </w:r>
      <w:r w:rsidRPr="00E8394D">
        <w:rPr>
          <w:lang w:val="en-GB"/>
        </w:rPr>
        <w:t>REDD+</w:t>
      </w:r>
      <w:r w:rsidR="00A86706" w:rsidRPr="00E8394D">
        <w:rPr>
          <w:lang w:val="en-GB"/>
        </w:rPr>
        <w:t>)</w:t>
      </w:r>
      <w:r w:rsidRPr="00E8394D">
        <w:rPr>
          <w:lang w:val="en-GB"/>
        </w:rPr>
        <w:t xml:space="preserve"> to guide decision-making in the development of a </w:t>
      </w:r>
      <w:r w:rsidR="00870468">
        <w:rPr>
          <w:lang w:val="en-GB"/>
        </w:rPr>
        <w:t>n</w:t>
      </w:r>
      <w:r w:rsidRPr="00E8394D">
        <w:rPr>
          <w:lang w:val="en-GB"/>
        </w:rPr>
        <w:t xml:space="preserve">ational </w:t>
      </w:r>
      <w:r w:rsidR="00870468">
        <w:rPr>
          <w:lang w:val="en-GB"/>
        </w:rPr>
        <w:t>s</w:t>
      </w:r>
      <w:r w:rsidRPr="00E8394D">
        <w:rPr>
          <w:lang w:val="en-GB"/>
        </w:rPr>
        <w:t>trategy and its implementation</w:t>
      </w:r>
      <w:r w:rsidR="00932EE5">
        <w:rPr>
          <w:lang w:val="en-GB"/>
        </w:rPr>
        <w:t xml:space="preserve">, </w:t>
      </w:r>
      <w:r w:rsidRPr="00E8394D">
        <w:rPr>
          <w:lang w:val="en-GB"/>
        </w:rPr>
        <w:t xml:space="preserve">based on the nature of the country’s forests and grounded in national development goals. </w:t>
      </w:r>
      <w:r w:rsidRPr="00E8394D">
        <w:rPr>
          <w:bCs/>
          <w:lang w:val="en-GB"/>
        </w:rPr>
        <w:t xml:space="preserve">REDD+ will adapt to and work within local cultural contexts. </w:t>
      </w:r>
    </w:p>
    <w:p w14:paraId="53106FD6" w14:textId="77777777" w:rsidR="00280731" w:rsidRPr="00E8394D" w:rsidRDefault="00280731" w:rsidP="003618D6">
      <w:pPr>
        <w:pStyle w:val="ListParagraph"/>
        <w:tabs>
          <w:tab w:val="left" w:pos="450"/>
        </w:tabs>
        <w:rPr>
          <w:lang w:val="en-GB"/>
        </w:rPr>
      </w:pPr>
    </w:p>
    <w:p w14:paraId="389F3B49" w14:textId="77777777" w:rsidR="00280731" w:rsidRPr="00E8394D" w:rsidRDefault="00280731" w:rsidP="00350E45">
      <w:pPr>
        <w:pStyle w:val="ListParagraph"/>
        <w:numPr>
          <w:ilvl w:val="0"/>
          <w:numId w:val="16"/>
        </w:numPr>
        <w:tabs>
          <w:tab w:val="left" w:pos="450"/>
        </w:tabs>
        <w:ind w:left="0" w:hanging="450"/>
        <w:rPr>
          <w:b/>
          <w:sz w:val="24"/>
          <w:szCs w:val="24"/>
          <w:lang w:val="en-GB"/>
        </w:rPr>
      </w:pPr>
      <w:r w:rsidRPr="00E8394D">
        <w:rPr>
          <w:b/>
          <w:sz w:val="24"/>
          <w:szCs w:val="24"/>
          <w:lang w:val="en-GB"/>
        </w:rPr>
        <w:t xml:space="preserve">Programme and </w:t>
      </w:r>
      <w:r w:rsidR="00350E45" w:rsidRPr="00E8394D">
        <w:rPr>
          <w:b/>
          <w:sz w:val="24"/>
          <w:szCs w:val="24"/>
          <w:lang w:val="en-GB"/>
        </w:rPr>
        <w:t>r</w:t>
      </w:r>
      <w:r w:rsidRPr="00E8394D">
        <w:rPr>
          <w:b/>
          <w:sz w:val="24"/>
          <w:szCs w:val="24"/>
          <w:lang w:val="en-GB"/>
        </w:rPr>
        <w:t xml:space="preserve">isk </w:t>
      </w:r>
      <w:r w:rsidR="00350E45" w:rsidRPr="00E8394D">
        <w:rPr>
          <w:b/>
          <w:sz w:val="24"/>
          <w:szCs w:val="24"/>
          <w:lang w:val="en-GB"/>
        </w:rPr>
        <w:t>m</w:t>
      </w:r>
      <w:r w:rsidRPr="00E8394D">
        <w:rPr>
          <w:b/>
          <w:sz w:val="24"/>
          <w:szCs w:val="24"/>
          <w:lang w:val="en-GB"/>
        </w:rPr>
        <w:t>anagement</w:t>
      </w:r>
    </w:p>
    <w:p w14:paraId="4FB2317E" w14:textId="77777777" w:rsidR="00280731" w:rsidRPr="00E8394D" w:rsidRDefault="00280731" w:rsidP="003618D6">
      <w:pPr>
        <w:pStyle w:val="ListParagraph"/>
        <w:tabs>
          <w:tab w:val="left" w:pos="450"/>
        </w:tabs>
        <w:rPr>
          <w:lang w:val="en-GB"/>
        </w:rPr>
      </w:pPr>
    </w:p>
    <w:p w14:paraId="02217DAD" w14:textId="12C6581F" w:rsidR="00280731" w:rsidRPr="00E8394D" w:rsidRDefault="00280731" w:rsidP="00350E45">
      <w:pPr>
        <w:pStyle w:val="ListParagraph"/>
        <w:numPr>
          <w:ilvl w:val="0"/>
          <w:numId w:val="21"/>
        </w:numPr>
        <w:tabs>
          <w:tab w:val="left" w:pos="450"/>
        </w:tabs>
        <w:spacing w:after="120"/>
        <w:ind w:left="0" w:firstLine="0"/>
        <w:contextualSpacing/>
        <w:jc w:val="both"/>
        <w:rPr>
          <w:lang w:val="en-GB"/>
        </w:rPr>
      </w:pPr>
      <w:r w:rsidRPr="00E8394D">
        <w:rPr>
          <w:lang w:val="en-GB"/>
        </w:rPr>
        <w:t>T</w:t>
      </w:r>
      <w:r w:rsidR="003821C8" w:rsidRPr="00E8394D">
        <w:rPr>
          <w:lang w:val="en-GB"/>
        </w:rPr>
        <w:t xml:space="preserve">his country programme document outlines </w:t>
      </w:r>
      <w:r w:rsidR="003243BC">
        <w:rPr>
          <w:lang w:val="en-GB"/>
        </w:rPr>
        <w:t xml:space="preserve">the </w:t>
      </w:r>
      <w:r w:rsidR="003821C8" w:rsidRPr="00E8394D">
        <w:rPr>
          <w:lang w:val="en-GB"/>
        </w:rPr>
        <w:t>UNDP</w:t>
      </w:r>
      <w:r w:rsidR="00560888" w:rsidRPr="00E8394D">
        <w:rPr>
          <w:lang w:val="en-GB"/>
        </w:rPr>
        <w:t xml:space="preserve"> contribution</w:t>
      </w:r>
      <w:r w:rsidR="003821C8" w:rsidRPr="00E8394D">
        <w:rPr>
          <w:lang w:val="en-GB"/>
        </w:rPr>
        <w:t xml:space="preserve"> to national results and serves as the primary unit of accountability to the Executive Board for results alignment and resources assigned to the programme at country level. Accountabilities of managers at the country, regional and headquarters levels with respect to country programmes are prescribed in the </w:t>
      </w:r>
      <w:r w:rsidR="00D11244" w:rsidRPr="00E8394D">
        <w:rPr>
          <w:lang w:val="en-GB"/>
        </w:rPr>
        <w:t xml:space="preserve">organization’s </w:t>
      </w:r>
      <w:r w:rsidR="005318F7">
        <w:rPr>
          <w:lang w:val="en-GB"/>
        </w:rPr>
        <w:t>p</w:t>
      </w:r>
      <w:r w:rsidR="003821C8" w:rsidRPr="00E8394D">
        <w:rPr>
          <w:lang w:val="en-GB"/>
        </w:rPr>
        <w:t xml:space="preserve">rogramme and </w:t>
      </w:r>
      <w:r w:rsidR="005318F7">
        <w:rPr>
          <w:lang w:val="en-GB"/>
        </w:rPr>
        <w:t>o</w:t>
      </w:r>
      <w:r w:rsidR="003821C8" w:rsidRPr="00E8394D">
        <w:rPr>
          <w:lang w:val="en-GB"/>
        </w:rPr>
        <w:t xml:space="preserve">perations </w:t>
      </w:r>
      <w:r w:rsidR="005318F7">
        <w:rPr>
          <w:lang w:val="en-GB"/>
        </w:rPr>
        <w:t>p</w:t>
      </w:r>
      <w:r w:rsidR="003821C8" w:rsidRPr="00E8394D">
        <w:rPr>
          <w:lang w:val="en-GB"/>
        </w:rPr>
        <w:t xml:space="preserve">olicies and </w:t>
      </w:r>
      <w:r w:rsidR="005318F7">
        <w:rPr>
          <w:lang w:val="en-GB"/>
        </w:rPr>
        <w:t>p</w:t>
      </w:r>
      <w:r w:rsidR="003821C8" w:rsidRPr="00E8394D">
        <w:rPr>
          <w:lang w:val="en-GB"/>
        </w:rPr>
        <w:t xml:space="preserve">rocedures and the </w:t>
      </w:r>
      <w:r w:rsidR="005318F7">
        <w:rPr>
          <w:lang w:val="en-GB"/>
        </w:rPr>
        <w:t>i</w:t>
      </w:r>
      <w:r w:rsidR="003821C8" w:rsidRPr="00E8394D">
        <w:rPr>
          <w:lang w:val="en-GB"/>
        </w:rPr>
        <w:t xml:space="preserve">nternal </w:t>
      </w:r>
      <w:r w:rsidR="005318F7">
        <w:rPr>
          <w:lang w:val="en-GB"/>
        </w:rPr>
        <w:t>c</w:t>
      </w:r>
      <w:r w:rsidR="003821C8" w:rsidRPr="00E8394D">
        <w:rPr>
          <w:lang w:val="en-GB"/>
        </w:rPr>
        <w:t xml:space="preserve">ontrols </w:t>
      </w:r>
      <w:r w:rsidR="005318F7">
        <w:rPr>
          <w:lang w:val="en-GB"/>
        </w:rPr>
        <w:t>f</w:t>
      </w:r>
      <w:r w:rsidR="003821C8" w:rsidRPr="00E8394D">
        <w:rPr>
          <w:lang w:val="en-GB"/>
        </w:rPr>
        <w:t>ramework.</w:t>
      </w:r>
      <w:r w:rsidR="00D11244" w:rsidRPr="00E8394D">
        <w:rPr>
          <w:lang w:val="en-GB"/>
        </w:rPr>
        <w:t xml:space="preserve"> In accordance with</w:t>
      </w:r>
      <w:r w:rsidR="00AD01D0">
        <w:rPr>
          <w:lang w:val="en-GB"/>
        </w:rPr>
        <w:t xml:space="preserve"> Executive Board decision 2013/9</w:t>
      </w:r>
      <w:r w:rsidR="00D11244" w:rsidRPr="00E8394D">
        <w:rPr>
          <w:lang w:val="en-GB"/>
        </w:rPr>
        <w:t xml:space="preserve">, all direct costs associated with project implementation </w:t>
      </w:r>
      <w:r w:rsidR="00416BBC">
        <w:rPr>
          <w:lang w:val="en-GB"/>
        </w:rPr>
        <w:t xml:space="preserve">will </w:t>
      </w:r>
      <w:r w:rsidR="00D11244" w:rsidRPr="00E8394D">
        <w:rPr>
          <w:lang w:val="en-GB"/>
        </w:rPr>
        <w:t>be charged to the concerned projects.</w:t>
      </w:r>
    </w:p>
    <w:p w14:paraId="59DF1396" w14:textId="77777777" w:rsidR="00280731" w:rsidRPr="00E8394D" w:rsidRDefault="00280731" w:rsidP="003618D6">
      <w:pPr>
        <w:pStyle w:val="ListParagraph"/>
        <w:tabs>
          <w:tab w:val="left" w:pos="450"/>
        </w:tabs>
        <w:rPr>
          <w:sz w:val="12"/>
          <w:szCs w:val="12"/>
          <w:lang w:val="en-GB"/>
        </w:rPr>
      </w:pPr>
    </w:p>
    <w:p w14:paraId="5DFF551B" w14:textId="77777777" w:rsidR="00280731" w:rsidRPr="00E8394D" w:rsidRDefault="00DA2363" w:rsidP="003618D6">
      <w:pPr>
        <w:pStyle w:val="ListParagraph"/>
        <w:numPr>
          <w:ilvl w:val="0"/>
          <w:numId w:val="21"/>
        </w:numPr>
        <w:tabs>
          <w:tab w:val="left" w:pos="450"/>
        </w:tabs>
        <w:ind w:left="0" w:firstLine="0"/>
        <w:contextualSpacing/>
        <w:jc w:val="both"/>
        <w:rPr>
          <w:lang w:val="en-GB"/>
        </w:rPr>
      </w:pPr>
      <w:r w:rsidRPr="00E8394D">
        <w:rPr>
          <w:lang w:val="en-GB"/>
        </w:rPr>
        <w:t>The majority of the country programme will be nationally executed</w:t>
      </w:r>
      <w:r w:rsidR="0028119E" w:rsidRPr="00E8394D">
        <w:rPr>
          <w:lang w:val="en-GB"/>
        </w:rPr>
        <w:t>, with some projects directly executed by UNDP.</w:t>
      </w:r>
      <w:r w:rsidRPr="00E8394D">
        <w:rPr>
          <w:lang w:val="en-GB"/>
        </w:rPr>
        <w:t xml:space="preserve"> </w:t>
      </w:r>
      <w:r w:rsidR="00416BBC">
        <w:rPr>
          <w:lang w:val="en-GB"/>
        </w:rPr>
        <w:t>It will use the h</w:t>
      </w:r>
      <w:r w:rsidRPr="00E8394D">
        <w:rPr>
          <w:lang w:val="en-GB"/>
        </w:rPr>
        <w:t xml:space="preserve">armonized </w:t>
      </w:r>
      <w:r w:rsidR="00416BBC">
        <w:rPr>
          <w:lang w:val="en-GB"/>
        </w:rPr>
        <w:t>a</w:t>
      </w:r>
      <w:r w:rsidRPr="00E8394D">
        <w:rPr>
          <w:lang w:val="en-GB"/>
        </w:rPr>
        <w:t xml:space="preserve">pproach to </w:t>
      </w:r>
      <w:r w:rsidR="00416BBC">
        <w:rPr>
          <w:lang w:val="en-GB"/>
        </w:rPr>
        <w:t>c</w:t>
      </w:r>
      <w:r w:rsidRPr="00E8394D">
        <w:rPr>
          <w:lang w:val="en-GB"/>
        </w:rPr>
        <w:t xml:space="preserve">ash </w:t>
      </w:r>
      <w:r w:rsidR="00416BBC">
        <w:rPr>
          <w:lang w:val="en-GB"/>
        </w:rPr>
        <w:t>t</w:t>
      </w:r>
      <w:r w:rsidRPr="00E8394D">
        <w:rPr>
          <w:lang w:val="en-GB"/>
        </w:rPr>
        <w:t>ransfers in a coordinated fashion with other U</w:t>
      </w:r>
      <w:r w:rsidR="00416BBC">
        <w:rPr>
          <w:lang w:val="en-GB"/>
        </w:rPr>
        <w:t xml:space="preserve">nited </w:t>
      </w:r>
      <w:r w:rsidRPr="00E8394D">
        <w:rPr>
          <w:lang w:val="en-GB"/>
        </w:rPr>
        <w:t>N</w:t>
      </w:r>
      <w:r w:rsidR="00416BBC">
        <w:rPr>
          <w:lang w:val="en-GB"/>
        </w:rPr>
        <w:t>ations</w:t>
      </w:r>
      <w:r w:rsidRPr="00E8394D">
        <w:rPr>
          <w:lang w:val="en-GB"/>
        </w:rPr>
        <w:t xml:space="preserve"> </w:t>
      </w:r>
      <w:r w:rsidR="00416BBC">
        <w:rPr>
          <w:lang w:val="en-GB"/>
        </w:rPr>
        <w:t>organizations</w:t>
      </w:r>
      <w:r w:rsidR="00416BBC" w:rsidRPr="00E8394D">
        <w:rPr>
          <w:lang w:val="en-GB"/>
        </w:rPr>
        <w:t xml:space="preserve"> </w:t>
      </w:r>
      <w:r w:rsidRPr="00E8394D">
        <w:rPr>
          <w:lang w:val="en-GB"/>
        </w:rPr>
        <w:t xml:space="preserve">to manage financial risks. </w:t>
      </w:r>
      <w:r w:rsidRPr="00E8394D">
        <w:rPr>
          <w:iCs/>
          <w:lang w:val="en-GB"/>
        </w:rPr>
        <w:t xml:space="preserve">Cash transfer modalities, size of disbursements, and scope and frequency of assurance activities may be revised </w:t>
      </w:r>
      <w:r w:rsidR="004D7646" w:rsidRPr="00E8394D">
        <w:rPr>
          <w:iCs/>
          <w:lang w:val="en-GB"/>
        </w:rPr>
        <w:t xml:space="preserve">during </w:t>
      </w:r>
      <w:r w:rsidRPr="00E8394D">
        <w:rPr>
          <w:iCs/>
          <w:lang w:val="en-GB"/>
        </w:rPr>
        <w:t>programme implementation, based on the findings of programme monitoring, expenditure monitoring and reporting, and audits.</w:t>
      </w:r>
    </w:p>
    <w:p w14:paraId="2770E811" w14:textId="77777777" w:rsidR="00280731" w:rsidRPr="00E8394D" w:rsidRDefault="00280731" w:rsidP="003618D6">
      <w:pPr>
        <w:pStyle w:val="ListParagraph"/>
        <w:tabs>
          <w:tab w:val="left" w:pos="450"/>
        </w:tabs>
        <w:rPr>
          <w:sz w:val="12"/>
          <w:szCs w:val="12"/>
          <w:lang w:val="en-GB"/>
        </w:rPr>
      </w:pPr>
    </w:p>
    <w:p w14:paraId="3183A64C" w14:textId="77777777" w:rsidR="00280731" w:rsidRPr="00E8394D" w:rsidRDefault="00560888" w:rsidP="003618D6">
      <w:pPr>
        <w:pStyle w:val="ListParagraph"/>
        <w:numPr>
          <w:ilvl w:val="0"/>
          <w:numId w:val="21"/>
        </w:numPr>
        <w:tabs>
          <w:tab w:val="left" w:pos="450"/>
        </w:tabs>
        <w:ind w:left="0" w:firstLine="0"/>
        <w:contextualSpacing/>
        <w:jc w:val="both"/>
        <w:rPr>
          <w:lang w:val="en-GB"/>
        </w:rPr>
      </w:pPr>
      <w:r w:rsidRPr="00E8394D">
        <w:rPr>
          <w:lang w:val="en-GB"/>
        </w:rPr>
        <w:t>The decline in grant</w:t>
      </w:r>
      <w:r w:rsidR="00416BBC">
        <w:rPr>
          <w:lang w:val="en-GB"/>
        </w:rPr>
        <w:t>-</w:t>
      </w:r>
      <w:r w:rsidR="007E6A9B" w:rsidRPr="00E8394D">
        <w:rPr>
          <w:lang w:val="en-GB"/>
        </w:rPr>
        <w:t>based</w:t>
      </w:r>
      <w:r w:rsidRPr="00E8394D">
        <w:rPr>
          <w:lang w:val="en-GB"/>
        </w:rPr>
        <w:t xml:space="preserve"> official development assistance necessitates greater national responsibility for financing development using domestic resources, </w:t>
      </w:r>
      <w:r w:rsidR="00694EC3" w:rsidRPr="00E8394D">
        <w:rPr>
          <w:lang w:val="en-GB"/>
        </w:rPr>
        <w:t xml:space="preserve">though this will be a challenge in </w:t>
      </w:r>
      <w:r w:rsidR="00416BBC">
        <w:rPr>
          <w:lang w:val="en-GB"/>
        </w:rPr>
        <w:t>Papua New Guinea</w:t>
      </w:r>
      <w:r w:rsidR="00694EC3" w:rsidRPr="00E8394D">
        <w:rPr>
          <w:lang w:val="en-GB"/>
        </w:rPr>
        <w:t>.</w:t>
      </w:r>
      <w:r w:rsidRPr="00E8394D">
        <w:rPr>
          <w:lang w:val="en-GB"/>
        </w:rPr>
        <w:t xml:space="preserve"> In this context, UNDP will expand partnerships with the private sector</w:t>
      </w:r>
      <w:r w:rsidR="00694EC3" w:rsidRPr="00E8394D">
        <w:rPr>
          <w:lang w:val="en-GB"/>
        </w:rPr>
        <w:t>, non-traditional partners</w:t>
      </w:r>
      <w:r w:rsidRPr="00E8394D">
        <w:rPr>
          <w:lang w:val="en-GB"/>
        </w:rPr>
        <w:t xml:space="preserve"> and international financial institutions, investing UNDP regular resources in innovative solutions while leveraging other funding for scaling</w:t>
      </w:r>
      <w:r w:rsidR="00894FE0" w:rsidRPr="00E8394D">
        <w:rPr>
          <w:lang w:val="en-GB"/>
        </w:rPr>
        <w:t>-</w:t>
      </w:r>
      <w:r w:rsidRPr="00E8394D">
        <w:rPr>
          <w:lang w:val="en-GB"/>
        </w:rPr>
        <w:t>up assistance.</w:t>
      </w:r>
      <w:r w:rsidR="00F469D2" w:rsidRPr="00E8394D">
        <w:rPr>
          <w:lang w:val="en-GB"/>
        </w:rPr>
        <w:t xml:space="preserve"> </w:t>
      </w:r>
      <w:r w:rsidR="00AD5256" w:rsidRPr="00E8394D">
        <w:rPr>
          <w:lang w:val="en-GB"/>
        </w:rPr>
        <w:t>U</w:t>
      </w:r>
      <w:r w:rsidR="00F469D2" w:rsidRPr="00E8394D">
        <w:rPr>
          <w:lang w:val="en-GB"/>
        </w:rPr>
        <w:t xml:space="preserve">NDP will convene a </w:t>
      </w:r>
      <w:r w:rsidR="008D6139">
        <w:rPr>
          <w:lang w:val="en-GB"/>
        </w:rPr>
        <w:t>b</w:t>
      </w:r>
      <w:r w:rsidR="00BA1D53" w:rsidRPr="00E8394D">
        <w:rPr>
          <w:lang w:val="en-GB"/>
        </w:rPr>
        <w:t>usiness</w:t>
      </w:r>
      <w:r w:rsidR="00F469D2" w:rsidRPr="00E8394D">
        <w:rPr>
          <w:lang w:val="en-GB"/>
        </w:rPr>
        <w:t xml:space="preserve"> </w:t>
      </w:r>
      <w:r w:rsidR="008D6139">
        <w:rPr>
          <w:lang w:val="en-GB"/>
        </w:rPr>
        <w:t>c</w:t>
      </w:r>
      <w:r w:rsidR="00BA1D53" w:rsidRPr="00E8394D">
        <w:rPr>
          <w:lang w:val="en-GB"/>
        </w:rPr>
        <w:t>oalition</w:t>
      </w:r>
      <w:r w:rsidR="008D6139">
        <w:rPr>
          <w:lang w:val="en-GB"/>
        </w:rPr>
        <w:t>,</w:t>
      </w:r>
      <w:r w:rsidR="00F469D2" w:rsidRPr="00E8394D">
        <w:rPr>
          <w:lang w:val="en-GB"/>
        </w:rPr>
        <w:t xml:space="preserve"> which will coordinate </w:t>
      </w:r>
      <w:r w:rsidR="00AD5256" w:rsidRPr="00E8394D">
        <w:rPr>
          <w:lang w:val="en-GB"/>
        </w:rPr>
        <w:t xml:space="preserve">and leverage </w:t>
      </w:r>
      <w:r w:rsidR="00BA1D53" w:rsidRPr="00E8394D">
        <w:rPr>
          <w:lang w:val="en-GB"/>
        </w:rPr>
        <w:t>financing for SDGs</w:t>
      </w:r>
      <w:r w:rsidR="00694EC3" w:rsidRPr="00E8394D">
        <w:rPr>
          <w:lang w:val="en-GB"/>
        </w:rPr>
        <w:t>.</w:t>
      </w:r>
      <w:r w:rsidR="00F469D2" w:rsidRPr="00E8394D">
        <w:rPr>
          <w:lang w:val="en-GB"/>
        </w:rPr>
        <w:t xml:space="preserve"> </w:t>
      </w:r>
      <w:r w:rsidR="004134CE" w:rsidRPr="00E8394D">
        <w:rPr>
          <w:rFonts w:eastAsiaTheme="minorHAnsi"/>
          <w:lang w:val="en-GB" w:bidi="he-IL"/>
        </w:rPr>
        <w:t xml:space="preserve">UNDP will continue to </w:t>
      </w:r>
      <w:r w:rsidR="004134CE" w:rsidRPr="00E8394D">
        <w:rPr>
          <w:lang w:val="en-GB"/>
        </w:rPr>
        <w:t xml:space="preserve">support the Government in accessing vertical funds for climate change adaptation and mitigation, management of environmental resources and biodiversity. </w:t>
      </w:r>
    </w:p>
    <w:p w14:paraId="228F8E73" w14:textId="77777777" w:rsidR="00280731" w:rsidRPr="00E8394D" w:rsidRDefault="00280731" w:rsidP="003618D6">
      <w:pPr>
        <w:pStyle w:val="ListParagraph"/>
        <w:tabs>
          <w:tab w:val="left" w:pos="450"/>
        </w:tabs>
        <w:rPr>
          <w:sz w:val="12"/>
          <w:szCs w:val="12"/>
          <w:lang w:val="en-GB"/>
        </w:rPr>
      </w:pPr>
    </w:p>
    <w:p w14:paraId="78588746" w14:textId="77777777" w:rsidR="00280731" w:rsidRPr="00E8394D" w:rsidRDefault="005B4D5F" w:rsidP="003618D6">
      <w:pPr>
        <w:pStyle w:val="ListParagraph"/>
        <w:numPr>
          <w:ilvl w:val="0"/>
          <w:numId w:val="21"/>
        </w:numPr>
        <w:tabs>
          <w:tab w:val="left" w:pos="450"/>
        </w:tabs>
        <w:ind w:left="0" w:firstLine="0"/>
        <w:contextualSpacing/>
        <w:jc w:val="both"/>
        <w:rPr>
          <w:lang w:val="en-GB"/>
        </w:rPr>
      </w:pPr>
      <w:r w:rsidRPr="00E8394D">
        <w:rPr>
          <w:lang w:val="en-GB"/>
        </w:rPr>
        <w:t xml:space="preserve">UNDP works on sensitive policy issues, with potential risks to perceptions of its impartiality, one of the organization’s greatest assets. </w:t>
      </w:r>
      <w:r w:rsidR="00A0329C" w:rsidRPr="00E8394D">
        <w:rPr>
          <w:lang w:val="en-GB" w:eastAsia="en-GB"/>
        </w:rPr>
        <w:t xml:space="preserve">There is a risk of delay or inaction on key pillars of the Bougainville Peace Agreement, and uncertainty </w:t>
      </w:r>
      <w:r w:rsidR="00BA1D53" w:rsidRPr="00E8394D">
        <w:rPr>
          <w:lang w:val="en-GB" w:eastAsia="en-GB"/>
        </w:rPr>
        <w:t xml:space="preserve">around the </w:t>
      </w:r>
      <w:r w:rsidR="008D6139">
        <w:rPr>
          <w:lang w:val="en-GB" w:eastAsia="en-GB"/>
        </w:rPr>
        <w:t>r</w:t>
      </w:r>
      <w:r w:rsidR="00BA1D53" w:rsidRPr="00E8394D">
        <w:rPr>
          <w:lang w:val="en-GB" w:eastAsia="en-GB"/>
        </w:rPr>
        <w:t xml:space="preserve">eferendum in 2019. </w:t>
      </w:r>
      <w:r w:rsidRPr="00E8394D">
        <w:rPr>
          <w:lang w:val="en-GB"/>
        </w:rPr>
        <w:t xml:space="preserve">To mitigate this risk, UNDP will </w:t>
      </w:r>
      <w:r w:rsidR="00295F91" w:rsidRPr="00E8394D">
        <w:rPr>
          <w:lang w:val="en-GB"/>
        </w:rPr>
        <w:t xml:space="preserve">collaborate with counterparts to </w:t>
      </w:r>
      <w:r w:rsidRPr="00E8394D">
        <w:rPr>
          <w:lang w:val="en-GB"/>
        </w:rPr>
        <w:t xml:space="preserve">develop and continually adjust its programme-specific risk management strategies based on </w:t>
      </w:r>
      <w:r w:rsidR="008D6139">
        <w:rPr>
          <w:lang w:val="en-GB"/>
        </w:rPr>
        <w:t xml:space="preserve">the </w:t>
      </w:r>
      <w:r w:rsidRPr="00E8394D">
        <w:rPr>
          <w:lang w:val="en-GB"/>
        </w:rPr>
        <w:t xml:space="preserve">institutional context </w:t>
      </w:r>
      <w:r w:rsidR="00A0329C" w:rsidRPr="00E8394D">
        <w:rPr>
          <w:lang w:val="en-GB"/>
        </w:rPr>
        <w:t xml:space="preserve">and conflict </w:t>
      </w:r>
      <w:r w:rsidRPr="00E8394D">
        <w:rPr>
          <w:lang w:val="en-GB"/>
        </w:rPr>
        <w:t>analysis.</w:t>
      </w:r>
    </w:p>
    <w:p w14:paraId="774A7CCA" w14:textId="77777777" w:rsidR="00280731" w:rsidRPr="00E8394D" w:rsidRDefault="00280731" w:rsidP="003618D6">
      <w:pPr>
        <w:pStyle w:val="ListParagraph"/>
        <w:tabs>
          <w:tab w:val="left" w:pos="450"/>
        </w:tabs>
        <w:rPr>
          <w:sz w:val="12"/>
          <w:szCs w:val="12"/>
          <w:lang w:val="en-GB"/>
        </w:rPr>
      </w:pPr>
    </w:p>
    <w:p w14:paraId="7FA25507" w14:textId="77777777" w:rsidR="00280731" w:rsidRPr="00E8394D" w:rsidRDefault="00560888" w:rsidP="003618D6">
      <w:pPr>
        <w:pStyle w:val="ListParagraph"/>
        <w:numPr>
          <w:ilvl w:val="0"/>
          <w:numId w:val="21"/>
        </w:numPr>
        <w:tabs>
          <w:tab w:val="left" w:pos="450"/>
        </w:tabs>
        <w:ind w:left="0" w:firstLine="0"/>
        <w:contextualSpacing/>
        <w:jc w:val="both"/>
        <w:rPr>
          <w:lang w:val="en-GB"/>
        </w:rPr>
      </w:pPr>
      <w:r w:rsidRPr="00E8394D">
        <w:rPr>
          <w:lang w:val="en-GB"/>
        </w:rPr>
        <w:lastRenderedPageBreak/>
        <w:t>The 2017 elections will take place during a period of economic downturn, presenting a risk to political stability</w:t>
      </w:r>
      <w:r w:rsidR="00AD462A" w:rsidRPr="00E8394D">
        <w:rPr>
          <w:lang w:val="en-GB"/>
        </w:rPr>
        <w:t xml:space="preserve">. </w:t>
      </w:r>
      <w:r w:rsidRPr="00E8394D">
        <w:rPr>
          <w:lang w:val="en-GB"/>
        </w:rPr>
        <w:t xml:space="preserve">Changes in government ministers may lead to an uneven policy environment. The </w:t>
      </w:r>
      <w:r w:rsidR="001E0386" w:rsidRPr="00E8394D">
        <w:rPr>
          <w:lang w:val="en-GB"/>
        </w:rPr>
        <w:t xml:space="preserve">APEC </w:t>
      </w:r>
      <w:r w:rsidR="00C258E3">
        <w:rPr>
          <w:lang w:val="en-GB"/>
        </w:rPr>
        <w:t>S</w:t>
      </w:r>
      <w:r w:rsidR="001E0386" w:rsidRPr="00E8394D">
        <w:rPr>
          <w:lang w:val="en-GB"/>
        </w:rPr>
        <w:t>ummit</w:t>
      </w:r>
      <w:r w:rsidR="00C258E3">
        <w:rPr>
          <w:lang w:val="en-GB"/>
        </w:rPr>
        <w:t xml:space="preserve"> </w:t>
      </w:r>
      <w:r w:rsidR="00B16ECA" w:rsidRPr="00E8394D">
        <w:rPr>
          <w:lang w:val="en-GB"/>
        </w:rPr>
        <w:t xml:space="preserve">in </w:t>
      </w:r>
      <w:r w:rsidR="001E0386" w:rsidRPr="00E8394D">
        <w:rPr>
          <w:lang w:val="en-GB"/>
        </w:rPr>
        <w:t>2018</w:t>
      </w:r>
      <w:r w:rsidR="00B16ECA" w:rsidRPr="00E8394D">
        <w:rPr>
          <w:lang w:val="en-GB"/>
        </w:rPr>
        <w:t xml:space="preserve">, </w:t>
      </w:r>
      <w:r w:rsidR="008119B0" w:rsidRPr="00E8394D">
        <w:rPr>
          <w:lang w:val="en-GB"/>
        </w:rPr>
        <w:t>h</w:t>
      </w:r>
      <w:r w:rsidR="007E6A9B" w:rsidRPr="00E8394D">
        <w:rPr>
          <w:lang w:val="en-GB"/>
        </w:rPr>
        <w:t>osted i</w:t>
      </w:r>
      <w:r w:rsidR="008119B0" w:rsidRPr="00E8394D">
        <w:rPr>
          <w:lang w:val="en-GB"/>
        </w:rPr>
        <w:t>n Port Moresby, presents</w:t>
      </w:r>
      <w:r w:rsidR="006217D6" w:rsidRPr="00E8394D">
        <w:rPr>
          <w:lang w:val="en-GB"/>
        </w:rPr>
        <w:t xml:space="preserve"> both</w:t>
      </w:r>
      <w:r w:rsidR="008119B0" w:rsidRPr="00E8394D">
        <w:rPr>
          <w:lang w:val="en-GB"/>
        </w:rPr>
        <w:t xml:space="preserve"> an opportunity for </w:t>
      </w:r>
      <w:r w:rsidR="00C258E3">
        <w:rPr>
          <w:lang w:val="en-GB"/>
        </w:rPr>
        <w:t xml:space="preserve">Papua New Guinea and </w:t>
      </w:r>
      <w:r w:rsidR="008119B0" w:rsidRPr="00E8394D">
        <w:rPr>
          <w:lang w:val="en-GB"/>
        </w:rPr>
        <w:t xml:space="preserve">a risk </w:t>
      </w:r>
      <w:r w:rsidRPr="00E8394D">
        <w:rPr>
          <w:lang w:val="en-GB"/>
        </w:rPr>
        <w:t xml:space="preserve">if </w:t>
      </w:r>
      <w:r w:rsidR="00C258E3">
        <w:rPr>
          <w:lang w:val="en-GB"/>
        </w:rPr>
        <w:t>g</w:t>
      </w:r>
      <w:r w:rsidRPr="00E8394D">
        <w:rPr>
          <w:lang w:val="en-GB"/>
        </w:rPr>
        <w:t xml:space="preserve">overnment development </w:t>
      </w:r>
      <w:r w:rsidR="006217D6" w:rsidRPr="00E8394D">
        <w:rPr>
          <w:lang w:val="en-GB"/>
        </w:rPr>
        <w:t>funds are redirected</w:t>
      </w:r>
      <w:r w:rsidR="00221EED" w:rsidRPr="00E8394D">
        <w:rPr>
          <w:lang w:val="en-GB"/>
        </w:rPr>
        <w:t>.</w:t>
      </w:r>
      <w:r w:rsidR="00A86706" w:rsidRPr="00E8394D">
        <w:rPr>
          <w:lang w:val="en-GB"/>
        </w:rPr>
        <w:t xml:space="preserve"> </w:t>
      </w:r>
      <w:r w:rsidR="003D1B8D" w:rsidRPr="00E8394D">
        <w:rPr>
          <w:lang w:val="en-GB"/>
        </w:rPr>
        <w:t xml:space="preserve">UNDP projects in 2018 and 2019 can deliver activities through </w:t>
      </w:r>
      <w:r w:rsidR="00C258E3">
        <w:rPr>
          <w:lang w:val="en-GB"/>
        </w:rPr>
        <w:t xml:space="preserve">non-governmental organizations (NGOs) and </w:t>
      </w:r>
      <w:r w:rsidR="003D1B8D" w:rsidRPr="00E8394D">
        <w:rPr>
          <w:lang w:val="en-GB"/>
        </w:rPr>
        <w:t>churches</w:t>
      </w:r>
      <w:r w:rsidR="00C258E3">
        <w:rPr>
          <w:lang w:val="en-GB"/>
        </w:rPr>
        <w:t>,</w:t>
      </w:r>
      <w:r w:rsidR="003D1B8D" w:rsidRPr="00E8394D">
        <w:rPr>
          <w:lang w:val="en-GB"/>
        </w:rPr>
        <w:t xml:space="preserve"> and </w:t>
      </w:r>
      <w:r w:rsidR="00C258E3">
        <w:rPr>
          <w:lang w:val="en-GB"/>
        </w:rPr>
        <w:t xml:space="preserve">can channel </w:t>
      </w:r>
      <w:r w:rsidR="003D1B8D" w:rsidRPr="00E8394D">
        <w:rPr>
          <w:lang w:val="en-GB"/>
        </w:rPr>
        <w:t>certain funds to different provinces depending on buy</w:t>
      </w:r>
      <w:r w:rsidR="00C258E3">
        <w:rPr>
          <w:lang w:val="en-GB"/>
        </w:rPr>
        <w:t>-</w:t>
      </w:r>
      <w:r w:rsidR="003D1B8D" w:rsidRPr="00E8394D">
        <w:rPr>
          <w:lang w:val="en-GB"/>
        </w:rPr>
        <w:t xml:space="preserve">in and stability. Climate related funds </w:t>
      </w:r>
      <w:r w:rsidR="00585AAF" w:rsidRPr="00E8394D">
        <w:rPr>
          <w:lang w:val="en-GB"/>
        </w:rPr>
        <w:t xml:space="preserve">are </w:t>
      </w:r>
      <w:r w:rsidR="003D1B8D" w:rsidRPr="00E8394D">
        <w:rPr>
          <w:lang w:val="en-GB"/>
        </w:rPr>
        <w:t>unlikely to be at risk.</w:t>
      </w:r>
    </w:p>
    <w:p w14:paraId="11A4F34B" w14:textId="77777777" w:rsidR="002935AD" w:rsidRPr="00E8394D" w:rsidRDefault="002935AD" w:rsidP="003618D6">
      <w:pPr>
        <w:pStyle w:val="ListParagraph"/>
        <w:tabs>
          <w:tab w:val="left" w:pos="450"/>
        </w:tabs>
        <w:rPr>
          <w:sz w:val="12"/>
          <w:szCs w:val="12"/>
          <w:lang w:val="en-GB"/>
        </w:rPr>
      </w:pPr>
    </w:p>
    <w:p w14:paraId="00164091" w14:textId="77777777" w:rsidR="00277436" w:rsidRDefault="00277436" w:rsidP="00277436">
      <w:pPr>
        <w:pStyle w:val="ListParagraph"/>
        <w:numPr>
          <w:ilvl w:val="0"/>
          <w:numId w:val="21"/>
        </w:numPr>
        <w:tabs>
          <w:tab w:val="left" w:pos="450"/>
        </w:tabs>
        <w:ind w:left="0" w:firstLine="0"/>
        <w:contextualSpacing/>
        <w:jc w:val="both"/>
        <w:rPr>
          <w:lang w:val="en-GB"/>
        </w:rPr>
      </w:pPr>
      <w:r>
        <w:rPr>
          <w:lang w:val="en-GB"/>
        </w:rPr>
        <w:t xml:space="preserve">Papua New Guinea </w:t>
      </w:r>
      <w:r w:rsidRPr="00E8394D">
        <w:rPr>
          <w:lang w:val="en-GB"/>
        </w:rPr>
        <w:t>is frequently impacted by disasters, which often diverts resources from development budgets to emergency responses. UNDP</w:t>
      </w:r>
      <w:r>
        <w:rPr>
          <w:lang w:val="en-GB"/>
        </w:rPr>
        <w:t>,</w:t>
      </w:r>
      <w:r w:rsidRPr="00E8394D">
        <w:rPr>
          <w:lang w:val="en-GB"/>
        </w:rPr>
        <w:t xml:space="preserve"> </w:t>
      </w:r>
      <w:r>
        <w:rPr>
          <w:lang w:val="en-GB"/>
        </w:rPr>
        <w:t xml:space="preserve">together </w:t>
      </w:r>
      <w:r w:rsidRPr="00E8394D">
        <w:rPr>
          <w:lang w:val="en-GB"/>
        </w:rPr>
        <w:t>with U</w:t>
      </w:r>
      <w:r>
        <w:rPr>
          <w:lang w:val="en-GB"/>
        </w:rPr>
        <w:t xml:space="preserve">nited </w:t>
      </w:r>
      <w:r w:rsidRPr="00E8394D">
        <w:rPr>
          <w:lang w:val="en-GB"/>
        </w:rPr>
        <w:t>N</w:t>
      </w:r>
      <w:r>
        <w:rPr>
          <w:lang w:val="en-GB"/>
        </w:rPr>
        <w:t>ations</w:t>
      </w:r>
      <w:r w:rsidRPr="00E8394D">
        <w:rPr>
          <w:lang w:val="en-GB"/>
        </w:rPr>
        <w:t xml:space="preserve"> partners</w:t>
      </w:r>
      <w:r>
        <w:rPr>
          <w:lang w:val="en-GB"/>
        </w:rPr>
        <w:t xml:space="preserve"> and </w:t>
      </w:r>
      <w:r w:rsidRPr="00E8394D">
        <w:rPr>
          <w:lang w:val="en-GB"/>
        </w:rPr>
        <w:t>in consultation with government and community</w:t>
      </w:r>
      <w:r>
        <w:rPr>
          <w:lang w:val="en-GB"/>
        </w:rPr>
        <w:t>-</w:t>
      </w:r>
      <w:r w:rsidRPr="00E8394D">
        <w:rPr>
          <w:lang w:val="en-GB"/>
        </w:rPr>
        <w:t xml:space="preserve">level partners, </w:t>
      </w:r>
      <w:r>
        <w:rPr>
          <w:lang w:val="en-GB"/>
        </w:rPr>
        <w:t xml:space="preserve">will </w:t>
      </w:r>
      <w:r w:rsidR="00881775">
        <w:rPr>
          <w:lang w:val="en-GB"/>
        </w:rPr>
        <w:t xml:space="preserve">develop and continue to update </w:t>
      </w:r>
      <w:r w:rsidR="00874E7B">
        <w:rPr>
          <w:lang w:val="en-GB"/>
        </w:rPr>
        <w:t>j</w:t>
      </w:r>
      <w:r w:rsidRPr="00E8394D">
        <w:rPr>
          <w:lang w:val="en-GB"/>
        </w:rPr>
        <w:t xml:space="preserve">oint </w:t>
      </w:r>
      <w:r>
        <w:rPr>
          <w:lang w:val="en-GB"/>
        </w:rPr>
        <w:t xml:space="preserve">disaster preparedness and </w:t>
      </w:r>
      <w:r w:rsidRPr="0043128F">
        <w:rPr>
          <w:lang w:val="en-GB"/>
        </w:rPr>
        <w:t>business continuity plan</w:t>
      </w:r>
      <w:r>
        <w:rPr>
          <w:lang w:val="en-GB"/>
        </w:rPr>
        <w:t>s</w:t>
      </w:r>
      <w:r w:rsidRPr="00E8394D">
        <w:rPr>
          <w:b/>
          <w:i/>
          <w:lang w:val="en-GB"/>
        </w:rPr>
        <w:t xml:space="preserve">, </w:t>
      </w:r>
      <w:r w:rsidRPr="00E8394D">
        <w:rPr>
          <w:lang w:val="en-GB"/>
        </w:rPr>
        <w:t>relying on different modalities, partners and geographical areas for uninterrupted delivery of support.</w:t>
      </w:r>
      <w:r w:rsidRPr="00E8394D">
        <w:rPr>
          <w:iCs/>
          <w:lang w:val="en-GB"/>
        </w:rPr>
        <w:t xml:space="preserve"> </w:t>
      </w:r>
      <w:r>
        <w:rPr>
          <w:iCs/>
          <w:lang w:val="en-GB"/>
        </w:rPr>
        <w:t xml:space="preserve">This will include </w:t>
      </w:r>
      <w:r w:rsidR="00874E7B">
        <w:rPr>
          <w:iCs/>
          <w:lang w:val="en-GB"/>
        </w:rPr>
        <w:t xml:space="preserve">risk management </w:t>
      </w:r>
      <w:r w:rsidRPr="00E8394D">
        <w:rPr>
          <w:lang w:val="en-GB"/>
        </w:rPr>
        <w:t>strategies that reduce impact on programmes</w:t>
      </w:r>
      <w:r>
        <w:rPr>
          <w:lang w:val="en-GB"/>
        </w:rPr>
        <w:t>, as well as re-programming options for the ongoing initiatives</w:t>
      </w:r>
      <w:r w:rsidRPr="00E8394D">
        <w:rPr>
          <w:lang w:val="en-GB"/>
        </w:rPr>
        <w:t>.</w:t>
      </w:r>
    </w:p>
    <w:p w14:paraId="70B7B69E" w14:textId="77777777" w:rsidR="00277436" w:rsidRPr="00277436" w:rsidRDefault="00277436" w:rsidP="00277436">
      <w:pPr>
        <w:pStyle w:val="ListParagraph"/>
        <w:rPr>
          <w:lang w:val="en-GB"/>
        </w:rPr>
      </w:pPr>
    </w:p>
    <w:p w14:paraId="52E5B13A" w14:textId="77777777" w:rsidR="00EE2F5D" w:rsidRPr="00277436" w:rsidRDefault="00EE2F5D" w:rsidP="00277436">
      <w:pPr>
        <w:pStyle w:val="ListParagraph"/>
        <w:numPr>
          <w:ilvl w:val="0"/>
          <w:numId w:val="21"/>
        </w:numPr>
        <w:tabs>
          <w:tab w:val="left" w:pos="450"/>
        </w:tabs>
        <w:ind w:left="0" w:firstLine="0"/>
        <w:contextualSpacing/>
        <w:jc w:val="both"/>
        <w:rPr>
          <w:lang w:val="en-GB"/>
        </w:rPr>
      </w:pPr>
      <w:r w:rsidRPr="00277436">
        <w:rPr>
          <w:lang w:val="en-GB"/>
        </w:rPr>
        <w:t xml:space="preserve">In partnership with </w:t>
      </w:r>
      <w:r w:rsidR="00CC5547" w:rsidRPr="00277436">
        <w:rPr>
          <w:lang w:val="en-GB"/>
        </w:rPr>
        <w:t xml:space="preserve">the United Nations </w:t>
      </w:r>
      <w:r w:rsidR="0044117D" w:rsidRPr="00277436">
        <w:rPr>
          <w:lang w:val="en-GB"/>
        </w:rPr>
        <w:t>Department of Safety and Security (</w:t>
      </w:r>
      <w:r w:rsidRPr="00277436">
        <w:rPr>
          <w:lang w:val="en-GB"/>
        </w:rPr>
        <w:t>UNDSS</w:t>
      </w:r>
      <w:r w:rsidR="0044117D" w:rsidRPr="00277436">
        <w:rPr>
          <w:lang w:val="en-GB"/>
        </w:rPr>
        <w:t>)</w:t>
      </w:r>
      <w:r w:rsidRPr="00277436">
        <w:rPr>
          <w:lang w:val="en-GB"/>
        </w:rPr>
        <w:t xml:space="preserve"> and the U</w:t>
      </w:r>
      <w:r w:rsidR="0044117D" w:rsidRPr="00277436">
        <w:rPr>
          <w:lang w:val="en-GB"/>
        </w:rPr>
        <w:t xml:space="preserve">nited </w:t>
      </w:r>
      <w:r w:rsidRPr="00277436">
        <w:rPr>
          <w:lang w:val="en-GB"/>
        </w:rPr>
        <w:t>N</w:t>
      </w:r>
      <w:r w:rsidR="0044117D" w:rsidRPr="00277436">
        <w:rPr>
          <w:lang w:val="en-GB"/>
        </w:rPr>
        <w:t>ations</w:t>
      </w:r>
      <w:r w:rsidRPr="00277436">
        <w:rPr>
          <w:lang w:val="en-GB"/>
        </w:rPr>
        <w:t xml:space="preserve"> </w:t>
      </w:r>
      <w:r w:rsidR="0044117D" w:rsidRPr="00277436">
        <w:rPr>
          <w:lang w:val="en-GB"/>
        </w:rPr>
        <w:t>c</w:t>
      </w:r>
      <w:r w:rsidRPr="00277436">
        <w:rPr>
          <w:lang w:val="en-GB"/>
        </w:rPr>
        <w:t xml:space="preserve">ountry team, </w:t>
      </w:r>
      <w:r w:rsidR="0044117D" w:rsidRPr="00277436">
        <w:rPr>
          <w:lang w:val="en-GB"/>
        </w:rPr>
        <w:t xml:space="preserve">UNDP will closely monitor </w:t>
      </w:r>
      <w:r w:rsidRPr="00277436">
        <w:rPr>
          <w:lang w:val="en-GB"/>
        </w:rPr>
        <w:t xml:space="preserve">safety and security issues </w:t>
      </w:r>
      <w:r w:rsidR="002D1B1F" w:rsidRPr="00277436">
        <w:rPr>
          <w:lang w:val="en-GB"/>
        </w:rPr>
        <w:t>and</w:t>
      </w:r>
      <w:r w:rsidR="0044117D" w:rsidRPr="00277436">
        <w:rPr>
          <w:lang w:val="en-GB"/>
        </w:rPr>
        <w:t>,</w:t>
      </w:r>
      <w:r w:rsidR="002D1B1F" w:rsidRPr="00277436">
        <w:rPr>
          <w:lang w:val="en-GB"/>
        </w:rPr>
        <w:t xml:space="preserve"> if access to certain areas is difficult </w:t>
      </w:r>
      <w:r w:rsidR="0044117D" w:rsidRPr="00277436">
        <w:rPr>
          <w:lang w:val="en-GB"/>
        </w:rPr>
        <w:t xml:space="preserve">or </w:t>
      </w:r>
      <w:r w:rsidR="00585AAF" w:rsidRPr="00277436">
        <w:rPr>
          <w:lang w:val="en-GB"/>
        </w:rPr>
        <w:t>staff are at</w:t>
      </w:r>
      <w:r w:rsidR="0044117D" w:rsidRPr="00277436">
        <w:rPr>
          <w:lang w:val="en-GB"/>
        </w:rPr>
        <w:t xml:space="preserve"> </w:t>
      </w:r>
      <w:r w:rsidR="00585AAF" w:rsidRPr="00277436">
        <w:rPr>
          <w:lang w:val="en-GB"/>
        </w:rPr>
        <w:t xml:space="preserve">risk, </w:t>
      </w:r>
      <w:r w:rsidR="002D1B1F" w:rsidRPr="00277436">
        <w:rPr>
          <w:lang w:val="en-GB"/>
        </w:rPr>
        <w:t>UNDP will work through civil society partners</w:t>
      </w:r>
      <w:r w:rsidR="0030527C" w:rsidRPr="00277436">
        <w:rPr>
          <w:lang w:val="en-GB"/>
        </w:rPr>
        <w:t>.</w:t>
      </w:r>
      <w:r w:rsidRPr="00277436">
        <w:rPr>
          <w:lang w:val="en-GB"/>
        </w:rPr>
        <w:t xml:space="preserve"> This will enable UNDP operations to continue, sometimes in remote and isolated locations, while prioritizing the safety and security of UNDP staff members and their families.</w:t>
      </w:r>
    </w:p>
    <w:p w14:paraId="50CCDFDA" w14:textId="77777777" w:rsidR="00F64E85" w:rsidRPr="00E8394D" w:rsidRDefault="00F64E85" w:rsidP="003618D6">
      <w:pPr>
        <w:pStyle w:val="ListParagraph"/>
        <w:tabs>
          <w:tab w:val="left" w:pos="450"/>
        </w:tabs>
        <w:rPr>
          <w:lang w:val="en-GB"/>
        </w:rPr>
      </w:pPr>
    </w:p>
    <w:p w14:paraId="5EB4899B" w14:textId="77777777" w:rsidR="00701B6B" w:rsidRPr="00E8394D" w:rsidRDefault="001D42D1" w:rsidP="008674FD">
      <w:pPr>
        <w:pStyle w:val="Heading1"/>
        <w:numPr>
          <w:ilvl w:val="0"/>
          <w:numId w:val="28"/>
        </w:numPr>
        <w:tabs>
          <w:tab w:val="left" w:pos="450"/>
          <w:tab w:val="left" w:pos="1800"/>
        </w:tabs>
        <w:ind w:left="0" w:hanging="270"/>
        <w:jc w:val="both"/>
        <w:rPr>
          <w:rFonts w:ascii="Times New Roman" w:hAnsi="Times New Roman"/>
          <w:sz w:val="24"/>
          <w:szCs w:val="24"/>
          <w:lang w:val="en-GB"/>
        </w:rPr>
      </w:pPr>
      <w:r w:rsidRPr="00E8394D">
        <w:rPr>
          <w:rFonts w:ascii="Times New Roman" w:hAnsi="Times New Roman"/>
          <w:sz w:val="24"/>
          <w:szCs w:val="24"/>
          <w:lang w:val="en-GB"/>
        </w:rPr>
        <w:t xml:space="preserve">Monitoring and </w:t>
      </w:r>
      <w:r w:rsidR="00DF14A7" w:rsidRPr="00E8394D">
        <w:rPr>
          <w:rFonts w:ascii="Times New Roman" w:hAnsi="Times New Roman"/>
          <w:sz w:val="24"/>
          <w:szCs w:val="24"/>
          <w:lang w:val="en-GB"/>
        </w:rPr>
        <w:t>e</w:t>
      </w:r>
      <w:r w:rsidR="001B3F87" w:rsidRPr="00E8394D">
        <w:rPr>
          <w:rFonts w:ascii="Times New Roman" w:hAnsi="Times New Roman"/>
          <w:sz w:val="24"/>
          <w:szCs w:val="24"/>
          <w:lang w:val="en-GB"/>
        </w:rPr>
        <w:t>valuation</w:t>
      </w:r>
    </w:p>
    <w:p w14:paraId="4F0FF03A" w14:textId="77777777" w:rsidR="00971890" w:rsidRPr="00E8394D" w:rsidRDefault="00971890" w:rsidP="003618D6">
      <w:pPr>
        <w:tabs>
          <w:tab w:val="left" w:pos="450"/>
        </w:tabs>
        <w:jc w:val="both"/>
        <w:rPr>
          <w:b/>
          <w:lang w:val="en-GB"/>
        </w:rPr>
      </w:pPr>
    </w:p>
    <w:p w14:paraId="317FB0A5" w14:textId="77777777" w:rsidR="0066124F" w:rsidRPr="00E8394D" w:rsidRDefault="0066124F" w:rsidP="003618D6">
      <w:pPr>
        <w:pStyle w:val="ListParagraph"/>
        <w:numPr>
          <w:ilvl w:val="0"/>
          <w:numId w:val="21"/>
        </w:numPr>
        <w:tabs>
          <w:tab w:val="left" w:pos="450"/>
        </w:tabs>
        <w:ind w:left="0" w:firstLine="0"/>
        <w:jc w:val="both"/>
        <w:rPr>
          <w:lang w:val="en-GB"/>
        </w:rPr>
      </w:pPr>
      <w:r w:rsidRPr="00E8394D">
        <w:rPr>
          <w:lang w:val="en-GB"/>
        </w:rPr>
        <w:t xml:space="preserve">Monitoring and </w:t>
      </w:r>
      <w:r w:rsidR="00493F24">
        <w:rPr>
          <w:lang w:val="en-GB"/>
        </w:rPr>
        <w:t>e</w:t>
      </w:r>
      <w:r w:rsidRPr="00E8394D">
        <w:rPr>
          <w:lang w:val="en-GB"/>
        </w:rPr>
        <w:t xml:space="preserve">valuation of the </w:t>
      </w:r>
      <w:r w:rsidR="00493F24">
        <w:rPr>
          <w:lang w:val="en-GB"/>
        </w:rPr>
        <w:t xml:space="preserve">UNDAF, </w:t>
      </w:r>
      <w:r w:rsidRPr="00E8394D">
        <w:rPr>
          <w:lang w:val="en-GB"/>
        </w:rPr>
        <w:t>2018-2022</w:t>
      </w:r>
      <w:r w:rsidR="00493F24">
        <w:rPr>
          <w:lang w:val="en-GB"/>
        </w:rPr>
        <w:t>,</w:t>
      </w:r>
      <w:r w:rsidRPr="00E8394D">
        <w:rPr>
          <w:lang w:val="en-GB"/>
        </w:rPr>
        <w:t xml:space="preserve"> is the joint responsibility of the Government and U</w:t>
      </w:r>
      <w:r w:rsidR="00493F24">
        <w:rPr>
          <w:lang w:val="en-GB"/>
        </w:rPr>
        <w:t xml:space="preserve">nited </w:t>
      </w:r>
      <w:r w:rsidRPr="00E8394D">
        <w:rPr>
          <w:lang w:val="en-GB"/>
        </w:rPr>
        <w:t>N</w:t>
      </w:r>
      <w:r w:rsidR="00493F24">
        <w:rPr>
          <w:lang w:val="en-GB"/>
        </w:rPr>
        <w:t>ations</w:t>
      </w:r>
      <w:r w:rsidRPr="00E8394D">
        <w:rPr>
          <w:lang w:val="en-GB"/>
        </w:rPr>
        <w:t xml:space="preserve"> </w:t>
      </w:r>
      <w:r w:rsidR="00493F24">
        <w:rPr>
          <w:lang w:val="en-GB"/>
        </w:rPr>
        <w:t>c</w:t>
      </w:r>
      <w:r w:rsidRPr="00E8394D">
        <w:rPr>
          <w:lang w:val="en-GB"/>
        </w:rPr>
        <w:t xml:space="preserve">ountry </w:t>
      </w:r>
      <w:r w:rsidR="00493F24">
        <w:rPr>
          <w:lang w:val="en-GB"/>
        </w:rPr>
        <w:t>t</w:t>
      </w:r>
      <w:r w:rsidRPr="00E8394D">
        <w:rPr>
          <w:lang w:val="en-GB"/>
        </w:rPr>
        <w:t xml:space="preserve">eam, through the </w:t>
      </w:r>
      <w:r w:rsidR="00493F24" w:rsidRPr="00E8394D">
        <w:rPr>
          <w:lang w:val="en-GB"/>
        </w:rPr>
        <w:t>Programme Steering Committee</w:t>
      </w:r>
      <w:r w:rsidRPr="00E8394D">
        <w:rPr>
          <w:lang w:val="en-GB"/>
        </w:rPr>
        <w:t xml:space="preserve"> and four UNDAF </w:t>
      </w:r>
      <w:r w:rsidR="00493F24">
        <w:rPr>
          <w:lang w:val="en-GB"/>
        </w:rPr>
        <w:t>r</w:t>
      </w:r>
      <w:r w:rsidRPr="00E8394D">
        <w:rPr>
          <w:lang w:val="en-GB"/>
        </w:rPr>
        <w:t xml:space="preserve">esults </w:t>
      </w:r>
      <w:r w:rsidR="00493F24">
        <w:rPr>
          <w:lang w:val="en-GB"/>
        </w:rPr>
        <w:t>g</w:t>
      </w:r>
      <w:r w:rsidRPr="00E8394D">
        <w:rPr>
          <w:lang w:val="en-GB"/>
        </w:rPr>
        <w:t xml:space="preserve">roups. They will prepare annual progress reports, regularly update approaches regarding theories of change and their ongoing validity, adjust </w:t>
      </w:r>
      <w:r w:rsidR="00493F24">
        <w:rPr>
          <w:lang w:val="en-GB"/>
        </w:rPr>
        <w:t xml:space="preserve">the plan </w:t>
      </w:r>
      <w:r w:rsidRPr="00E8394D">
        <w:rPr>
          <w:lang w:val="en-GB"/>
        </w:rPr>
        <w:t xml:space="preserve">as necessary to the national context, and address barriers to achieving UNDAF results. For this country programme, UNDP will monitor and evaluate results at the </w:t>
      </w:r>
      <w:r w:rsidR="00493F24">
        <w:rPr>
          <w:lang w:val="en-GB"/>
        </w:rPr>
        <w:t>country programme o</w:t>
      </w:r>
      <w:r w:rsidRPr="00E8394D">
        <w:rPr>
          <w:lang w:val="en-GB"/>
        </w:rPr>
        <w:t xml:space="preserve">utput level. Monitoring and </w:t>
      </w:r>
      <w:r w:rsidR="00493F24">
        <w:rPr>
          <w:lang w:val="en-GB"/>
        </w:rPr>
        <w:t>e</w:t>
      </w:r>
      <w:r w:rsidRPr="00E8394D">
        <w:rPr>
          <w:lang w:val="en-GB"/>
        </w:rPr>
        <w:t xml:space="preserve">valuation </w:t>
      </w:r>
      <w:r w:rsidR="00493F24">
        <w:rPr>
          <w:lang w:val="en-GB"/>
        </w:rPr>
        <w:t xml:space="preserve">will </w:t>
      </w:r>
      <w:r w:rsidRPr="00E8394D">
        <w:rPr>
          <w:lang w:val="en-GB"/>
        </w:rPr>
        <w:t xml:space="preserve">build on and support existing national data and information systems, ensuring government ownership and sustainability and providing a foundation for SDG monitoring. UNDP, UNFPA and </w:t>
      </w:r>
      <w:r w:rsidR="00493F24">
        <w:rPr>
          <w:lang w:val="en-GB"/>
        </w:rPr>
        <w:t>the United Nations Children’s Fund (</w:t>
      </w:r>
      <w:r w:rsidRPr="00E8394D">
        <w:rPr>
          <w:lang w:val="en-GB"/>
        </w:rPr>
        <w:t>UNICEF</w:t>
      </w:r>
      <w:r w:rsidR="00493F24">
        <w:rPr>
          <w:lang w:val="en-GB"/>
        </w:rPr>
        <w:t>)</w:t>
      </w:r>
      <w:r w:rsidRPr="00E8394D">
        <w:rPr>
          <w:lang w:val="en-GB"/>
        </w:rPr>
        <w:t xml:space="preserve"> will put considerable effort invest</w:t>
      </w:r>
      <w:r w:rsidR="00493F24">
        <w:rPr>
          <w:lang w:val="en-GB"/>
        </w:rPr>
        <w:t>ing</w:t>
      </w:r>
      <w:r w:rsidRPr="00E8394D">
        <w:rPr>
          <w:lang w:val="en-GB"/>
        </w:rPr>
        <w:t xml:space="preserve"> </w:t>
      </w:r>
      <w:r w:rsidR="00493F24">
        <w:rPr>
          <w:lang w:val="en-GB"/>
        </w:rPr>
        <w:t xml:space="preserve">in </w:t>
      </w:r>
      <w:r w:rsidRPr="00E8394D">
        <w:rPr>
          <w:lang w:val="en-GB"/>
        </w:rPr>
        <w:t xml:space="preserve">baseline data and tracking progress </w:t>
      </w:r>
      <w:r w:rsidR="00493F24">
        <w:rPr>
          <w:lang w:val="en-GB"/>
        </w:rPr>
        <w:t xml:space="preserve">at </w:t>
      </w:r>
      <w:r w:rsidRPr="00E8394D">
        <w:rPr>
          <w:lang w:val="en-GB"/>
        </w:rPr>
        <w:t>a disaggregated level.</w:t>
      </w:r>
      <w:r w:rsidR="00A94E78" w:rsidRPr="00E8394D">
        <w:rPr>
          <w:lang w:val="en-GB"/>
        </w:rPr>
        <w:t xml:space="preserve"> UNDP will use relevant corporate</w:t>
      </w:r>
      <w:r w:rsidR="00A94E78" w:rsidRPr="00E8394D">
        <w:rPr>
          <w:i/>
          <w:lang w:val="en-GB"/>
        </w:rPr>
        <w:t xml:space="preserve"> </w:t>
      </w:r>
      <w:r w:rsidR="00A94E78" w:rsidRPr="00E8394D">
        <w:rPr>
          <w:lang w:val="en-GB"/>
        </w:rPr>
        <w:t>indicators and</w:t>
      </w:r>
      <w:r w:rsidR="00493F24">
        <w:rPr>
          <w:lang w:val="en-GB"/>
        </w:rPr>
        <w:t>,</w:t>
      </w:r>
      <w:r w:rsidR="00A94E78" w:rsidRPr="00E8394D">
        <w:rPr>
          <w:lang w:val="en-GB"/>
        </w:rPr>
        <w:t xml:space="preserve"> as required, make adjustments to the results and resources framework to reflect and align with updates to the </w:t>
      </w:r>
      <w:r w:rsidR="00493F24">
        <w:rPr>
          <w:lang w:val="en-GB"/>
        </w:rPr>
        <w:t>UNDP s</w:t>
      </w:r>
      <w:r w:rsidR="00A94E78" w:rsidRPr="00E8394D">
        <w:rPr>
          <w:lang w:val="en-GB"/>
        </w:rPr>
        <w:t xml:space="preserve">trategic </w:t>
      </w:r>
      <w:r w:rsidR="00493F24">
        <w:rPr>
          <w:lang w:val="en-GB"/>
        </w:rPr>
        <w:t>p</w:t>
      </w:r>
      <w:r w:rsidR="00A94E78" w:rsidRPr="00E8394D">
        <w:rPr>
          <w:lang w:val="en-GB"/>
        </w:rPr>
        <w:t>lan</w:t>
      </w:r>
      <w:r w:rsidR="00493F24">
        <w:rPr>
          <w:lang w:val="en-GB"/>
        </w:rPr>
        <w:t>, 2018-2021,</w:t>
      </w:r>
      <w:r w:rsidR="00BD78EE" w:rsidRPr="00E8394D">
        <w:rPr>
          <w:lang w:val="en-GB"/>
        </w:rPr>
        <w:t xml:space="preserve"> and the </w:t>
      </w:r>
      <w:r w:rsidR="00493F24">
        <w:rPr>
          <w:lang w:val="en-GB"/>
        </w:rPr>
        <w:t>r</w:t>
      </w:r>
      <w:r w:rsidR="00493F24" w:rsidRPr="00E8394D">
        <w:rPr>
          <w:lang w:val="en-GB"/>
        </w:rPr>
        <w:t xml:space="preserve">eform </w:t>
      </w:r>
      <w:r w:rsidR="00493F24">
        <w:rPr>
          <w:lang w:val="en-GB"/>
        </w:rPr>
        <w:t>a</w:t>
      </w:r>
      <w:r w:rsidR="00493F24" w:rsidRPr="00E8394D">
        <w:rPr>
          <w:lang w:val="en-GB"/>
        </w:rPr>
        <w:t xml:space="preserve">genda </w:t>
      </w:r>
      <w:r w:rsidR="00493F24">
        <w:rPr>
          <w:lang w:val="en-GB"/>
        </w:rPr>
        <w:t xml:space="preserve">of the </w:t>
      </w:r>
      <w:r w:rsidR="00BD78EE" w:rsidRPr="00E8394D">
        <w:rPr>
          <w:lang w:val="en-GB"/>
        </w:rPr>
        <w:t>Secretary</w:t>
      </w:r>
      <w:r w:rsidR="00493F24">
        <w:rPr>
          <w:lang w:val="en-GB"/>
        </w:rPr>
        <w:t>-</w:t>
      </w:r>
      <w:r w:rsidR="00BD78EE" w:rsidRPr="00E8394D">
        <w:rPr>
          <w:lang w:val="en-GB"/>
        </w:rPr>
        <w:t>General</w:t>
      </w:r>
      <w:r w:rsidR="00A94E78" w:rsidRPr="00E8394D">
        <w:rPr>
          <w:lang w:val="en-GB"/>
        </w:rPr>
        <w:t>.</w:t>
      </w:r>
    </w:p>
    <w:p w14:paraId="0AA8800A" w14:textId="77777777" w:rsidR="0066124F" w:rsidRPr="00E8394D" w:rsidRDefault="0066124F" w:rsidP="00DF14A7">
      <w:pPr>
        <w:pStyle w:val="ListParagraph"/>
        <w:tabs>
          <w:tab w:val="left" w:pos="450"/>
        </w:tabs>
        <w:ind w:left="0" w:firstLine="720"/>
        <w:jc w:val="both"/>
        <w:rPr>
          <w:sz w:val="12"/>
          <w:szCs w:val="12"/>
          <w:lang w:val="en-GB"/>
        </w:rPr>
      </w:pPr>
    </w:p>
    <w:p w14:paraId="7D44A7CA" w14:textId="77777777" w:rsidR="0066124F" w:rsidRPr="00E8394D" w:rsidRDefault="0066124F" w:rsidP="003618D6">
      <w:pPr>
        <w:pStyle w:val="ListParagraph"/>
        <w:numPr>
          <w:ilvl w:val="0"/>
          <w:numId w:val="21"/>
        </w:numPr>
        <w:tabs>
          <w:tab w:val="left" w:pos="450"/>
        </w:tabs>
        <w:ind w:left="0" w:firstLine="0"/>
        <w:jc w:val="both"/>
        <w:rPr>
          <w:lang w:val="en-GB"/>
        </w:rPr>
      </w:pPr>
      <w:r w:rsidRPr="00E8394D">
        <w:rPr>
          <w:lang w:val="en-GB"/>
        </w:rPr>
        <w:t xml:space="preserve">UNDP will strengthen its monitoring and evaluation systems and articulate theories of change for each project, with causal linkages to outcomes and emphasis on the sustainability of programme results. The UNDP gender marker, used to monitor programme expenditures and improve planning and decision-making to ensure gender equality, will be better integrated into UNDP programmes during this cycle. UNDP will promote disaggregation of data (sex and other variables that are relevant) in the projects </w:t>
      </w:r>
      <w:r w:rsidR="004033A5">
        <w:rPr>
          <w:lang w:val="en-GB"/>
        </w:rPr>
        <w:t xml:space="preserve">it </w:t>
      </w:r>
      <w:r w:rsidRPr="00E8394D">
        <w:rPr>
          <w:lang w:val="en-GB"/>
        </w:rPr>
        <w:t xml:space="preserve">is supporting. </w:t>
      </w:r>
    </w:p>
    <w:p w14:paraId="4DE5FE5F" w14:textId="77777777" w:rsidR="0066124F" w:rsidRPr="00E8394D" w:rsidRDefault="0066124F" w:rsidP="003618D6">
      <w:pPr>
        <w:pStyle w:val="ListParagraph"/>
        <w:tabs>
          <w:tab w:val="left" w:pos="450"/>
        </w:tabs>
        <w:ind w:left="0"/>
        <w:jc w:val="both"/>
        <w:rPr>
          <w:sz w:val="12"/>
          <w:szCs w:val="12"/>
          <w:lang w:val="en-GB"/>
        </w:rPr>
      </w:pPr>
    </w:p>
    <w:p w14:paraId="0B5C6472" w14:textId="77777777" w:rsidR="0066124F" w:rsidRPr="00E8394D" w:rsidRDefault="0066124F" w:rsidP="003618D6">
      <w:pPr>
        <w:pStyle w:val="ListParagraph"/>
        <w:numPr>
          <w:ilvl w:val="0"/>
          <w:numId w:val="21"/>
        </w:numPr>
        <w:tabs>
          <w:tab w:val="left" w:pos="450"/>
        </w:tabs>
        <w:ind w:left="0" w:firstLine="0"/>
        <w:jc w:val="both"/>
        <w:rPr>
          <w:lang w:val="en-GB"/>
        </w:rPr>
      </w:pPr>
      <w:r w:rsidRPr="00E8394D">
        <w:rPr>
          <w:lang w:val="en-GB"/>
        </w:rPr>
        <w:t>UNDP will intensify efforts to communicate stories and real</w:t>
      </w:r>
      <w:r w:rsidR="004033A5">
        <w:rPr>
          <w:lang w:val="en-GB"/>
        </w:rPr>
        <w:t xml:space="preserve"> </w:t>
      </w:r>
      <w:r w:rsidRPr="00E8394D">
        <w:rPr>
          <w:lang w:val="en-GB"/>
        </w:rPr>
        <w:t>life narratives, using innovative, user-friendly formats and social media tools to reach diverse audiences.</w:t>
      </w:r>
    </w:p>
    <w:p w14:paraId="72862C66" w14:textId="77777777" w:rsidR="00573B49" w:rsidRPr="00E8394D" w:rsidRDefault="00573B49" w:rsidP="0066124F">
      <w:pPr>
        <w:pStyle w:val="ListParagraph"/>
        <w:ind w:left="0"/>
        <w:jc w:val="both"/>
        <w:rPr>
          <w:lang w:val="en-GB"/>
        </w:rPr>
      </w:pPr>
    </w:p>
    <w:p w14:paraId="20622DBB" w14:textId="77777777" w:rsidR="00573B49" w:rsidRPr="00E8394D" w:rsidRDefault="00573B49" w:rsidP="0066124F">
      <w:pPr>
        <w:pStyle w:val="ListParagraph"/>
        <w:ind w:left="0"/>
        <w:jc w:val="both"/>
        <w:rPr>
          <w:lang w:val="en-GB"/>
        </w:rPr>
      </w:pPr>
    </w:p>
    <w:p w14:paraId="71812F54" w14:textId="77777777" w:rsidR="00A674CA" w:rsidRPr="00E8394D" w:rsidRDefault="00A674CA" w:rsidP="00106855">
      <w:pPr>
        <w:keepNext/>
        <w:spacing w:after="120"/>
        <w:outlineLvl w:val="3"/>
        <w:rPr>
          <w:b/>
          <w:bCs/>
          <w:i/>
          <w:szCs w:val="16"/>
          <w:lang w:val="en-GB"/>
        </w:rPr>
        <w:sectPr w:rsidR="00A674CA" w:rsidRPr="00E8394D" w:rsidSect="004F083C">
          <w:headerReference w:type="even" r:id="rId12"/>
          <w:headerReference w:type="default" r:id="rId13"/>
          <w:footerReference w:type="even" r:id="rId14"/>
          <w:footerReference w:type="default" r:id="rId15"/>
          <w:headerReference w:type="first" r:id="rId16"/>
          <w:pgSz w:w="12240" w:h="15840"/>
          <w:pgMar w:top="1152" w:right="2340" w:bottom="1152" w:left="2160" w:header="720" w:footer="720" w:gutter="0"/>
          <w:cols w:space="720"/>
          <w:titlePg/>
          <w:docGrid w:linePitch="272"/>
        </w:sectPr>
      </w:pPr>
    </w:p>
    <w:p w14:paraId="0401A5E7" w14:textId="77777777" w:rsidR="00DF14A7" w:rsidRPr="00E8394D" w:rsidRDefault="00DF14A7" w:rsidP="00DF14A7">
      <w:pPr>
        <w:jc w:val="both"/>
        <w:rPr>
          <w:b/>
          <w:bCs/>
          <w:sz w:val="24"/>
          <w:szCs w:val="24"/>
          <w:lang w:val="en-GB"/>
        </w:rPr>
      </w:pPr>
      <w:r w:rsidRPr="00E8394D">
        <w:rPr>
          <w:b/>
          <w:bCs/>
          <w:sz w:val="24"/>
          <w:szCs w:val="24"/>
          <w:lang w:val="en-GB"/>
        </w:rPr>
        <w:lastRenderedPageBreak/>
        <w:t xml:space="preserve">Annex. Results and resources framework for </w:t>
      </w:r>
      <w:r w:rsidR="008674FD" w:rsidRPr="00E8394D">
        <w:rPr>
          <w:b/>
          <w:bCs/>
          <w:sz w:val="24"/>
          <w:szCs w:val="24"/>
          <w:lang w:val="en-GB"/>
        </w:rPr>
        <w:t>Papua New Guinea</w:t>
      </w:r>
      <w:r w:rsidRPr="00E8394D">
        <w:rPr>
          <w:b/>
          <w:bCs/>
          <w:sz w:val="24"/>
          <w:szCs w:val="24"/>
          <w:lang w:val="en-GB"/>
        </w:rPr>
        <w:t xml:space="preserve"> (2018-2022)</w:t>
      </w:r>
    </w:p>
    <w:p w14:paraId="4E46301C" w14:textId="77777777" w:rsidR="00A674CA" w:rsidRPr="00E8394D" w:rsidRDefault="00A674CA" w:rsidP="0066124F">
      <w:pPr>
        <w:pStyle w:val="ListParagraph"/>
        <w:ind w:left="0"/>
        <w:jc w:val="both"/>
        <w:rPr>
          <w:lang w:val="en-GB"/>
        </w:rPr>
      </w:pPr>
    </w:p>
    <w:tbl>
      <w:tblPr>
        <w:tblW w:w="48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A0" w:firstRow="1" w:lastRow="0" w:firstColumn="1" w:lastColumn="0" w:noHBand="0" w:noVBand="0"/>
      </w:tblPr>
      <w:tblGrid>
        <w:gridCol w:w="2339"/>
        <w:gridCol w:w="8"/>
        <w:gridCol w:w="1518"/>
        <w:gridCol w:w="24"/>
        <w:gridCol w:w="16"/>
        <w:gridCol w:w="4910"/>
        <w:gridCol w:w="2340"/>
        <w:gridCol w:w="1890"/>
        <w:gridCol w:w="42"/>
      </w:tblGrid>
      <w:tr w:rsidR="00E50248" w:rsidRPr="00E8394D" w14:paraId="114151DB" w14:textId="77777777" w:rsidTr="008674FD">
        <w:tc>
          <w:tcPr>
            <w:tcW w:w="5000" w:type="pct"/>
            <w:gridSpan w:val="9"/>
            <w:shd w:val="clear" w:color="auto" w:fill="auto"/>
            <w:tcMar>
              <w:top w:w="72" w:type="dxa"/>
              <w:left w:w="144" w:type="dxa"/>
              <w:bottom w:w="72" w:type="dxa"/>
              <w:right w:w="144" w:type="dxa"/>
            </w:tcMar>
          </w:tcPr>
          <w:p w14:paraId="75B08DEA" w14:textId="77777777" w:rsidR="00A674CA" w:rsidRPr="00E8394D" w:rsidRDefault="00A674CA" w:rsidP="00F0280F">
            <w:pPr>
              <w:rPr>
                <w:sz w:val="16"/>
                <w:szCs w:val="16"/>
                <w:lang w:val="en-GB"/>
              </w:rPr>
            </w:pPr>
            <w:r w:rsidRPr="00E8394D">
              <w:rPr>
                <w:b/>
                <w:bCs/>
                <w:sz w:val="16"/>
                <w:szCs w:val="16"/>
                <w:lang w:val="en-GB"/>
              </w:rPr>
              <w:t xml:space="preserve">NATIONAL PRIORITY: </w:t>
            </w:r>
            <w:r w:rsidRPr="00E8394D">
              <w:rPr>
                <w:sz w:val="16"/>
                <w:szCs w:val="16"/>
                <w:lang w:val="en-GB"/>
              </w:rPr>
              <w:t xml:space="preserve">1. Security and </w:t>
            </w:r>
            <w:r w:rsidR="009D355A">
              <w:rPr>
                <w:sz w:val="16"/>
                <w:szCs w:val="16"/>
                <w:lang w:val="en-GB"/>
              </w:rPr>
              <w:t>i</w:t>
            </w:r>
            <w:r w:rsidRPr="00E8394D">
              <w:rPr>
                <w:sz w:val="16"/>
                <w:szCs w:val="16"/>
                <w:lang w:val="en-GB"/>
              </w:rPr>
              <w:t xml:space="preserve">nternational </w:t>
            </w:r>
            <w:r w:rsidR="009D355A">
              <w:rPr>
                <w:sz w:val="16"/>
                <w:szCs w:val="16"/>
                <w:lang w:val="en-GB"/>
              </w:rPr>
              <w:t>r</w:t>
            </w:r>
            <w:r w:rsidRPr="00E8394D">
              <w:rPr>
                <w:sz w:val="16"/>
                <w:szCs w:val="16"/>
                <w:lang w:val="en-GB"/>
              </w:rPr>
              <w:t xml:space="preserve">elations; </w:t>
            </w:r>
            <w:r w:rsidR="0010416A" w:rsidRPr="00E8394D">
              <w:rPr>
                <w:sz w:val="16"/>
                <w:szCs w:val="16"/>
                <w:lang w:val="en-GB"/>
              </w:rPr>
              <w:t>2</w:t>
            </w:r>
            <w:r w:rsidRPr="00E8394D">
              <w:rPr>
                <w:sz w:val="16"/>
                <w:szCs w:val="16"/>
                <w:lang w:val="en-GB"/>
              </w:rPr>
              <w:t>. Inclusive, democratic, participatory, accountable</w:t>
            </w:r>
            <w:r w:rsidR="0010416A" w:rsidRPr="00E8394D">
              <w:rPr>
                <w:sz w:val="16"/>
                <w:szCs w:val="16"/>
                <w:lang w:val="en-GB"/>
              </w:rPr>
              <w:t xml:space="preserve"> and transparent </w:t>
            </w:r>
            <w:r w:rsidR="00D542AA">
              <w:rPr>
                <w:sz w:val="16"/>
                <w:szCs w:val="16"/>
                <w:lang w:val="en-GB"/>
              </w:rPr>
              <w:t>g</w:t>
            </w:r>
            <w:r w:rsidR="0010416A" w:rsidRPr="00E8394D">
              <w:rPr>
                <w:sz w:val="16"/>
                <w:szCs w:val="16"/>
                <w:lang w:val="en-GB"/>
              </w:rPr>
              <w:t>overnance</w:t>
            </w:r>
            <w:r w:rsidR="00D542AA" w:rsidRPr="00E8394D" w:rsidDel="00D542AA">
              <w:rPr>
                <w:sz w:val="16"/>
                <w:szCs w:val="16"/>
                <w:lang w:val="en-GB"/>
              </w:rPr>
              <w:t xml:space="preserve"> </w:t>
            </w:r>
            <w:r w:rsidRPr="00E8394D">
              <w:rPr>
                <w:sz w:val="16"/>
                <w:szCs w:val="16"/>
                <w:lang w:val="en-GB"/>
              </w:rPr>
              <w:t>(SDGs 5, 8, 16, 17)</w:t>
            </w:r>
            <w:r w:rsidR="00D542AA">
              <w:rPr>
                <w:sz w:val="16"/>
                <w:szCs w:val="16"/>
                <w:lang w:val="en-GB"/>
              </w:rPr>
              <w:t>.</w:t>
            </w:r>
          </w:p>
        </w:tc>
      </w:tr>
      <w:tr w:rsidR="00E50248" w:rsidRPr="00E8394D" w14:paraId="723CBFFD" w14:textId="77777777" w:rsidTr="008674FD">
        <w:tc>
          <w:tcPr>
            <w:tcW w:w="5000" w:type="pct"/>
            <w:gridSpan w:val="9"/>
            <w:shd w:val="clear" w:color="auto" w:fill="auto"/>
            <w:tcMar>
              <w:top w:w="72" w:type="dxa"/>
              <w:left w:w="144" w:type="dxa"/>
              <w:bottom w:w="72" w:type="dxa"/>
              <w:right w:w="144" w:type="dxa"/>
            </w:tcMar>
          </w:tcPr>
          <w:p w14:paraId="11EDFE2D" w14:textId="77777777" w:rsidR="00A674CA" w:rsidRPr="00E8394D" w:rsidRDefault="00A674CA" w:rsidP="00BC1D6E">
            <w:pPr>
              <w:rPr>
                <w:rFonts w:eastAsiaTheme="minorHAnsi"/>
                <w:b/>
                <w:sz w:val="16"/>
                <w:szCs w:val="16"/>
                <w:lang w:val="en-GB"/>
              </w:rPr>
            </w:pPr>
            <w:r w:rsidRPr="00E8394D">
              <w:rPr>
                <w:b/>
                <w:bCs/>
                <w:sz w:val="16"/>
                <w:szCs w:val="16"/>
                <w:lang w:val="en-GB"/>
              </w:rPr>
              <w:t>OUTCOME 1:</w:t>
            </w:r>
            <w:r w:rsidRPr="00E8394D">
              <w:rPr>
                <w:sz w:val="16"/>
                <w:szCs w:val="16"/>
                <w:lang w:val="en-GB"/>
              </w:rPr>
              <w:t xml:space="preserve"> </w:t>
            </w:r>
            <w:r w:rsidRPr="0043128F">
              <w:rPr>
                <w:sz w:val="16"/>
                <w:szCs w:val="16"/>
                <w:lang w:val="en-GB"/>
              </w:rPr>
              <w:t>By 2022, government and non-governmental institutions demonstrate improved transparency, accountability, delivery of justice and promotion of peace and security</w:t>
            </w:r>
            <w:r w:rsidR="00D542AA">
              <w:rPr>
                <w:sz w:val="16"/>
                <w:szCs w:val="16"/>
                <w:lang w:val="en-GB"/>
              </w:rPr>
              <w:t>.</w:t>
            </w:r>
          </w:p>
        </w:tc>
      </w:tr>
      <w:tr w:rsidR="00C1193E" w:rsidRPr="00E8394D" w14:paraId="5152003E" w14:textId="77777777" w:rsidTr="00D960E1">
        <w:trPr>
          <w:gridAfter w:val="1"/>
          <w:wAfter w:w="16" w:type="pct"/>
        </w:trPr>
        <w:tc>
          <w:tcPr>
            <w:tcW w:w="894" w:type="pct"/>
            <w:shd w:val="clear" w:color="auto" w:fill="auto"/>
            <w:tcMar>
              <w:top w:w="72" w:type="dxa"/>
              <w:left w:w="144" w:type="dxa"/>
              <w:bottom w:w="72" w:type="dxa"/>
              <w:right w:w="144" w:type="dxa"/>
            </w:tcMar>
            <w:vAlign w:val="center"/>
          </w:tcPr>
          <w:p w14:paraId="1F9E3D3B" w14:textId="77777777" w:rsidR="00C1193E" w:rsidRPr="00E8394D" w:rsidRDefault="00C1193E" w:rsidP="00F9610C">
            <w:pPr>
              <w:tabs>
                <w:tab w:val="left" w:pos="8640"/>
                <w:tab w:val="left" w:pos="9180"/>
              </w:tabs>
              <w:jc w:val="center"/>
              <w:rPr>
                <w:rFonts w:eastAsia="Calibri"/>
                <w:sz w:val="16"/>
                <w:szCs w:val="16"/>
                <w:lang w:val="en-GB"/>
              </w:rPr>
            </w:pPr>
            <w:r w:rsidRPr="00E8394D">
              <w:rPr>
                <w:rFonts w:eastAsia="Calibri"/>
                <w:b/>
                <w:bCs/>
                <w:sz w:val="16"/>
                <w:szCs w:val="16"/>
                <w:lang w:val="en-GB"/>
              </w:rPr>
              <w:t>UNDAF outcome indicator(s), baselines and target(s)</w:t>
            </w:r>
          </w:p>
        </w:tc>
        <w:tc>
          <w:tcPr>
            <w:tcW w:w="583" w:type="pct"/>
            <w:gridSpan w:val="2"/>
            <w:shd w:val="clear" w:color="auto" w:fill="auto"/>
            <w:vAlign w:val="center"/>
          </w:tcPr>
          <w:p w14:paraId="149FBEB4" w14:textId="77777777" w:rsidR="00C1193E" w:rsidRPr="00E8394D" w:rsidRDefault="00C1193E" w:rsidP="00F9610C">
            <w:pPr>
              <w:tabs>
                <w:tab w:val="left" w:pos="900"/>
                <w:tab w:val="left" w:pos="990"/>
                <w:tab w:val="left" w:pos="8640"/>
                <w:tab w:val="left" w:pos="9180"/>
              </w:tabs>
              <w:ind w:left="36"/>
              <w:jc w:val="center"/>
              <w:rPr>
                <w:rFonts w:eastAsia="Calibri"/>
                <w:b/>
                <w:sz w:val="16"/>
                <w:szCs w:val="16"/>
                <w:lang w:val="en-GB"/>
              </w:rPr>
            </w:pPr>
            <w:r w:rsidRPr="00E8394D">
              <w:rPr>
                <w:rFonts w:eastAsia="Calibri"/>
                <w:b/>
                <w:sz w:val="16"/>
                <w:szCs w:val="16"/>
                <w:lang w:val="en-GB"/>
              </w:rPr>
              <w:t>Data source and frequency of data collection, and responsibilities</w:t>
            </w:r>
          </w:p>
        </w:tc>
        <w:tc>
          <w:tcPr>
            <w:tcW w:w="1891" w:type="pct"/>
            <w:gridSpan w:val="3"/>
            <w:shd w:val="clear" w:color="auto" w:fill="auto"/>
            <w:tcMar>
              <w:top w:w="72" w:type="dxa"/>
              <w:left w:w="144" w:type="dxa"/>
              <w:bottom w:w="72" w:type="dxa"/>
              <w:right w:w="144" w:type="dxa"/>
            </w:tcMar>
            <w:vAlign w:val="center"/>
          </w:tcPr>
          <w:p w14:paraId="4F63B0B1" w14:textId="77777777" w:rsidR="00C1193E" w:rsidRPr="00E8394D" w:rsidRDefault="00C1193E" w:rsidP="00F9610C">
            <w:pPr>
              <w:tabs>
                <w:tab w:val="left" w:pos="900"/>
                <w:tab w:val="left" w:pos="990"/>
                <w:tab w:val="left" w:pos="8640"/>
                <w:tab w:val="left" w:pos="9180"/>
              </w:tabs>
              <w:ind w:left="450" w:hanging="419"/>
              <w:jc w:val="center"/>
              <w:rPr>
                <w:rFonts w:eastAsia="Calibri"/>
                <w:b/>
                <w:bCs/>
                <w:sz w:val="16"/>
                <w:szCs w:val="16"/>
                <w:lang w:val="en-GB"/>
              </w:rPr>
            </w:pPr>
            <w:r w:rsidRPr="00E8394D">
              <w:rPr>
                <w:rFonts w:eastAsia="Calibri"/>
                <w:b/>
                <w:bCs/>
                <w:sz w:val="16"/>
                <w:szCs w:val="16"/>
                <w:lang w:val="en-GB"/>
              </w:rPr>
              <w:t xml:space="preserve">Indicative country programme outputs </w:t>
            </w:r>
          </w:p>
          <w:p w14:paraId="3E7E6412" w14:textId="77777777" w:rsidR="00C1193E" w:rsidRPr="00E8394D" w:rsidRDefault="00C1193E" w:rsidP="00F9610C">
            <w:pPr>
              <w:tabs>
                <w:tab w:val="left" w:pos="900"/>
                <w:tab w:val="left" w:pos="990"/>
                <w:tab w:val="left" w:pos="8640"/>
                <w:tab w:val="left" w:pos="9180"/>
              </w:tabs>
              <w:ind w:left="450" w:hanging="419"/>
              <w:jc w:val="center"/>
              <w:rPr>
                <w:rFonts w:eastAsia="Calibri"/>
                <w:sz w:val="16"/>
                <w:szCs w:val="16"/>
                <w:lang w:val="en-GB"/>
              </w:rPr>
            </w:pPr>
            <w:r w:rsidRPr="00E8394D">
              <w:rPr>
                <w:rFonts w:eastAsia="Calibri"/>
                <w:b/>
                <w:bCs/>
                <w:sz w:val="16"/>
                <w:szCs w:val="16"/>
                <w:lang w:val="en-GB"/>
              </w:rPr>
              <w:t>(including indicators, baselines and targets)</w:t>
            </w:r>
          </w:p>
        </w:tc>
        <w:tc>
          <w:tcPr>
            <w:tcW w:w="894" w:type="pct"/>
            <w:shd w:val="clear" w:color="auto" w:fill="auto"/>
            <w:vAlign w:val="center"/>
          </w:tcPr>
          <w:p w14:paraId="11D1E45A" w14:textId="77777777" w:rsidR="00C1193E" w:rsidRPr="00E8394D" w:rsidRDefault="00C1193E" w:rsidP="00F9610C">
            <w:pPr>
              <w:tabs>
                <w:tab w:val="left" w:pos="900"/>
                <w:tab w:val="left" w:pos="990"/>
                <w:tab w:val="left" w:pos="8640"/>
                <w:tab w:val="left" w:pos="9180"/>
              </w:tabs>
              <w:ind w:left="52"/>
              <w:jc w:val="center"/>
              <w:rPr>
                <w:rFonts w:eastAsia="Calibri"/>
                <w:b/>
                <w:bCs/>
                <w:sz w:val="16"/>
                <w:szCs w:val="16"/>
                <w:lang w:val="en-GB"/>
              </w:rPr>
            </w:pPr>
            <w:r w:rsidRPr="00E8394D">
              <w:rPr>
                <w:rFonts w:eastAsia="Calibri"/>
                <w:b/>
                <w:bCs/>
                <w:sz w:val="16"/>
                <w:szCs w:val="16"/>
                <w:lang w:val="en-GB"/>
              </w:rPr>
              <w:t>Major partners, partnerships and frameworks</w:t>
            </w:r>
          </w:p>
        </w:tc>
        <w:tc>
          <w:tcPr>
            <w:tcW w:w="722" w:type="pct"/>
            <w:shd w:val="clear" w:color="auto" w:fill="auto"/>
            <w:tcMar>
              <w:top w:w="15" w:type="dxa"/>
              <w:left w:w="108" w:type="dxa"/>
              <w:bottom w:w="0" w:type="dxa"/>
              <w:right w:w="108" w:type="dxa"/>
            </w:tcMar>
            <w:vAlign w:val="center"/>
          </w:tcPr>
          <w:p w14:paraId="3C32140E" w14:textId="77777777" w:rsidR="00C1193E" w:rsidRPr="00E8394D" w:rsidRDefault="00C1193E" w:rsidP="00F9610C">
            <w:pPr>
              <w:tabs>
                <w:tab w:val="left" w:pos="900"/>
                <w:tab w:val="left" w:pos="990"/>
                <w:tab w:val="left" w:pos="8640"/>
                <w:tab w:val="left" w:pos="9180"/>
              </w:tabs>
              <w:ind w:left="19"/>
              <w:jc w:val="center"/>
              <w:rPr>
                <w:rFonts w:eastAsia="Calibri"/>
                <w:b/>
                <w:bCs/>
                <w:sz w:val="16"/>
                <w:szCs w:val="16"/>
                <w:lang w:val="en-GB"/>
              </w:rPr>
            </w:pPr>
            <w:r w:rsidRPr="00E8394D">
              <w:rPr>
                <w:rFonts w:eastAsia="Calibri"/>
                <w:b/>
                <w:bCs/>
                <w:sz w:val="16"/>
                <w:szCs w:val="16"/>
                <w:lang w:val="en-GB"/>
              </w:rPr>
              <w:t>Indicative resources by outcome</w:t>
            </w:r>
          </w:p>
          <w:p w14:paraId="6838423D" w14:textId="77777777" w:rsidR="00C1193E" w:rsidRPr="0043128F" w:rsidRDefault="00C1193E" w:rsidP="00F0280F">
            <w:pPr>
              <w:tabs>
                <w:tab w:val="left" w:pos="900"/>
                <w:tab w:val="left" w:pos="990"/>
                <w:tab w:val="left" w:pos="8640"/>
                <w:tab w:val="left" w:pos="9180"/>
              </w:tabs>
              <w:ind w:left="19"/>
              <w:jc w:val="center"/>
              <w:rPr>
                <w:rFonts w:eastAsia="Calibri"/>
                <w:bCs/>
                <w:sz w:val="16"/>
                <w:szCs w:val="16"/>
                <w:lang w:val="en-GB"/>
              </w:rPr>
            </w:pPr>
            <w:r w:rsidRPr="0043128F">
              <w:rPr>
                <w:rFonts w:eastAsia="Calibri"/>
                <w:bCs/>
                <w:sz w:val="16"/>
                <w:szCs w:val="16"/>
                <w:lang w:val="en-GB"/>
              </w:rPr>
              <w:t>(</w:t>
            </w:r>
            <w:r w:rsidRPr="0043128F">
              <w:rPr>
                <w:rFonts w:eastAsia="Calibri"/>
                <w:bCs/>
                <w:i/>
                <w:sz w:val="16"/>
                <w:szCs w:val="16"/>
                <w:lang w:val="en-GB"/>
              </w:rPr>
              <w:t xml:space="preserve">in </w:t>
            </w:r>
            <w:r w:rsidR="000855AB" w:rsidRPr="0043128F">
              <w:rPr>
                <w:rFonts w:eastAsia="Calibri"/>
                <w:bCs/>
                <w:i/>
                <w:sz w:val="16"/>
                <w:szCs w:val="16"/>
                <w:lang w:val="en-GB"/>
              </w:rPr>
              <w:t>thousands of United States dollars</w:t>
            </w:r>
            <w:r w:rsidR="000855AB" w:rsidRPr="0043128F">
              <w:rPr>
                <w:rFonts w:eastAsia="Calibri"/>
                <w:bCs/>
                <w:sz w:val="16"/>
                <w:szCs w:val="16"/>
                <w:lang w:val="en-GB"/>
              </w:rPr>
              <w:t>)</w:t>
            </w:r>
          </w:p>
        </w:tc>
      </w:tr>
      <w:tr w:rsidR="00E50248" w:rsidRPr="00E8394D" w14:paraId="459C5A80" w14:textId="77777777" w:rsidTr="008674FD">
        <w:tc>
          <w:tcPr>
            <w:tcW w:w="897" w:type="pct"/>
            <w:gridSpan w:val="2"/>
            <w:tcBorders>
              <w:bottom w:val="single" w:sz="4" w:space="0" w:color="auto"/>
            </w:tcBorders>
            <w:tcMar>
              <w:top w:w="72" w:type="dxa"/>
              <w:left w:w="144" w:type="dxa"/>
              <w:bottom w:w="72" w:type="dxa"/>
              <w:right w:w="144" w:type="dxa"/>
            </w:tcMar>
          </w:tcPr>
          <w:p w14:paraId="51E01B72" w14:textId="77777777" w:rsidR="00A674CA" w:rsidRPr="00E8394D" w:rsidRDefault="00A674CA" w:rsidP="00BC1D6E">
            <w:pPr>
              <w:rPr>
                <w:sz w:val="16"/>
                <w:szCs w:val="16"/>
                <w:lang w:val="en-GB"/>
              </w:rPr>
            </w:pPr>
            <w:r w:rsidRPr="00E8394D">
              <w:rPr>
                <w:b/>
                <w:sz w:val="16"/>
                <w:szCs w:val="16"/>
                <w:u w:val="single"/>
                <w:lang w:val="en-GB"/>
              </w:rPr>
              <w:t>Indicator:</w:t>
            </w:r>
            <w:r w:rsidRPr="00E8394D">
              <w:rPr>
                <w:sz w:val="16"/>
                <w:szCs w:val="16"/>
                <w:lang w:val="en-GB"/>
              </w:rPr>
              <w:t xml:space="preserve"> Rank and score in </w:t>
            </w:r>
            <w:r w:rsidR="007C4817">
              <w:rPr>
                <w:sz w:val="16"/>
                <w:szCs w:val="16"/>
                <w:lang w:val="en-GB"/>
              </w:rPr>
              <w:t>w</w:t>
            </w:r>
            <w:r w:rsidRPr="00E8394D">
              <w:rPr>
                <w:sz w:val="16"/>
                <w:szCs w:val="16"/>
                <w:lang w:val="en-GB"/>
              </w:rPr>
              <w:t xml:space="preserve">orldwide </w:t>
            </w:r>
            <w:r w:rsidR="007C4817">
              <w:rPr>
                <w:sz w:val="16"/>
                <w:szCs w:val="16"/>
                <w:lang w:val="en-GB"/>
              </w:rPr>
              <w:t>g</w:t>
            </w:r>
            <w:r w:rsidRPr="00E8394D">
              <w:rPr>
                <w:sz w:val="16"/>
                <w:szCs w:val="16"/>
                <w:lang w:val="en-GB"/>
              </w:rPr>
              <w:t xml:space="preserve">overnance </w:t>
            </w:r>
            <w:r w:rsidR="007C4817">
              <w:rPr>
                <w:sz w:val="16"/>
                <w:szCs w:val="16"/>
                <w:lang w:val="en-GB"/>
              </w:rPr>
              <w:t>i</w:t>
            </w:r>
            <w:r w:rsidRPr="00E8394D">
              <w:rPr>
                <w:sz w:val="16"/>
                <w:szCs w:val="16"/>
                <w:lang w:val="en-GB"/>
              </w:rPr>
              <w:t>ndicators</w:t>
            </w:r>
          </w:p>
          <w:p w14:paraId="1D89C4D9" w14:textId="77777777" w:rsidR="00A674CA" w:rsidRPr="00E8394D" w:rsidRDefault="00A674CA" w:rsidP="00BC1D6E">
            <w:pPr>
              <w:ind w:left="360"/>
              <w:rPr>
                <w:b/>
                <w:bCs/>
                <w:sz w:val="16"/>
                <w:szCs w:val="16"/>
                <w:lang w:val="en-GB"/>
              </w:rPr>
            </w:pPr>
          </w:p>
          <w:p w14:paraId="495189E7" w14:textId="77777777" w:rsidR="00A674CA" w:rsidRPr="00E8394D" w:rsidRDefault="00A674CA" w:rsidP="00BC1D6E">
            <w:pPr>
              <w:rPr>
                <w:b/>
                <w:bCs/>
                <w:sz w:val="16"/>
                <w:szCs w:val="16"/>
                <w:lang w:val="en-GB"/>
              </w:rPr>
            </w:pPr>
            <w:r w:rsidRPr="00E8394D">
              <w:rPr>
                <w:b/>
                <w:sz w:val="16"/>
                <w:szCs w:val="16"/>
                <w:u w:val="single"/>
                <w:lang w:val="en-GB"/>
              </w:rPr>
              <w:t>Baseline:</w:t>
            </w:r>
            <w:r w:rsidRPr="00E8394D">
              <w:rPr>
                <w:sz w:val="16"/>
                <w:szCs w:val="16"/>
                <w:lang w:val="en-GB"/>
              </w:rPr>
              <w:t xml:space="preserve"> (2015)</w:t>
            </w:r>
          </w:p>
          <w:p w14:paraId="58245149" w14:textId="77777777" w:rsidR="00A674CA" w:rsidRPr="00E8394D" w:rsidRDefault="00A674CA" w:rsidP="00BC1D6E">
            <w:pPr>
              <w:pStyle w:val="ListParagraph"/>
              <w:numPr>
                <w:ilvl w:val="0"/>
                <w:numId w:val="23"/>
              </w:numPr>
              <w:rPr>
                <w:sz w:val="16"/>
                <w:szCs w:val="16"/>
                <w:lang w:val="en-GB"/>
              </w:rPr>
            </w:pPr>
            <w:r w:rsidRPr="00E8394D">
              <w:rPr>
                <w:sz w:val="16"/>
                <w:szCs w:val="16"/>
                <w:lang w:val="en-GB"/>
              </w:rPr>
              <w:t xml:space="preserve">Government </w:t>
            </w:r>
            <w:r w:rsidR="007C4817">
              <w:rPr>
                <w:sz w:val="16"/>
                <w:szCs w:val="16"/>
                <w:lang w:val="en-GB"/>
              </w:rPr>
              <w:t>e</w:t>
            </w:r>
            <w:r w:rsidRPr="00E8394D">
              <w:rPr>
                <w:sz w:val="16"/>
                <w:szCs w:val="16"/>
                <w:lang w:val="en-GB"/>
              </w:rPr>
              <w:t>ffectiveness</w:t>
            </w:r>
            <w:r w:rsidR="007C4817">
              <w:rPr>
                <w:sz w:val="16"/>
                <w:szCs w:val="16"/>
                <w:lang w:val="en-GB"/>
              </w:rPr>
              <w:t>:</w:t>
            </w:r>
            <w:r w:rsidRPr="00E8394D">
              <w:rPr>
                <w:sz w:val="16"/>
                <w:szCs w:val="16"/>
                <w:lang w:val="en-GB"/>
              </w:rPr>
              <w:t xml:space="preserve">  30/100</w:t>
            </w:r>
          </w:p>
          <w:p w14:paraId="044F4CB8" w14:textId="77777777" w:rsidR="00A674CA" w:rsidRPr="00E8394D" w:rsidRDefault="00A674CA" w:rsidP="00BC1D6E">
            <w:pPr>
              <w:pStyle w:val="ListParagraph"/>
              <w:numPr>
                <w:ilvl w:val="0"/>
                <w:numId w:val="23"/>
              </w:numPr>
              <w:rPr>
                <w:sz w:val="16"/>
                <w:szCs w:val="16"/>
                <w:lang w:val="en-GB"/>
              </w:rPr>
            </w:pPr>
            <w:r w:rsidRPr="00E8394D">
              <w:rPr>
                <w:sz w:val="16"/>
                <w:szCs w:val="16"/>
                <w:lang w:val="en-GB"/>
              </w:rPr>
              <w:t xml:space="preserve">Rule of </w:t>
            </w:r>
            <w:r w:rsidR="007C4817">
              <w:rPr>
                <w:sz w:val="16"/>
                <w:szCs w:val="16"/>
                <w:lang w:val="en-GB"/>
              </w:rPr>
              <w:t>l</w:t>
            </w:r>
            <w:r w:rsidRPr="00E8394D">
              <w:rPr>
                <w:sz w:val="16"/>
                <w:szCs w:val="16"/>
                <w:lang w:val="en-GB"/>
              </w:rPr>
              <w:t>aw</w:t>
            </w:r>
            <w:r w:rsidR="007C4817">
              <w:rPr>
                <w:sz w:val="16"/>
                <w:szCs w:val="16"/>
                <w:lang w:val="en-GB"/>
              </w:rPr>
              <w:t>:</w:t>
            </w:r>
            <w:r w:rsidRPr="00E8394D">
              <w:rPr>
                <w:sz w:val="16"/>
                <w:szCs w:val="16"/>
                <w:lang w:val="en-GB"/>
              </w:rPr>
              <w:t xml:space="preserve"> 19/100</w:t>
            </w:r>
          </w:p>
          <w:p w14:paraId="713ED13C" w14:textId="77777777" w:rsidR="00A674CA" w:rsidRPr="00E8394D" w:rsidRDefault="00A674CA" w:rsidP="00BC1D6E">
            <w:pPr>
              <w:ind w:left="360"/>
              <w:rPr>
                <w:b/>
                <w:bCs/>
                <w:sz w:val="16"/>
                <w:szCs w:val="16"/>
                <w:lang w:val="en-GB"/>
              </w:rPr>
            </w:pPr>
          </w:p>
          <w:p w14:paraId="11EDD2F3" w14:textId="77777777" w:rsidR="00A674CA" w:rsidRPr="00E8394D" w:rsidRDefault="00A674CA" w:rsidP="00BC1D6E">
            <w:pPr>
              <w:rPr>
                <w:b/>
                <w:sz w:val="16"/>
                <w:szCs w:val="16"/>
                <w:u w:val="single"/>
                <w:lang w:val="en-GB"/>
              </w:rPr>
            </w:pPr>
            <w:r w:rsidRPr="00E8394D">
              <w:rPr>
                <w:b/>
                <w:sz w:val="16"/>
                <w:szCs w:val="16"/>
                <w:u w:val="single"/>
                <w:lang w:val="en-GB"/>
              </w:rPr>
              <w:t>Target:</w:t>
            </w:r>
            <w:r w:rsidRPr="00E8394D">
              <w:rPr>
                <w:sz w:val="16"/>
                <w:szCs w:val="16"/>
                <w:lang w:val="en-GB"/>
              </w:rPr>
              <w:t xml:space="preserve"> </w:t>
            </w:r>
          </w:p>
          <w:p w14:paraId="6BC27A55" w14:textId="77777777" w:rsidR="00A674CA" w:rsidRPr="00E8394D" w:rsidRDefault="00A674CA" w:rsidP="00BC1D6E">
            <w:pPr>
              <w:pStyle w:val="ListParagraph"/>
              <w:numPr>
                <w:ilvl w:val="0"/>
                <w:numId w:val="23"/>
              </w:numPr>
              <w:rPr>
                <w:sz w:val="16"/>
                <w:szCs w:val="16"/>
                <w:lang w:val="en-GB"/>
              </w:rPr>
            </w:pPr>
            <w:r w:rsidRPr="00E8394D">
              <w:rPr>
                <w:sz w:val="16"/>
                <w:szCs w:val="16"/>
                <w:lang w:val="en-GB"/>
              </w:rPr>
              <w:t xml:space="preserve">Government </w:t>
            </w:r>
            <w:r w:rsidR="000855AB">
              <w:rPr>
                <w:sz w:val="16"/>
                <w:szCs w:val="16"/>
                <w:lang w:val="en-GB"/>
              </w:rPr>
              <w:t>e</w:t>
            </w:r>
            <w:r w:rsidRPr="00E8394D">
              <w:rPr>
                <w:sz w:val="16"/>
                <w:szCs w:val="16"/>
                <w:lang w:val="en-GB"/>
              </w:rPr>
              <w:t>ffectiveness</w:t>
            </w:r>
            <w:r w:rsidR="000855AB">
              <w:rPr>
                <w:sz w:val="16"/>
                <w:szCs w:val="16"/>
                <w:lang w:val="en-GB"/>
              </w:rPr>
              <w:t>:</w:t>
            </w:r>
            <w:r w:rsidRPr="00E8394D">
              <w:rPr>
                <w:sz w:val="16"/>
                <w:szCs w:val="16"/>
                <w:lang w:val="en-GB"/>
              </w:rPr>
              <w:t xml:space="preserve"> 35/100</w:t>
            </w:r>
          </w:p>
          <w:p w14:paraId="1EDC08B7" w14:textId="77777777" w:rsidR="00A674CA" w:rsidRPr="00E8394D" w:rsidRDefault="00A674CA" w:rsidP="00BC1D6E">
            <w:pPr>
              <w:pStyle w:val="ListParagraph"/>
              <w:numPr>
                <w:ilvl w:val="0"/>
                <w:numId w:val="23"/>
              </w:numPr>
              <w:rPr>
                <w:sz w:val="16"/>
                <w:szCs w:val="16"/>
                <w:lang w:val="en-GB"/>
              </w:rPr>
            </w:pPr>
            <w:r w:rsidRPr="00E8394D">
              <w:rPr>
                <w:sz w:val="16"/>
                <w:szCs w:val="16"/>
                <w:lang w:val="en-GB"/>
              </w:rPr>
              <w:t xml:space="preserve">Rule of </w:t>
            </w:r>
            <w:r w:rsidR="000855AB">
              <w:rPr>
                <w:sz w:val="16"/>
                <w:szCs w:val="16"/>
                <w:lang w:val="en-GB"/>
              </w:rPr>
              <w:t>l</w:t>
            </w:r>
            <w:r w:rsidRPr="00E8394D">
              <w:rPr>
                <w:sz w:val="16"/>
                <w:szCs w:val="16"/>
                <w:lang w:val="en-GB"/>
              </w:rPr>
              <w:t>aw</w:t>
            </w:r>
            <w:r w:rsidR="000855AB">
              <w:rPr>
                <w:sz w:val="16"/>
                <w:szCs w:val="16"/>
                <w:lang w:val="en-GB"/>
              </w:rPr>
              <w:t>:</w:t>
            </w:r>
            <w:r w:rsidRPr="00E8394D">
              <w:rPr>
                <w:sz w:val="16"/>
                <w:szCs w:val="16"/>
                <w:lang w:val="en-GB"/>
              </w:rPr>
              <w:t xml:space="preserve"> 24/100</w:t>
            </w:r>
          </w:p>
          <w:p w14:paraId="7A471571" w14:textId="77777777" w:rsidR="00A674CA" w:rsidRPr="00E8394D" w:rsidRDefault="00A674CA" w:rsidP="00BC1D6E">
            <w:pPr>
              <w:rPr>
                <w:rFonts w:eastAsiaTheme="minorHAnsi"/>
                <w:sz w:val="16"/>
                <w:szCs w:val="16"/>
                <w:lang w:val="en-GB"/>
              </w:rPr>
            </w:pPr>
          </w:p>
          <w:p w14:paraId="140E7C66" w14:textId="77777777" w:rsidR="00A674CA" w:rsidRPr="00E8394D" w:rsidRDefault="00A674CA" w:rsidP="00BC1D6E">
            <w:pPr>
              <w:rPr>
                <w:b/>
                <w:iCs/>
                <w:sz w:val="16"/>
                <w:szCs w:val="16"/>
                <w:u w:val="single"/>
                <w:lang w:val="en-GB"/>
              </w:rPr>
            </w:pPr>
            <w:r w:rsidRPr="00E8394D">
              <w:rPr>
                <w:b/>
                <w:iCs/>
                <w:sz w:val="16"/>
                <w:szCs w:val="16"/>
                <w:u w:val="single"/>
                <w:lang w:val="en-GB"/>
              </w:rPr>
              <w:t>Indicator:</w:t>
            </w:r>
          </w:p>
          <w:p w14:paraId="0AC721B6" w14:textId="77777777" w:rsidR="00A674CA" w:rsidRPr="0043128F" w:rsidRDefault="00A674CA" w:rsidP="00BC1D6E">
            <w:pPr>
              <w:rPr>
                <w:iCs/>
                <w:sz w:val="16"/>
                <w:szCs w:val="16"/>
                <w:lang w:val="en-GB"/>
              </w:rPr>
            </w:pPr>
            <w:r w:rsidRPr="0043128F">
              <w:rPr>
                <w:iCs/>
                <w:sz w:val="16"/>
                <w:szCs w:val="16"/>
                <w:lang w:val="en-GB"/>
              </w:rPr>
              <w:t>3 pillars of the Bougainville Peace Agreement implemented</w:t>
            </w:r>
          </w:p>
          <w:p w14:paraId="1464EFA1" w14:textId="77777777" w:rsidR="00A674CA" w:rsidRPr="00E8394D" w:rsidRDefault="00A674CA" w:rsidP="00BC1D6E">
            <w:pPr>
              <w:rPr>
                <w:sz w:val="16"/>
                <w:szCs w:val="16"/>
                <w:lang w:val="en-GB"/>
              </w:rPr>
            </w:pPr>
          </w:p>
          <w:p w14:paraId="7F49A2EA" w14:textId="77777777" w:rsidR="00A674CA" w:rsidRPr="00E8394D" w:rsidRDefault="00A674CA" w:rsidP="00BC1D6E">
            <w:pPr>
              <w:rPr>
                <w:b/>
                <w:iCs/>
                <w:sz w:val="16"/>
                <w:szCs w:val="16"/>
                <w:lang w:val="en-GB"/>
              </w:rPr>
            </w:pPr>
          </w:p>
          <w:p w14:paraId="46FBEA63" w14:textId="77777777" w:rsidR="00A674CA" w:rsidRDefault="00A674CA" w:rsidP="00BC1D6E">
            <w:pPr>
              <w:rPr>
                <w:bCs/>
                <w:sz w:val="16"/>
                <w:szCs w:val="16"/>
                <w:lang w:val="en-GB"/>
              </w:rPr>
            </w:pPr>
            <w:r w:rsidRPr="00E8394D">
              <w:rPr>
                <w:b/>
                <w:iCs/>
                <w:sz w:val="16"/>
                <w:szCs w:val="16"/>
                <w:u w:val="single"/>
                <w:lang w:val="en-GB"/>
              </w:rPr>
              <w:t>Baseline:</w:t>
            </w:r>
            <w:r w:rsidRPr="00E8394D">
              <w:rPr>
                <w:b/>
                <w:bCs/>
                <w:sz w:val="16"/>
                <w:szCs w:val="16"/>
                <w:u w:val="single"/>
                <w:lang w:val="en-GB"/>
              </w:rPr>
              <w:t xml:space="preserve"> </w:t>
            </w:r>
            <w:r w:rsidRPr="00E8394D">
              <w:rPr>
                <w:bCs/>
                <w:sz w:val="16"/>
                <w:szCs w:val="16"/>
                <w:lang w:val="en-GB"/>
              </w:rPr>
              <w:t>June 15, 2019 target for referendum</w:t>
            </w:r>
          </w:p>
          <w:p w14:paraId="495BA9B6" w14:textId="77777777" w:rsidR="000855AB" w:rsidRPr="00E8394D" w:rsidRDefault="000855AB" w:rsidP="00BC1D6E">
            <w:pPr>
              <w:rPr>
                <w:bCs/>
                <w:sz w:val="16"/>
                <w:szCs w:val="16"/>
                <w:lang w:val="en-GB"/>
              </w:rPr>
            </w:pPr>
          </w:p>
          <w:p w14:paraId="5C8A8B79" w14:textId="77777777" w:rsidR="000855AB" w:rsidRDefault="00A674CA" w:rsidP="00BC1D6E">
            <w:pPr>
              <w:rPr>
                <w:iCs/>
                <w:sz w:val="16"/>
                <w:szCs w:val="16"/>
                <w:lang w:val="en-GB"/>
              </w:rPr>
            </w:pPr>
            <w:r w:rsidRPr="00E8394D">
              <w:rPr>
                <w:b/>
                <w:bCs/>
                <w:sz w:val="16"/>
                <w:szCs w:val="16"/>
                <w:u w:val="single"/>
                <w:lang w:val="en-GB"/>
              </w:rPr>
              <w:t>Target</w:t>
            </w:r>
            <w:r w:rsidRPr="00E8394D">
              <w:rPr>
                <w:b/>
                <w:bCs/>
                <w:sz w:val="16"/>
                <w:szCs w:val="16"/>
                <w:lang w:val="en-GB"/>
              </w:rPr>
              <w:t>:</w:t>
            </w:r>
            <w:r w:rsidRPr="00E8394D">
              <w:rPr>
                <w:b/>
                <w:iCs/>
                <w:sz w:val="16"/>
                <w:szCs w:val="16"/>
                <w:u w:val="single"/>
                <w:lang w:val="en-GB"/>
              </w:rPr>
              <w:t xml:space="preserve"> </w:t>
            </w:r>
            <w:r w:rsidRPr="00E8394D">
              <w:rPr>
                <w:b/>
                <w:iCs/>
                <w:sz w:val="16"/>
                <w:szCs w:val="16"/>
                <w:lang w:val="en-GB"/>
              </w:rPr>
              <w:t xml:space="preserve"> </w:t>
            </w:r>
            <w:r w:rsidRPr="00E8394D">
              <w:rPr>
                <w:iCs/>
                <w:sz w:val="16"/>
                <w:szCs w:val="16"/>
                <w:lang w:val="en-GB"/>
              </w:rPr>
              <w:t xml:space="preserve">National Government and ABG </w:t>
            </w:r>
            <w:r w:rsidR="000855AB">
              <w:rPr>
                <w:iCs/>
                <w:sz w:val="16"/>
                <w:szCs w:val="16"/>
                <w:lang w:val="en-GB"/>
              </w:rPr>
              <w:t>j</w:t>
            </w:r>
            <w:r w:rsidRPr="00E8394D">
              <w:rPr>
                <w:iCs/>
                <w:sz w:val="16"/>
                <w:szCs w:val="16"/>
                <w:lang w:val="en-GB"/>
              </w:rPr>
              <w:t xml:space="preserve">oint </w:t>
            </w:r>
            <w:r w:rsidR="000855AB">
              <w:rPr>
                <w:iCs/>
                <w:sz w:val="16"/>
                <w:szCs w:val="16"/>
                <w:lang w:val="en-GB"/>
              </w:rPr>
              <w:t>s</w:t>
            </w:r>
            <w:r w:rsidRPr="00E8394D">
              <w:rPr>
                <w:iCs/>
                <w:sz w:val="16"/>
                <w:szCs w:val="16"/>
                <w:lang w:val="en-GB"/>
              </w:rPr>
              <w:t xml:space="preserve">upervisory </w:t>
            </w:r>
            <w:r w:rsidR="000855AB">
              <w:rPr>
                <w:iCs/>
                <w:sz w:val="16"/>
                <w:szCs w:val="16"/>
                <w:lang w:val="en-GB"/>
              </w:rPr>
              <w:t>b</w:t>
            </w:r>
            <w:r w:rsidRPr="00E8394D">
              <w:rPr>
                <w:iCs/>
                <w:sz w:val="16"/>
                <w:szCs w:val="16"/>
                <w:lang w:val="en-GB"/>
              </w:rPr>
              <w:t xml:space="preserve">ody </w:t>
            </w:r>
            <w:r w:rsidR="000855AB">
              <w:rPr>
                <w:iCs/>
                <w:sz w:val="16"/>
                <w:szCs w:val="16"/>
                <w:lang w:val="en-GB"/>
              </w:rPr>
              <w:t>m</w:t>
            </w:r>
            <w:r w:rsidRPr="00E8394D">
              <w:rPr>
                <w:iCs/>
                <w:sz w:val="16"/>
                <w:szCs w:val="16"/>
                <w:lang w:val="en-GB"/>
              </w:rPr>
              <w:t>eeting agreements</w:t>
            </w:r>
            <w:r w:rsidR="000855AB">
              <w:rPr>
                <w:iCs/>
                <w:sz w:val="16"/>
                <w:szCs w:val="16"/>
                <w:lang w:val="en-GB"/>
              </w:rPr>
              <w:t>;</w:t>
            </w:r>
          </w:p>
          <w:p w14:paraId="4A15916D" w14:textId="77777777" w:rsidR="000855AB" w:rsidRDefault="000855AB" w:rsidP="00BC1D6E">
            <w:pPr>
              <w:rPr>
                <w:iCs/>
                <w:sz w:val="16"/>
                <w:szCs w:val="16"/>
                <w:lang w:val="en-GB"/>
              </w:rPr>
            </w:pPr>
            <w:r>
              <w:rPr>
                <w:iCs/>
                <w:sz w:val="16"/>
                <w:szCs w:val="16"/>
                <w:lang w:val="en-GB"/>
              </w:rPr>
              <w:t>R</w:t>
            </w:r>
            <w:r w:rsidR="00A674CA" w:rsidRPr="00E8394D">
              <w:rPr>
                <w:iCs/>
                <w:sz w:val="16"/>
                <w:szCs w:val="16"/>
                <w:lang w:val="en-GB"/>
              </w:rPr>
              <w:t>esolutions and action plans delivered within agreed timeframes</w:t>
            </w:r>
            <w:r>
              <w:rPr>
                <w:iCs/>
                <w:sz w:val="16"/>
                <w:szCs w:val="16"/>
                <w:lang w:val="en-GB"/>
              </w:rPr>
              <w:t>;</w:t>
            </w:r>
          </w:p>
          <w:p w14:paraId="3878CEBA" w14:textId="77777777" w:rsidR="000855AB" w:rsidRDefault="00A674CA" w:rsidP="00BC1D6E">
            <w:pPr>
              <w:rPr>
                <w:iCs/>
                <w:sz w:val="16"/>
                <w:szCs w:val="16"/>
                <w:lang w:val="en-GB"/>
              </w:rPr>
            </w:pPr>
            <w:r w:rsidRPr="00E8394D">
              <w:rPr>
                <w:iCs/>
                <w:sz w:val="16"/>
                <w:szCs w:val="16"/>
                <w:lang w:val="en-GB"/>
              </w:rPr>
              <w:t xml:space="preserve">Three </w:t>
            </w:r>
            <w:r w:rsidR="000855AB">
              <w:rPr>
                <w:iCs/>
                <w:sz w:val="16"/>
                <w:szCs w:val="16"/>
                <w:lang w:val="en-GB"/>
              </w:rPr>
              <w:t>p</w:t>
            </w:r>
            <w:r w:rsidRPr="00E8394D">
              <w:rPr>
                <w:iCs/>
                <w:sz w:val="16"/>
                <w:szCs w:val="16"/>
                <w:lang w:val="en-GB"/>
              </w:rPr>
              <w:t>illars of peace agreement</w:t>
            </w:r>
            <w:r w:rsidR="000855AB">
              <w:rPr>
                <w:iCs/>
                <w:sz w:val="16"/>
                <w:szCs w:val="16"/>
                <w:lang w:val="en-GB"/>
              </w:rPr>
              <w:t>;</w:t>
            </w:r>
            <w:r w:rsidRPr="00E8394D">
              <w:rPr>
                <w:iCs/>
                <w:sz w:val="16"/>
                <w:szCs w:val="16"/>
                <w:lang w:val="en-GB"/>
              </w:rPr>
              <w:t xml:space="preserve"> </w:t>
            </w:r>
          </w:p>
          <w:p w14:paraId="0D9F7E08" w14:textId="77777777" w:rsidR="000855AB" w:rsidRDefault="000855AB" w:rsidP="00BC1D6E">
            <w:pPr>
              <w:rPr>
                <w:iCs/>
                <w:sz w:val="16"/>
                <w:szCs w:val="16"/>
                <w:lang w:val="en-GB"/>
              </w:rPr>
            </w:pPr>
            <w:r>
              <w:rPr>
                <w:iCs/>
                <w:sz w:val="16"/>
                <w:szCs w:val="16"/>
                <w:lang w:val="en-GB"/>
              </w:rPr>
              <w:t>E</w:t>
            </w:r>
            <w:r w:rsidR="00A674CA" w:rsidRPr="00E8394D">
              <w:rPr>
                <w:iCs/>
                <w:sz w:val="16"/>
                <w:szCs w:val="16"/>
                <w:lang w:val="en-GB"/>
              </w:rPr>
              <w:t>stablishment of independent agency to conduct referendum</w:t>
            </w:r>
            <w:r>
              <w:rPr>
                <w:iCs/>
                <w:sz w:val="16"/>
                <w:szCs w:val="16"/>
                <w:lang w:val="en-GB"/>
              </w:rPr>
              <w:t>;</w:t>
            </w:r>
            <w:r w:rsidR="00A674CA" w:rsidRPr="00E8394D">
              <w:rPr>
                <w:iCs/>
                <w:sz w:val="16"/>
                <w:szCs w:val="16"/>
                <w:lang w:val="en-GB"/>
              </w:rPr>
              <w:t xml:space="preserve"> </w:t>
            </w:r>
            <w:r>
              <w:rPr>
                <w:iCs/>
                <w:sz w:val="16"/>
                <w:szCs w:val="16"/>
                <w:lang w:val="en-GB"/>
              </w:rPr>
              <w:t>W</w:t>
            </w:r>
            <w:r w:rsidR="00A674CA" w:rsidRPr="00E8394D">
              <w:rPr>
                <w:iCs/>
                <w:sz w:val="16"/>
                <w:szCs w:val="16"/>
                <w:lang w:val="en-GB"/>
              </w:rPr>
              <w:t>eapons disposal plan and strategy implemented</w:t>
            </w:r>
            <w:r>
              <w:rPr>
                <w:iCs/>
                <w:sz w:val="16"/>
                <w:szCs w:val="16"/>
                <w:lang w:val="en-GB"/>
              </w:rPr>
              <w:t>;</w:t>
            </w:r>
          </w:p>
          <w:p w14:paraId="3AB29ED2" w14:textId="77777777" w:rsidR="00A674CA" w:rsidRPr="00E8394D" w:rsidRDefault="000855AB" w:rsidP="00BC1D6E">
            <w:pPr>
              <w:rPr>
                <w:iCs/>
                <w:sz w:val="16"/>
                <w:szCs w:val="16"/>
                <w:lang w:val="en-GB"/>
              </w:rPr>
            </w:pPr>
            <w:r>
              <w:rPr>
                <w:iCs/>
                <w:sz w:val="16"/>
                <w:szCs w:val="16"/>
                <w:lang w:val="en-GB"/>
              </w:rPr>
              <w:t>G</w:t>
            </w:r>
            <w:r w:rsidR="00A674CA" w:rsidRPr="00E8394D">
              <w:rPr>
                <w:iCs/>
                <w:sz w:val="16"/>
                <w:szCs w:val="16"/>
                <w:lang w:val="en-GB"/>
              </w:rPr>
              <w:t>ood governance assessment conducted</w:t>
            </w:r>
            <w:r>
              <w:rPr>
                <w:iCs/>
                <w:sz w:val="16"/>
                <w:szCs w:val="16"/>
                <w:lang w:val="en-GB"/>
              </w:rPr>
              <w:t>.</w:t>
            </w:r>
          </w:p>
          <w:p w14:paraId="7183B4AE" w14:textId="77777777" w:rsidR="00A674CA" w:rsidRPr="00E8394D" w:rsidRDefault="00A674CA" w:rsidP="00BC1D6E">
            <w:pPr>
              <w:rPr>
                <w:rFonts w:eastAsiaTheme="minorHAnsi"/>
                <w:sz w:val="16"/>
                <w:szCs w:val="16"/>
                <w:lang w:val="en-GB"/>
              </w:rPr>
            </w:pPr>
          </w:p>
        </w:tc>
        <w:tc>
          <w:tcPr>
            <w:tcW w:w="595" w:type="pct"/>
            <w:gridSpan w:val="3"/>
            <w:tcBorders>
              <w:bottom w:val="single" w:sz="4" w:space="0" w:color="auto"/>
            </w:tcBorders>
          </w:tcPr>
          <w:p w14:paraId="64B7619B" w14:textId="77777777" w:rsidR="00A674CA" w:rsidRPr="00E8394D" w:rsidRDefault="00A674CA" w:rsidP="00BC1D6E">
            <w:pPr>
              <w:rPr>
                <w:sz w:val="16"/>
                <w:szCs w:val="16"/>
                <w:lang w:val="en-GB"/>
              </w:rPr>
            </w:pPr>
            <w:r w:rsidRPr="00E8394D">
              <w:rPr>
                <w:sz w:val="16"/>
                <w:szCs w:val="16"/>
                <w:lang w:val="en-GB"/>
              </w:rPr>
              <w:lastRenderedPageBreak/>
              <w:t>World Bank</w:t>
            </w:r>
          </w:p>
          <w:p w14:paraId="6A2874D0" w14:textId="77777777" w:rsidR="00A674CA" w:rsidRPr="00E8394D" w:rsidRDefault="00A674CA" w:rsidP="00BC1D6E">
            <w:pPr>
              <w:ind w:left="65"/>
              <w:rPr>
                <w:rFonts w:eastAsiaTheme="minorHAnsi"/>
                <w:sz w:val="16"/>
                <w:szCs w:val="16"/>
                <w:lang w:val="en-GB"/>
              </w:rPr>
            </w:pPr>
          </w:p>
          <w:p w14:paraId="2D1632EB" w14:textId="77777777" w:rsidR="00A674CA" w:rsidRPr="00E8394D" w:rsidRDefault="00A674CA" w:rsidP="00BC1D6E">
            <w:pPr>
              <w:ind w:left="65"/>
              <w:rPr>
                <w:rFonts w:eastAsiaTheme="minorHAnsi"/>
                <w:sz w:val="16"/>
                <w:szCs w:val="16"/>
                <w:lang w:val="en-GB"/>
              </w:rPr>
            </w:pPr>
          </w:p>
          <w:p w14:paraId="47AC35AA" w14:textId="77777777" w:rsidR="00A674CA" w:rsidRPr="00E8394D" w:rsidRDefault="00A674CA" w:rsidP="00BC1D6E">
            <w:pPr>
              <w:ind w:left="65"/>
              <w:rPr>
                <w:rFonts w:eastAsiaTheme="minorHAnsi"/>
                <w:sz w:val="16"/>
                <w:szCs w:val="16"/>
                <w:lang w:val="en-GB"/>
              </w:rPr>
            </w:pPr>
          </w:p>
          <w:p w14:paraId="3493A1DC" w14:textId="77777777" w:rsidR="00A674CA" w:rsidRPr="00E8394D" w:rsidRDefault="00A674CA" w:rsidP="00BC1D6E">
            <w:pPr>
              <w:ind w:left="65"/>
              <w:rPr>
                <w:rFonts w:eastAsiaTheme="minorHAnsi"/>
                <w:sz w:val="16"/>
                <w:szCs w:val="16"/>
                <w:lang w:val="en-GB"/>
              </w:rPr>
            </w:pPr>
          </w:p>
          <w:p w14:paraId="1EB54C5E" w14:textId="77777777" w:rsidR="00A674CA" w:rsidRPr="00E8394D" w:rsidRDefault="00A674CA" w:rsidP="00BC1D6E">
            <w:pPr>
              <w:ind w:left="65"/>
              <w:rPr>
                <w:rFonts w:eastAsiaTheme="minorHAnsi"/>
                <w:sz w:val="16"/>
                <w:szCs w:val="16"/>
                <w:lang w:val="en-GB"/>
              </w:rPr>
            </w:pPr>
          </w:p>
          <w:p w14:paraId="2C3F64A7" w14:textId="77777777" w:rsidR="00A674CA" w:rsidRPr="00E8394D" w:rsidRDefault="00A674CA" w:rsidP="00BC1D6E">
            <w:pPr>
              <w:ind w:left="65"/>
              <w:rPr>
                <w:rFonts w:eastAsiaTheme="minorHAnsi"/>
                <w:sz w:val="16"/>
                <w:szCs w:val="16"/>
                <w:lang w:val="en-GB"/>
              </w:rPr>
            </w:pPr>
          </w:p>
          <w:p w14:paraId="17051E7B" w14:textId="77777777" w:rsidR="00A674CA" w:rsidRPr="00E8394D" w:rsidRDefault="00A674CA" w:rsidP="00BC1D6E">
            <w:pPr>
              <w:ind w:left="65"/>
              <w:rPr>
                <w:rFonts w:eastAsiaTheme="minorHAnsi"/>
                <w:sz w:val="16"/>
                <w:szCs w:val="16"/>
                <w:lang w:val="en-GB"/>
              </w:rPr>
            </w:pPr>
          </w:p>
          <w:p w14:paraId="3A6F16EC" w14:textId="77777777" w:rsidR="00A674CA" w:rsidRPr="00E8394D" w:rsidRDefault="00A674CA" w:rsidP="00BC1D6E">
            <w:pPr>
              <w:ind w:left="65"/>
              <w:rPr>
                <w:rFonts w:eastAsiaTheme="minorHAnsi"/>
                <w:sz w:val="16"/>
                <w:szCs w:val="16"/>
                <w:lang w:val="en-GB"/>
              </w:rPr>
            </w:pPr>
          </w:p>
          <w:p w14:paraId="52CF2517" w14:textId="77777777" w:rsidR="00A674CA" w:rsidRPr="00E8394D" w:rsidRDefault="00A674CA" w:rsidP="00BC1D6E">
            <w:pPr>
              <w:ind w:left="65"/>
              <w:rPr>
                <w:rFonts w:eastAsiaTheme="minorHAnsi"/>
                <w:sz w:val="16"/>
                <w:szCs w:val="16"/>
                <w:lang w:val="en-GB"/>
              </w:rPr>
            </w:pPr>
          </w:p>
          <w:p w14:paraId="6FCEB686" w14:textId="77777777" w:rsidR="00A674CA" w:rsidRPr="00E8394D" w:rsidRDefault="00A674CA" w:rsidP="00BC1D6E">
            <w:pPr>
              <w:ind w:left="65"/>
              <w:rPr>
                <w:rFonts w:eastAsiaTheme="minorHAnsi"/>
                <w:sz w:val="16"/>
                <w:szCs w:val="16"/>
                <w:lang w:val="en-GB"/>
              </w:rPr>
            </w:pPr>
          </w:p>
          <w:p w14:paraId="683D2458" w14:textId="77777777" w:rsidR="00A674CA" w:rsidRPr="00E8394D" w:rsidRDefault="00A674CA" w:rsidP="00BC1D6E">
            <w:pPr>
              <w:ind w:left="65"/>
              <w:rPr>
                <w:rFonts w:eastAsiaTheme="minorHAnsi"/>
                <w:sz w:val="16"/>
                <w:szCs w:val="16"/>
                <w:lang w:val="en-GB"/>
              </w:rPr>
            </w:pPr>
          </w:p>
          <w:p w14:paraId="0CA832F1" w14:textId="77777777" w:rsidR="00A674CA" w:rsidRPr="00E8394D" w:rsidRDefault="00A674CA" w:rsidP="00BC1D6E">
            <w:pPr>
              <w:ind w:left="65"/>
              <w:rPr>
                <w:rFonts w:eastAsiaTheme="minorHAnsi"/>
                <w:sz w:val="16"/>
                <w:szCs w:val="16"/>
                <w:lang w:val="en-GB"/>
              </w:rPr>
            </w:pPr>
          </w:p>
          <w:p w14:paraId="2BB6FB67" w14:textId="77777777" w:rsidR="00A674CA" w:rsidRPr="00E8394D" w:rsidRDefault="00A674CA" w:rsidP="00BC1D6E">
            <w:pPr>
              <w:ind w:left="65"/>
              <w:rPr>
                <w:rFonts w:eastAsiaTheme="minorHAnsi"/>
                <w:sz w:val="16"/>
                <w:szCs w:val="16"/>
                <w:lang w:val="en-GB"/>
              </w:rPr>
            </w:pPr>
          </w:p>
          <w:p w14:paraId="25D76C92" w14:textId="77777777" w:rsidR="00A674CA" w:rsidRPr="00E8394D" w:rsidRDefault="00A674CA" w:rsidP="00BC1D6E">
            <w:pPr>
              <w:ind w:left="65"/>
              <w:rPr>
                <w:rFonts w:eastAsiaTheme="minorHAnsi"/>
                <w:sz w:val="16"/>
                <w:szCs w:val="16"/>
                <w:lang w:val="en-GB"/>
              </w:rPr>
            </w:pPr>
          </w:p>
          <w:p w14:paraId="546CE1D3" w14:textId="77777777" w:rsidR="00A674CA" w:rsidRPr="00E8394D" w:rsidRDefault="00A674CA" w:rsidP="00BC1D6E">
            <w:pPr>
              <w:ind w:left="65"/>
              <w:rPr>
                <w:rFonts w:eastAsiaTheme="minorHAnsi"/>
                <w:sz w:val="16"/>
                <w:szCs w:val="16"/>
                <w:lang w:val="en-GB"/>
              </w:rPr>
            </w:pPr>
            <w:r w:rsidRPr="00E8394D">
              <w:rPr>
                <w:rFonts w:eastAsiaTheme="minorHAnsi"/>
                <w:sz w:val="16"/>
                <w:szCs w:val="16"/>
                <w:lang w:val="en-GB"/>
              </w:rPr>
              <w:t xml:space="preserve">Resolutions passed by the National Government and </w:t>
            </w:r>
            <w:r w:rsidR="00965C51">
              <w:rPr>
                <w:rFonts w:eastAsiaTheme="minorHAnsi"/>
                <w:sz w:val="16"/>
                <w:szCs w:val="16"/>
                <w:lang w:val="en-GB"/>
              </w:rPr>
              <w:t>Autonomous Bougainville Government (</w:t>
            </w:r>
            <w:r w:rsidRPr="00E8394D">
              <w:rPr>
                <w:rFonts w:eastAsiaTheme="minorHAnsi"/>
                <w:sz w:val="16"/>
                <w:szCs w:val="16"/>
                <w:lang w:val="en-GB"/>
              </w:rPr>
              <w:t>ABG</w:t>
            </w:r>
            <w:r w:rsidR="00965C51">
              <w:rPr>
                <w:rFonts w:eastAsiaTheme="minorHAnsi"/>
                <w:sz w:val="16"/>
                <w:szCs w:val="16"/>
                <w:lang w:val="en-GB"/>
              </w:rPr>
              <w:t>)</w:t>
            </w:r>
            <w:r w:rsidRPr="00E8394D">
              <w:rPr>
                <w:rFonts w:eastAsiaTheme="minorHAnsi"/>
                <w:sz w:val="16"/>
                <w:szCs w:val="16"/>
                <w:lang w:val="en-GB"/>
              </w:rPr>
              <w:t xml:space="preserve"> Joint Supervisory Body to enable the referendum and post-referendum support</w:t>
            </w:r>
          </w:p>
        </w:tc>
        <w:tc>
          <w:tcPr>
            <w:tcW w:w="1876" w:type="pct"/>
            <w:tcBorders>
              <w:bottom w:val="single" w:sz="4" w:space="0" w:color="auto"/>
            </w:tcBorders>
            <w:tcMar>
              <w:top w:w="72" w:type="dxa"/>
              <w:left w:w="144" w:type="dxa"/>
              <w:bottom w:w="72" w:type="dxa"/>
              <w:right w:w="144" w:type="dxa"/>
            </w:tcMar>
          </w:tcPr>
          <w:p w14:paraId="70202BC0" w14:textId="77777777" w:rsidR="00A674CA" w:rsidRPr="00E8394D" w:rsidRDefault="00512D7B" w:rsidP="00BC1D6E">
            <w:pPr>
              <w:rPr>
                <w:b/>
                <w:sz w:val="16"/>
                <w:szCs w:val="16"/>
                <w:lang w:val="en-GB"/>
              </w:rPr>
            </w:pPr>
            <w:r>
              <w:rPr>
                <w:b/>
                <w:sz w:val="16"/>
                <w:szCs w:val="16"/>
                <w:lang w:val="en-GB"/>
              </w:rPr>
              <w:t>Output</w:t>
            </w:r>
            <w:r w:rsidRPr="00E8394D">
              <w:rPr>
                <w:b/>
                <w:sz w:val="16"/>
                <w:szCs w:val="16"/>
                <w:lang w:val="en-GB"/>
              </w:rPr>
              <w:t xml:space="preserve"> </w:t>
            </w:r>
            <w:r w:rsidR="00A674CA" w:rsidRPr="00E8394D">
              <w:rPr>
                <w:b/>
                <w:sz w:val="16"/>
                <w:szCs w:val="16"/>
                <w:lang w:val="en-GB"/>
              </w:rPr>
              <w:t>1.1: Institutions have strengthened systems and capacities to perform their functions, roles and responsibilities in support of good governance, service delivery, democracy, peace and security</w:t>
            </w:r>
            <w:r>
              <w:rPr>
                <w:b/>
                <w:sz w:val="16"/>
                <w:szCs w:val="16"/>
                <w:lang w:val="en-GB"/>
              </w:rPr>
              <w:t>.</w:t>
            </w:r>
          </w:p>
          <w:p w14:paraId="1D3B4543" w14:textId="77777777" w:rsidR="00A674CA" w:rsidRPr="00E8394D" w:rsidRDefault="00A674CA" w:rsidP="00BC1D6E">
            <w:pPr>
              <w:pStyle w:val="Default"/>
              <w:tabs>
                <w:tab w:val="left" w:pos="958"/>
              </w:tabs>
              <w:rPr>
                <w:rFonts w:ascii="Times New Roman" w:hAnsi="Times New Roman" w:cs="Times New Roman"/>
                <w:color w:val="auto"/>
                <w:sz w:val="16"/>
                <w:szCs w:val="16"/>
                <w:lang w:val="en-GB" w:eastAsia="en-US"/>
              </w:rPr>
            </w:pPr>
          </w:p>
          <w:p w14:paraId="05DCCD05" w14:textId="77777777" w:rsidR="00A674CA" w:rsidRPr="00E8394D" w:rsidRDefault="00A674CA" w:rsidP="00BC1D6E">
            <w:pPr>
              <w:rPr>
                <w:sz w:val="16"/>
                <w:szCs w:val="16"/>
                <w:lang w:val="en-GB"/>
              </w:rPr>
            </w:pPr>
            <w:r w:rsidRPr="00E8394D">
              <w:rPr>
                <w:b/>
                <w:sz w:val="16"/>
                <w:szCs w:val="16"/>
                <w:lang w:val="en-GB"/>
              </w:rPr>
              <w:t>1.1.1</w:t>
            </w:r>
            <w:r w:rsidRPr="00E8394D">
              <w:rPr>
                <w:sz w:val="16"/>
                <w:szCs w:val="16"/>
                <w:lang w:val="en-GB"/>
              </w:rPr>
              <w:t xml:space="preserve"> Improvement in </w:t>
            </w:r>
            <w:r w:rsidR="00512D7B">
              <w:rPr>
                <w:sz w:val="16"/>
                <w:szCs w:val="16"/>
                <w:lang w:val="en-GB"/>
              </w:rPr>
              <w:t>p</w:t>
            </w:r>
            <w:r w:rsidRPr="00E8394D">
              <w:rPr>
                <w:sz w:val="16"/>
                <w:szCs w:val="16"/>
                <w:lang w:val="en-GB"/>
              </w:rPr>
              <w:t xml:space="preserve">arliamentary </w:t>
            </w:r>
            <w:r w:rsidR="00512D7B">
              <w:rPr>
                <w:sz w:val="16"/>
                <w:szCs w:val="16"/>
                <w:lang w:val="en-GB"/>
              </w:rPr>
              <w:t>c</w:t>
            </w:r>
            <w:r w:rsidRPr="00E8394D">
              <w:rPr>
                <w:sz w:val="16"/>
                <w:szCs w:val="16"/>
                <w:lang w:val="en-GB"/>
              </w:rPr>
              <w:t>ommittees’ performance in roles and functions as outlined in their legal framework and legislation against qualitative indicator ranking (</w:t>
            </w:r>
            <w:r w:rsidR="00512D7B">
              <w:rPr>
                <w:sz w:val="16"/>
                <w:szCs w:val="16"/>
                <w:lang w:val="en-GB"/>
              </w:rPr>
              <w:t>integrated results and resources framework (</w:t>
            </w:r>
            <w:r w:rsidRPr="00E8394D">
              <w:rPr>
                <w:sz w:val="16"/>
                <w:szCs w:val="16"/>
                <w:lang w:val="en-GB"/>
              </w:rPr>
              <w:t>IRRF</w:t>
            </w:r>
            <w:r w:rsidR="00512D7B">
              <w:rPr>
                <w:sz w:val="16"/>
                <w:szCs w:val="16"/>
                <w:lang w:val="en-GB"/>
              </w:rPr>
              <w:t>)</w:t>
            </w:r>
            <w:r w:rsidRPr="00E8394D">
              <w:rPr>
                <w:sz w:val="16"/>
                <w:szCs w:val="16"/>
                <w:lang w:val="en-GB"/>
              </w:rPr>
              <w:t xml:space="preserve"> 2.1.1)  </w:t>
            </w:r>
          </w:p>
          <w:p w14:paraId="02B1FCB5" w14:textId="77777777" w:rsidR="00A674CA" w:rsidRPr="00E8394D" w:rsidRDefault="00A674CA" w:rsidP="00BC1D6E">
            <w:pPr>
              <w:rPr>
                <w:sz w:val="16"/>
                <w:szCs w:val="16"/>
                <w:lang w:val="en-GB"/>
              </w:rPr>
            </w:pPr>
            <w:r w:rsidRPr="00E8394D">
              <w:rPr>
                <w:b/>
                <w:sz w:val="16"/>
                <w:szCs w:val="16"/>
                <w:lang w:val="en-GB"/>
              </w:rPr>
              <w:t>Baseline</w:t>
            </w:r>
            <w:r w:rsidRPr="00E8394D">
              <w:rPr>
                <w:sz w:val="16"/>
                <w:szCs w:val="16"/>
                <w:lang w:val="en-GB"/>
              </w:rPr>
              <w:t>: Qualitative rating scale TBD in 2018</w:t>
            </w:r>
          </w:p>
          <w:p w14:paraId="01384E9A" w14:textId="77777777" w:rsidR="00A674CA" w:rsidRPr="00E8394D" w:rsidRDefault="00A674CA" w:rsidP="00BC1D6E">
            <w:pPr>
              <w:rPr>
                <w:sz w:val="16"/>
                <w:szCs w:val="16"/>
                <w:lang w:val="en-GB"/>
              </w:rPr>
            </w:pPr>
            <w:r w:rsidRPr="00E8394D">
              <w:rPr>
                <w:b/>
                <w:sz w:val="16"/>
                <w:szCs w:val="16"/>
                <w:lang w:val="en-GB"/>
              </w:rPr>
              <w:t>Target</w:t>
            </w:r>
            <w:r w:rsidRPr="00E8394D">
              <w:rPr>
                <w:sz w:val="16"/>
                <w:szCs w:val="16"/>
                <w:lang w:val="en-GB"/>
              </w:rPr>
              <w:t xml:space="preserve">: TBD in 2018 </w:t>
            </w:r>
          </w:p>
          <w:p w14:paraId="682C08D1" w14:textId="77777777" w:rsidR="00A674CA" w:rsidRPr="00E8394D" w:rsidRDefault="00A674CA" w:rsidP="00BC1D6E">
            <w:pPr>
              <w:rPr>
                <w:sz w:val="16"/>
                <w:szCs w:val="16"/>
                <w:lang w:val="en-GB"/>
              </w:rPr>
            </w:pPr>
            <w:r w:rsidRPr="00E8394D">
              <w:rPr>
                <w:b/>
                <w:sz w:val="16"/>
                <w:szCs w:val="16"/>
                <w:lang w:val="en-GB"/>
              </w:rPr>
              <w:t>Source</w:t>
            </w:r>
            <w:r w:rsidRPr="00E8394D">
              <w:rPr>
                <w:sz w:val="16"/>
                <w:szCs w:val="16"/>
                <w:lang w:val="en-GB"/>
              </w:rPr>
              <w:t xml:space="preserve">: Parliamentary </w:t>
            </w:r>
            <w:r w:rsidR="00512D7B">
              <w:rPr>
                <w:sz w:val="16"/>
                <w:szCs w:val="16"/>
                <w:lang w:val="en-GB"/>
              </w:rPr>
              <w:t>c</w:t>
            </w:r>
            <w:r w:rsidRPr="00E8394D">
              <w:rPr>
                <w:sz w:val="16"/>
                <w:szCs w:val="16"/>
                <w:lang w:val="en-GB"/>
              </w:rPr>
              <w:t>ommittee annual reports</w:t>
            </w:r>
          </w:p>
          <w:p w14:paraId="7C5B2477" w14:textId="77777777" w:rsidR="00A674CA" w:rsidRPr="00E8394D" w:rsidRDefault="00A674CA" w:rsidP="00BC1D6E">
            <w:pPr>
              <w:rPr>
                <w:sz w:val="16"/>
                <w:szCs w:val="16"/>
                <w:lang w:val="en-GB"/>
              </w:rPr>
            </w:pPr>
          </w:p>
          <w:p w14:paraId="4F92E191" w14:textId="77777777" w:rsidR="00A674CA" w:rsidRPr="00E8394D" w:rsidRDefault="00A674CA" w:rsidP="00BC1D6E">
            <w:pPr>
              <w:rPr>
                <w:b/>
                <w:sz w:val="16"/>
                <w:szCs w:val="16"/>
                <w:lang w:val="en-GB"/>
              </w:rPr>
            </w:pPr>
            <w:r w:rsidRPr="00E8394D">
              <w:rPr>
                <w:b/>
                <w:sz w:val="16"/>
                <w:szCs w:val="16"/>
                <w:lang w:val="en-GB"/>
              </w:rPr>
              <w:t xml:space="preserve">1.1.2: </w:t>
            </w:r>
            <w:r w:rsidR="00FD6157" w:rsidRPr="00E8394D">
              <w:rPr>
                <w:sz w:val="16"/>
                <w:szCs w:val="16"/>
                <w:lang w:val="en-GB"/>
              </w:rPr>
              <w:t>Change in citizen perceptions towards quality of service and citizen involvement</w:t>
            </w:r>
            <w:r w:rsidR="00FD6157" w:rsidRPr="00E8394D">
              <w:rPr>
                <w:b/>
                <w:sz w:val="16"/>
                <w:szCs w:val="16"/>
                <w:lang w:val="en-GB"/>
              </w:rPr>
              <w:t xml:space="preserve"> </w:t>
            </w:r>
            <w:r w:rsidR="00FD6157" w:rsidRPr="00E8394D">
              <w:rPr>
                <w:sz w:val="16"/>
                <w:szCs w:val="16"/>
                <w:lang w:val="en-GB"/>
              </w:rPr>
              <w:t>identified through</w:t>
            </w:r>
            <w:r w:rsidRPr="00E8394D">
              <w:rPr>
                <w:sz w:val="16"/>
                <w:szCs w:val="16"/>
                <w:lang w:val="en-GB"/>
              </w:rPr>
              <w:t xml:space="preserve"> </w:t>
            </w:r>
            <w:r w:rsidR="00FD6157" w:rsidRPr="00E8394D">
              <w:rPr>
                <w:sz w:val="16"/>
                <w:szCs w:val="16"/>
                <w:lang w:val="en-GB"/>
              </w:rPr>
              <w:t xml:space="preserve">provincial </w:t>
            </w:r>
            <w:r w:rsidRPr="00E8394D">
              <w:rPr>
                <w:sz w:val="16"/>
                <w:szCs w:val="16"/>
                <w:lang w:val="en-GB"/>
              </w:rPr>
              <w:t xml:space="preserve">citizen perception surveys (data </w:t>
            </w:r>
            <w:r w:rsidR="00FD6157" w:rsidRPr="00E8394D">
              <w:rPr>
                <w:sz w:val="16"/>
                <w:szCs w:val="16"/>
                <w:lang w:val="en-GB"/>
              </w:rPr>
              <w:t xml:space="preserve">disaggregated by </w:t>
            </w:r>
            <w:r w:rsidRPr="00E8394D">
              <w:rPr>
                <w:sz w:val="16"/>
                <w:szCs w:val="16"/>
                <w:lang w:val="en-GB"/>
              </w:rPr>
              <w:t>men, women and youth; IRRF 2.4.1)</w:t>
            </w:r>
          </w:p>
          <w:p w14:paraId="50E446B9" w14:textId="77777777" w:rsidR="00A674CA" w:rsidRPr="00E8394D" w:rsidRDefault="00A674CA" w:rsidP="00BC1D6E">
            <w:pPr>
              <w:rPr>
                <w:sz w:val="16"/>
                <w:szCs w:val="16"/>
                <w:lang w:val="en-GB"/>
              </w:rPr>
            </w:pPr>
            <w:r w:rsidRPr="00E8394D">
              <w:rPr>
                <w:b/>
                <w:sz w:val="16"/>
                <w:szCs w:val="16"/>
                <w:lang w:val="en-GB"/>
              </w:rPr>
              <w:t>Baseline</w:t>
            </w:r>
            <w:r w:rsidR="00FD6157" w:rsidRPr="00E8394D">
              <w:rPr>
                <w:sz w:val="16"/>
                <w:szCs w:val="16"/>
                <w:lang w:val="en-GB"/>
              </w:rPr>
              <w:t>:</w:t>
            </w:r>
            <w:r w:rsidR="00736E5C">
              <w:rPr>
                <w:sz w:val="16"/>
                <w:szCs w:val="16"/>
                <w:lang w:val="en-GB"/>
              </w:rPr>
              <w:t xml:space="preserve"> </w:t>
            </w:r>
            <w:r w:rsidR="00906CBC" w:rsidRPr="00E8394D">
              <w:rPr>
                <w:sz w:val="16"/>
                <w:szCs w:val="16"/>
                <w:lang w:val="en-GB"/>
              </w:rPr>
              <w:t>Rating scale TBD in 2018</w:t>
            </w:r>
          </w:p>
          <w:p w14:paraId="607A193F" w14:textId="77777777" w:rsidR="00A674CA" w:rsidRPr="00E8394D" w:rsidRDefault="00A674CA" w:rsidP="00BC1D6E">
            <w:pPr>
              <w:rPr>
                <w:sz w:val="16"/>
                <w:szCs w:val="16"/>
                <w:lang w:val="en-GB"/>
              </w:rPr>
            </w:pPr>
            <w:r w:rsidRPr="00E8394D">
              <w:rPr>
                <w:b/>
                <w:sz w:val="16"/>
                <w:szCs w:val="16"/>
                <w:lang w:val="en-GB"/>
              </w:rPr>
              <w:t>Target</w:t>
            </w:r>
            <w:r w:rsidRPr="00E8394D">
              <w:rPr>
                <w:sz w:val="16"/>
                <w:szCs w:val="16"/>
                <w:lang w:val="en-GB"/>
              </w:rPr>
              <w:t xml:space="preserve">: </w:t>
            </w:r>
            <w:r w:rsidR="00906CBC" w:rsidRPr="00E8394D">
              <w:rPr>
                <w:sz w:val="16"/>
                <w:szCs w:val="16"/>
                <w:lang w:val="en-GB"/>
              </w:rPr>
              <w:t xml:space="preserve">TBD in </w:t>
            </w:r>
            <w:r w:rsidRPr="00E8394D">
              <w:rPr>
                <w:sz w:val="16"/>
                <w:szCs w:val="16"/>
                <w:lang w:val="en-GB"/>
              </w:rPr>
              <w:t>8 provinces</w:t>
            </w:r>
          </w:p>
          <w:p w14:paraId="47277142" w14:textId="77777777" w:rsidR="00A674CA" w:rsidRPr="00E8394D" w:rsidRDefault="00A674CA" w:rsidP="00BC1D6E">
            <w:pPr>
              <w:rPr>
                <w:sz w:val="16"/>
                <w:szCs w:val="16"/>
                <w:lang w:val="en-GB"/>
              </w:rPr>
            </w:pPr>
            <w:r w:rsidRPr="00E8394D">
              <w:rPr>
                <w:b/>
                <w:sz w:val="16"/>
                <w:szCs w:val="16"/>
                <w:lang w:val="en-GB"/>
              </w:rPr>
              <w:t>Source</w:t>
            </w:r>
            <w:r w:rsidRPr="00E8394D">
              <w:rPr>
                <w:sz w:val="16"/>
                <w:szCs w:val="16"/>
                <w:lang w:val="en-GB"/>
              </w:rPr>
              <w:t xml:space="preserve">:  </w:t>
            </w:r>
            <w:r w:rsidR="00C53433" w:rsidRPr="00E8394D">
              <w:rPr>
                <w:sz w:val="16"/>
                <w:szCs w:val="16"/>
                <w:lang w:val="en-GB"/>
              </w:rPr>
              <w:t>Final</w:t>
            </w:r>
            <w:r w:rsidR="00FD6157" w:rsidRPr="00E8394D">
              <w:rPr>
                <w:sz w:val="16"/>
                <w:szCs w:val="16"/>
                <w:lang w:val="en-GB"/>
              </w:rPr>
              <w:t xml:space="preserve"> citizen perception surveys</w:t>
            </w:r>
            <w:r w:rsidRPr="00E8394D">
              <w:rPr>
                <w:sz w:val="16"/>
                <w:szCs w:val="16"/>
                <w:lang w:val="en-GB"/>
              </w:rPr>
              <w:t xml:space="preserve"> </w:t>
            </w:r>
            <w:r w:rsidR="00FD6157" w:rsidRPr="00E8394D">
              <w:rPr>
                <w:sz w:val="16"/>
                <w:szCs w:val="16"/>
                <w:lang w:val="en-GB"/>
              </w:rPr>
              <w:t>by local service providers</w:t>
            </w:r>
          </w:p>
          <w:p w14:paraId="4F30D5FB" w14:textId="77777777" w:rsidR="00A674CA" w:rsidRPr="00E8394D" w:rsidRDefault="00A674CA" w:rsidP="00BC1D6E">
            <w:pPr>
              <w:rPr>
                <w:sz w:val="16"/>
                <w:szCs w:val="16"/>
                <w:lang w:val="en-GB"/>
              </w:rPr>
            </w:pPr>
          </w:p>
          <w:p w14:paraId="1F8DD255" w14:textId="77777777" w:rsidR="00A674CA" w:rsidRPr="00E8394D" w:rsidRDefault="00A674CA" w:rsidP="00BC1D6E">
            <w:pPr>
              <w:pStyle w:val="Default"/>
              <w:rPr>
                <w:rFonts w:ascii="Times New Roman" w:hAnsi="Times New Roman" w:cs="Times New Roman"/>
                <w:color w:val="auto"/>
                <w:sz w:val="16"/>
                <w:szCs w:val="16"/>
                <w:lang w:val="en-GB" w:eastAsia="en-US"/>
              </w:rPr>
            </w:pPr>
            <w:r w:rsidRPr="00E8394D">
              <w:rPr>
                <w:rFonts w:ascii="Times New Roman" w:hAnsi="Times New Roman" w:cs="Times New Roman"/>
                <w:b/>
                <w:color w:val="auto"/>
                <w:sz w:val="16"/>
                <w:szCs w:val="16"/>
                <w:lang w:val="en-GB"/>
              </w:rPr>
              <w:t>1.1.</w:t>
            </w:r>
            <w:r w:rsidRPr="00E8394D">
              <w:rPr>
                <w:rFonts w:ascii="Times New Roman" w:hAnsi="Times New Roman" w:cs="Times New Roman"/>
                <w:b/>
                <w:color w:val="auto"/>
                <w:sz w:val="16"/>
                <w:szCs w:val="16"/>
                <w:lang w:val="en-GB" w:eastAsia="en-US"/>
              </w:rPr>
              <w:t>3:</w:t>
            </w:r>
            <w:r w:rsidRPr="00E8394D">
              <w:rPr>
                <w:rFonts w:ascii="Times New Roman" w:hAnsi="Times New Roman" w:cs="Times New Roman"/>
                <w:color w:val="auto"/>
                <w:sz w:val="16"/>
                <w:szCs w:val="16"/>
                <w:lang w:val="en-GB" w:eastAsia="en-US"/>
              </w:rPr>
              <w:t xml:space="preserve"> Number of state entities at national, provincial and district levels adopt and implement the </w:t>
            </w:r>
            <w:r w:rsidR="00512D7B">
              <w:rPr>
                <w:rFonts w:ascii="Times New Roman" w:hAnsi="Times New Roman" w:cs="Times New Roman"/>
                <w:color w:val="auto"/>
                <w:sz w:val="16"/>
                <w:szCs w:val="16"/>
                <w:lang w:val="en-GB" w:eastAsia="en-US"/>
              </w:rPr>
              <w:t>i</w:t>
            </w:r>
            <w:r w:rsidRPr="00E8394D">
              <w:rPr>
                <w:rFonts w:ascii="Times New Roman" w:hAnsi="Times New Roman" w:cs="Times New Roman"/>
                <w:color w:val="auto"/>
                <w:sz w:val="16"/>
                <w:szCs w:val="16"/>
                <w:lang w:val="en-GB" w:eastAsia="en-US"/>
              </w:rPr>
              <w:t xml:space="preserve">ntegrated </w:t>
            </w:r>
            <w:r w:rsidR="00512D7B">
              <w:rPr>
                <w:rFonts w:ascii="Times New Roman" w:hAnsi="Times New Roman" w:cs="Times New Roman"/>
                <w:color w:val="auto"/>
                <w:sz w:val="16"/>
                <w:szCs w:val="16"/>
                <w:lang w:val="en-GB" w:eastAsia="en-US"/>
              </w:rPr>
              <w:t>f</w:t>
            </w:r>
            <w:r w:rsidRPr="00E8394D">
              <w:rPr>
                <w:rFonts w:ascii="Times New Roman" w:hAnsi="Times New Roman" w:cs="Times New Roman"/>
                <w:color w:val="auto"/>
                <w:sz w:val="16"/>
                <w:szCs w:val="16"/>
                <w:lang w:val="en-GB" w:eastAsia="en-US"/>
              </w:rPr>
              <w:t xml:space="preserve">inance </w:t>
            </w:r>
            <w:r w:rsidR="00512D7B">
              <w:rPr>
                <w:rFonts w:ascii="Times New Roman" w:hAnsi="Times New Roman" w:cs="Times New Roman"/>
                <w:color w:val="auto"/>
                <w:sz w:val="16"/>
                <w:szCs w:val="16"/>
                <w:lang w:val="en-GB" w:eastAsia="en-US"/>
              </w:rPr>
              <w:t>m</w:t>
            </w:r>
            <w:r w:rsidRPr="00E8394D">
              <w:rPr>
                <w:rFonts w:ascii="Times New Roman" w:hAnsi="Times New Roman" w:cs="Times New Roman"/>
                <w:color w:val="auto"/>
                <w:sz w:val="16"/>
                <w:szCs w:val="16"/>
                <w:lang w:val="en-GB" w:eastAsia="en-US"/>
              </w:rPr>
              <w:t xml:space="preserve">anagement </w:t>
            </w:r>
            <w:r w:rsidR="00512D7B">
              <w:rPr>
                <w:rFonts w:ascii="Times New Roman" w:hAnsi="Times New Roman" w:cs="Times New Roman"/>
                <w:color w:val="auto"/>
                <w:sz w:val="16"/>
                <w:szCs w:val="16"/>
                <w:lang w:val="en-GB" w:eastAsia="en-US"/>
              </w:rPr>
              <w:t>s</w:t>
            </w:r>
            <w:r w:rsidRPr="00E8394D">
              <w:rPr>
                <w:rFonts w:ascii="Times New Roman" w:hAnsi="Times New Roman" w:cs="Times New Roman"/>
                <w:color w:val="auto"/>
                <w:sz w:val="16"/>
                <w:szCs w:val="16"/>
                <w:lang w:val="en-GB" w:eastAsia="en-US"/>
              </w:rPr>
              <w:t xml:space="preserve">ystem (IFMS) to reduce corruption  </w:t>
            </w:r>
          </w:p>
          <w:p w14:paraId="1ECAB9AF" w14:textId="77777777" w:rsidR="00A674CA" w:rsidRPr="00E8394D" w:rsidRDefault="00A674CA" w:rsidP="00BC1D6E">
            <w:pPr>
              <w:tabs>
                <w:tab w:val="left" w:pos="958"/>
              </w:tabs>
              <w:rPr>
                <w:sz w:val="16"/>
                <w:szCs w:val="16"/>
                <w:lang w:val="en-GB"/>
              </w:rPr>
            </w:pPr>
            <w:r w:rsidRPr="00E8394D">
              <w:rPr>
                <w:b/>
                <w:sz w:val="16"/>
                <w:szCs w:val="16"/>
                <w:lang w:val="en-GB"/>
              </w:rPr>
              <w:t>Baseline</w:t>
            </w:r>
            <w:r w:rsidRPr="00E8394D">
              <w:rPr>
                <w:sz w:val="16"/>
                <w:szCs w:val="16"/>
                <w:lang w:val="en-GB"/>
              </w:rPr>
              <w:t>: 6 (2017)</w:t>
            </w:r>
          </w:p>
          <w:p w14:paraId="624227E5" w14:textId="77777777" w:rsidR="00A674CA" w:rsidRPr="00E8394D" w:rsidRDefault="00A674CA" w:rsidP="00BC1D6E">
            <w:pPr>
              <w:pStyle w:val="Default"/>
              <w:rPr>
                <w:rFonts w:ascii="Times New Roman" w:hAnsi="Times New Roman" w:cs="Times New Roman"/>
                <w:color w:val="auto"/>
                <w:sz w:val="16"/>
                <w:szCs w:val="16"/>
                <w:lang w:val="en-GB" w:eastAsia="en-US"/>
              </w:rPr>
            </w:pPr>
            <w:r w:rsidRPr="00E8394D">
              <w:rPr>
                <w:rFonts w:ascii="Times New Roman" w:hAnsi="Times New Roman" w:cs="Times New Roman"/>
                <w:b/>
                <w:color w:val="auto"/>
                <w:sz w:val="16"/>
                <w:szCs w:val="16"/>
                <w:lang w:val="en-GB" w:eastAsia="en-US"/>
              </w:rPr>
              <w:t>Target</w:t>
            </w:r>
            <w:r w:rsidRPr="00E8394D">
              <w:rPr>
                <w:rFonts w:ascii="Times New Roman" w:hAnsi="Times New Roman" w:cs="Times New Roman"/>
                <w:color w:val="auto"/>
                <w:sz w:val="16"/>
                <w:szCs w:val="16"/>
                <w:lang w:val="en-GB" w:eastAsia="en-US"/>
              </w:rPr>
              <w:t xml:space="preserve">: 9 additional </w:t>
            </w:r>
          </w:p>
          <w:p w14:paraId="1F01544F" w14:textId="77777777" w:rsidR="00A674CA" w:rsidRPr="00E8394D" w:rsidRDefault="00A674CA" w:rsidP="00BC1D6E">
            <w:pPr>
              <w:tabs>
                <w:tab w:val="left" w:pos="958"/>
              </w:tabs>
              <w:rPr>
                <w:sz w:val="16"/>
                <w:szCs w:val="16"/>
                <w:lang w:val="en-GB"/>
              </w:rPr>
            </w:pPr>
            <w:r w:rsidRPr="00E8394D">
              <w:rPr>
                <w:b/>
                <w:sz w:val="16"/>
                <w:szCs w:val="16"/>
                <w:lang w:val="en-GB"/>
              </w:rPr>
              <w:t>Source</w:t>
            </w:r>
            <w:r w:rsidRPr="00E8394D">
              <w:rPr>
                <w:sz w:val="16"/>
                <w:szCs w:val="16"/>
                <w:lang w:val="en-GB"/>
              </w:rPr>
              <w:t xml:space="preserve">: Department of Finance </w:t>
            </w:r>
            <w:r w:rsidR="00512D7B">
              <w:rPr>
                <w:sz w:val="16"/>
                <w:szCs w:val="16"/>
                <w:lang w:val="en-GB"/>
              </w:rPr>
              <w:t>r</w:t>
            </w:r>
            <w:r w:rsidRPr="00E8394D">
              <w:rPr>
                <w:sz w:val="16"/>
                <w:szCs w:val="16"/>
                <w:lang w:val="en-GB"/>
              </w:rPr>
              <w:t>eport</w:t>
            </w:r>
          </w:p>
          <w:p w14:paraId="110C258E" w14:textId="77777777" w:rsidR="00A674CA" w:rsidRPr="00E8394D" w:rsidRDefault="00A674CA" w:rsidP="00BC1D6E">
            <w:pPr>
              <w:tabs>
                <w:tab w:val="left" w:pos="958"/>
              </w:tabs>
              <w:rPr>
                <w:sz w:val="16"/>
                <w:szCs w:val="16"/>
                <w:lang w:val="en-GB"/>
              </w:rPr>
            </w:pPr>
          </w:p>
          <w:p w14:paraId="1A097DAC" w14:textId="77777777" w:rsidR="00A674CA" w:rsidRPr="00E8394D" w:rsidRDefault="00A674CA" w:rsidP="00BC1D6E">
            <w:pPr>
              <w:rPr>
                <w:rFonts w:ascii="Calibri" w:hAnsi="Calibri"/>
                <w:b/>
                <w:lang w:val="en-GB"/>
              </w:rPr>
            </w:pPr>
            <w:r w:rsidRPr="00E8394D">
              <w:rPr>
                <w:b/>
                <w:sz w:val="16"/>
                <w:szCs w:val="16"/>
                <w:lang w:val="en-GB"/>
              </w:rPr>
              <w:t>Output 1.2: Increase in women’s participation in decision-making and representation in leadership positions</w:t>
            </w:r>
            <w:r w:rsidR="00736E5C">
              <w:rPr>
                <w:b/>
                <w:sz w:val="16"/>
                <w:szCs w:val="16"/>
                <w:lang w:val="en-GB"/>
              </w:rPr>
              <w:t>.</w:t>
            </w:r>
            <w:r w:rsidRPr="00E8394D">
              <w:rPr>
                <w:b/>
                <w:sz w:val="16"/>
                <w:szCs w:val="16"/>
                <w:lang w:val="en-GB"/>
              </w:rPr>
              <w:t xml:space="preserve"> </w:t>
            </w:r>
          </w:p>
          <w:p w14:paraId="7926F517" w14:textId="77777777" w:rsidR="00A674CA" w:rsidRPr="00E8394D" w:rsidRDefault="00A674CA" w:rsidP="00BC1D6E">
            <w:pPr>
              <w:tabs>
                <w:tab w:val="left" w:pos="958"/>
              </w:tabs>
              <w:rPr>
                <w:sz w:val="16"/>
                <w:szCs w:val="16"/>
                <w:lang w:val="en-GB"/>
              </w:rPr>
            </w:pPr>
          </w:p>
          <w:p w14:paraId="669569BD" w14:textId="77777777" w:rsidR="00A674CA" w:rsidRPr="00E8394D" w:rsidRDefault="00A674CA" w:rsidP="00BC1D6E">
            <w:pPr>
              <w:rPr>
                <w:sz w:val="16"/>
                <w:szCs w:val="16"/>
                <w:lang w:val="en-GB"/>
              </w:rPr>
            </w:pPr>
            <w:r w:rsidRPr="00E8394D">
              <w:rPr>
                <w:b/>
                <w:sz w:val="16"/>
                <w:szCs w:val="16"/>
                <w:lang w:val="en-GB"/>
              </w:rPr>
              <w:t>1.2.1</w:t>
            </w:r>
            <w:r w:rsidRPr="00E8394D">
              <w:rPr>
                <w:sz w:val="16"/>
                <w:szCs w:val="16"/>
                <w:lang w:val="en-GB"/>
              </w:rPr>
              <w:t>: Number of political parties that commit to supporting female membership in parties and in executive roles</w:t>
            </w:r>
          </w:p>
          <w:p w14:paraId="0D067791" w14:textId="77777777" w:rsidR="00A674CA" w:rsidRPr="00E8394D" w:rsidRDefault="00A674CA" w:rsidP="00BC1D6E">
            <w:pPr>
              <w:rPr>
                <w:sz w:val="16"/>
                <w:szCs w:val="16"/>
                <w:lang w:val="en-GB"/>
              </w:rPr>
            </w:pPr>
            <w:r w:rsidRPr="00E8394D">
              <w:rPr>
                <w:b/>
                <w:sz w:val="16"/>
                <w:szCs w:val="16"/>
                <w:lang w:val="en-GB"/>
              </w:rPr>
              <w:t>Baseline</w:t>
            </w:r>
            <w:r w:rsidRPr="00E8394D">
              <w:rPr>
                <w:sz w:val="16"/>
                <w:szCs w:val="16"/>
                <w:lang w:val="en-GB"/>
              </w:rPr>
              <w:t>: 7 (2017)</w:t>
            </w:r>
          </w:p>
          <w:p w14:paraId="4C25AB79" w14:textId="77777777" w:rsidR="00A674CA" w:rsidRPr="00E8394D" w:rsidRDefault="00A674CA" w:rsidP="00BC1D6E">
            <w:pPr>
              <w:rPr>
                <w:sz w:val="16"/>
                <w:szCs w:val="16"/>
                <w:lang w:val="en-GB"/>
              </w:rPr>
            </w:pPr>
            <w:r w:rsidRPr="00E8394D">
              <w:rPr>
                <w:b/>
                <w:sz w:val="16"/>
                <w:szCs w:val="16"/>
                <w:lang w:val="en-GB"/>
              </w:rPr>
              <w:t>Target</w:t>
            </w:r>
            <w:r w:rsidRPr="00E8394D">
              <w:rPr>
                <w:sz w:val="16"/>
                <w:szCs w:val="16"/>
                <w:lang w:val="en-GB"/>
              </w:rPr>
              <w:t xml:space="preserve">: 10 additional </w:t>
            </w:r>
          </w:p>
          <w:p w14:paraId="5C302AD4" w14:textId="77777777" w:rsidR="00A674CA" w:rsidRPr="00E8394D" w:rsidRDefault="00A674CA" w:rsidP="00BC1D6E">
            <w:pPr>
              <w:tabs>
                <w:tab w:val="left" w:pos="958"/>
              </w:tabs>
              <w:rPr>
                <w:sz w:val="16"/>
                <w:szCs w:val="16"/>
                <w:lang w:val="en-GB"/>
              </w:rPr>
            </w:pPr>
            <w:r w:rsidRPr="00E8394D">
              <w:rPr>
                <w:b/>
                <w:sz w:val="16"/>
                <w:szCs w:val="16"/>
                <w:lang w:val="en-GB"/>
              </w:rPr>
              <w:t>Source</w:t>
            </w:r>
            <w:r w:rsidRPr="00E8394D">
              <w:rPr>
                <w:sz w:val="16"/>
                <w:szCs w:val="16"/>
                <w:lang w:val="en-GB"/>
              </w:rPr>
              <w:t xml:space="preserve">: Reports from </w:t>
            </w:r>
            <w:r w:rsidR="00512D7B">
              <w:rPr>
                <w:sz w:val="16"/>
                <w:szCs w:val="16"/>
                <w:lang w:val="en-GB"/>
              </w:rPr>
              <w:t>p</w:t>
            </w:r>
            <w:r w:rsidRPr="00E8394D">
              <w:rPr>
                <w:sz w:val="16"/>
                <w:szCs w:val="16"/>
                <w:lang w:val="en-GB"/>
              </w:rPr>
              <w:t xml:space="preserve">olitical </w:t>
            </w:r>
            <w:r w:rsidR="00512D7B">
              <w:rPr>
                <w:sz w:val="16"/>
                <w:szCs w:val="16"/>
                <w:lang w:val="en-GB"/>
              </w:rPr>
              <w:t>p</w:t>
            </w:r>
            <w:r w:rsidRPr="00E8394D">
              <w:rPr>
                <w:sz w:val="16"/>
                <w:szCs w:val="16"/>
                <w:lang w:val="en-GB"/>
              </w:rPr>
              <w:t>arties</w:t>
            </w:r>
          </w:p>
          <w:p w14:paraId="3EE7FA1B" w14:textId="77777777" w:rsidR="00A674CA" w:rsidRPr="00E8394D" w:rsidRDefault="00A674CA" w:rsidP="00BC1D6E">
            <w:pPr>
              <w:tabs>
                <w:tab w:val="left" w:pos="958"/>
              </w:tabs>
              <w:rPr>
                <w:sz w:val="16"/>
                <w:szCs w:val="16"/>
                <w:lang w:val="en-GB"/>
              </w:rPr>
            </w:pPr>
          </w:p>
          <w:p w14:paraId="6472B7A5" w14:textId="77777777" w:rsidR="00A674CA" w:rsidRPr="00E8394D" w:rsidRDefault="00A674CA" w:rsidP="00BC1D6E">
            <w:pPr>
              <w:rPr>
                <w:sz w:val="16"/>
                <w:szCs w:val="16"/>
                <w:lang w:val="en-GB"/>
              </w:rPr>
            </w:pPr>
            <w:r w:rsidRPr="00E8394D">
              <w:rPr>
                <w:b/>
                <w:sz w:val="16"/>
                <w:szCs w:val="16"/>
                <w:lang w:val="en-GB"/>
              </w:rPr>
              <w:lastRenderedPageBreak/>
              <w:t>1.2.2</w:t>
            </w:r>
            <w:r w:rsidRPr="00E8394D">
              <w:rPr>
                <w:sz w:val="16"/>
                <w:szCs w:val="16"/>
                <w:lang w:val="en-GB"/>
              </w:rPr>
              <w:t xml:space="preserve">: </w:t>
            </w:r>
            <w:r w:rsidR="00512D7B">
              <w:rPr>
                <w:sz w:val="16"/>
                <w:szCs w:val="16"/>
                <w:lang w:val="en-GB"/>
              </w:rPr>
              <w:t>Gender-based violence c</w:t>
            </w:r>
            <w:r w:rsidRPr="00E8394D">
              <w:rPr>
                <w:sz w:val="16"/>
                <w:szCs w:val="16"/>
                <w:lang w:val="en-GB"/>
              </w:rPr>
              <w:t xml:space="preserve">ouncil established and in operation with performance </w:t>
            </w:r>
            <w:r w:rsidR="00E04E23" w:rsidRPr="00E8394D">
              <w:rPr>
                <w:sz w:val="16"/>
                <w:szCs w:val="16"/>
                <w:lang w:val="en-GB"/>
              </w:rPr>
              <w:t xml:space="preserve">measured against </w:t>
            </w:r>
            <w:r w:rsidRPr="00E8394D">
              <w:rPr>
                <w:sz w:val="16"/>
                <w:szCs w:val="16"/>
                <w:lang w:val="en-GB"/>
              </w:rPr>
              <w:t>qualitative indicators</w:t>
            </w:r>
          </w:p>
          <w:p w14:paraId="1FFC2CFB" w14:textId="77777777" w:rsidR="00A674CA" w:rsidRPr="00E8394D" w:rsidRDefault="00A674CA" w:rsidP="00BC1D6E">
            <w:pPr>
              <w:rPr>
                <w:sz w:val="16"/>
                <w:szCs w:val="16"/>
                <w:lang w:val="en-GB"/>
              </w:rPr>
            </w:pPr>
            <w:r w:rsidRPr="00E8394D">
              <w:rPr>
                <w:b/>
                <w:sz w:val="16"/>
                <w:szCs w:val="16"/>
                <w:lang w:val="en-GB"/>
              </w:rPr>
              <w:t>Baseline</w:t>
            </w:r>
            <w:r w:rsidRPr="00E8394D">
              <w:rPr>
                <w:sz w:val="16"/>
                <w:szCs w:val="16"/>
                <w:lang w:val="en-GB"/>
              </w:rPr>
              <w:t xml:space="preserve">: </w:t>
            </w:r>
            <w:r w:rsidR="00512D7B">
              <w:rPr>
                <w:sz w:val="16"/>
                <w:szCs w:val="16"/>
                <w:lang w:val="en-GB"/>
              </w:rPr>
              <w:t>Gender-based violence c</w:t>
            </w:r>
            <w:r w:rsidR="00512D7B" w:rsidRPr="00E8394D">
              <w:rPr>
                <w:sz w:val="16"/>
                <w:szCs w:val="16"/>
                <w:lang w:val="en-GB"/>
              </w:rPr>
              <w:t xml:space="preserve">ouncil </w:t>
            </w:r>
            <w:r w:rsidRPr="00E8394D">
              <w:rPr>
                <w:sz w:val="16"/>
                <w:szCs w:val="16"/>
                <w:lang w:val="en-GB"/>
              </w:rPr>
              <w:t xml:space="preserve">not established yet </w:t>
            </w:r>
          </w:p>
          <w:p w14:paraId="28564C36" w14:textId="77777777" w:rsidR="00A674CA" w:rsidRPr="00E8394D" w:rsidRDefault="00A674CA" w:rsidP="00BC1D6E">
            <w:pPr>
              <w:rPr>
                <w:sz w:val="16"/>
                <w:szCs w:val="16"/>
                <w:lang w:val="en-GB"/>
              </w:rPr>
            </w:pPr>
            <w:r w:rsidRPr="00E8394D">
              <w:rPr>
                <w:b/>
                <w:sz w:val="16"/>
                <w:szCs w:val="16"/>
                <w:lang w:val="en-GB"/>
              </w:rPr>
              <w:t>Target</w:t>
            </w:r>
            <w:r w:rsidRPr="00E8394D">
              <w:rPr>
                <w:sz w:val="16"/>
                <w:szCs w:val="16"/>
                <w:lang w:val="en-GB"/>
              </w:rPr>
              <w:t xml:space="preserve">: </w:t>
            </w:r>
            <w:r w:rsidR="00084AE4">
              <w:rPr>
                <w:sz w:val="16"/>
                <w:szCs w:val="16"/>
                <w:lang w:val="en-GB"/>
              </w:rPr>
              <w:t>Gender-based violence c</w:t>
            </w:r>
            <w:r w:rsidR="00084AE4" w:rsidRPr="00E8394D">
              <w:rPr>
                <w:sz w:val="16"/>
                <w:szCs w:val="16"/>
                <w:lang w:val="en-GB"/>
              </w:rPr>
              <w:t xml:space="preserve">ouncil </w:t>
            </w:r>
            <w:r w:rsidRPr="00E8394D">
              <w:rPr>
                <w:sz w:val="16"/>
                <w:szCs w:val="16"/>
                <w:lang w:val="en-GB"/>
              </w:rPr>
              <w:t xml:space="preserve">operational </w:t>
            </w:r>
          </w:p>
          <w:p w14:paraId="11B681D8" w14:textId="77777777" w:rsidR="00A674CA" w:rsidRPr="00E8394D" w:rsidRDefault="00A674CA" w:rsidP="00BC1D6E">
            <w:pPr>
              <w:rPr>
                <w:sz w:val="16"/>
                <w:szCs w:val="16"/>
                <w:lang w:val="en-GB"/>
              </w:rPr>
            </w:pPr>
            <w:r w:rsidRPr="00E8394D">
              <w:rPr>
                <w:b/>
                <w:sz w:val="16"/>
                <w:szCs w:val="16"/>
                <w:lang w:val="en-GB"/>
              </w:rPr>
              <w:t>Source</w:t>
            </w:r>
            <w:r w:rsidRPr="00E8394D">
              <w:rPr>
                <w:sz w:val="16"/>
                <w:szCs w:val="16"/>
                <w:lang w:val="en-GB"/>
              </w:rPr>
              <w:t xml:space="preserve">: </w:t>
            </w:r>
            <w:r w:rsidR="00084AE4">
              <w:rPr>
                <w:sz w:val="16"/>
                <w:szCs w:val="16"/>
                <w:lang w:val="en-GB"/>
              </w:rPr>
              <w:t>Gender-based violence c</w:t>
            </w:r>
            <w:r w:rsidR="00084AE4" w:rsidRPr="00E8394D">
              <w:rPr>
                <w:sz w:val="16"/>
                <w:szCs w:val="16"/>
                <w:lang w:val="en-GB"/>
              </w:rPr>
              <w:t xml:space="preserve">ouncil </w:t>
            </w:r>
            <w:r w:rsidRPr="00E8394D">
              <w:rPr>
                <w:sz w:val="16"/>
                <w:szCs w:val="16"/>
                <w:lang w:val="en-GB"/>
              </w:rPr>
              <w:t>annual report</w:t>
            </w:r>
          </w:p>
          <w:p w14:paraId="21A00739" w14:textId="77777777" w:rsidR="00A674CA" w:rsidRPr="00E8394D" w:rsidRDefault="00A674CA" w:rsidP="00BC1D6E">
            <w:pPr>
              <w:rPr>
                <w:sz w:val="16"/>
                <w:szCs w:val="16"/>
                <w:lang w:val="en-GB"/>
              </w:rPr>
            </w:pPr>
          </w:p>
          <w:p w14:paraId="1341E1B0" w14:textId="77777777" w:rsidR="00A674CA" w:rsidRPr="00E8394D" w:rsidRDefault="00A674CA" w:rsidP="00BC1D6E">
            <w:pPr>
              <w:rPr>
                <w:b/>
                <w:sz w:val="16"/>
                <w:szCs w:val="16"/>
                <w:lang w:val="en-GB"/>
              </w:rPr>
            </w:pPr>
            <w:r w:rsidRPr="00E8394D">
              <w:rPr>
                <w:b/>
                <w:sz w:val="16"/>
                <w:szCs w:val="16"/>
                <w:lang w:val="en-GB"/>
              </w:rPr>
              <w:t>Output 1.3: The Bougainville referendum is supported to conduct free and fair elections</w:t>
            </w:r>
            <w:r w:rsidR="0008457C">
              <w:rPr>
                <w:b/>
                <w:sz w:val="16"/>
                <w:szCs w:val="16"/>
                <w:lang w:val="en-GB"/>
              </w:rPr>
              <w:t>,</w:t>
            </w:r>
            <w:r w:rsidRPr="00E8394D">
              <w:rPr>
                <w:b/>
                <w:sz w:val="16"/>
                <w:szCs w:val="16"/>
                <w:lang w:val="en-GB"/>
              </w:rPr>
              <w:t xml:space="preserve"> and post referendum strategies with the two governments are formulated</w:t>
            </w:r>
            <w:r w:rsidR="00736E5C">
              <w:rPr>
                <w:b/>
                <w:sz w:val="16"/>
                <w:szCs w:val="16"/>
                <w:lang w:val="en-GB"/>
              </w:rPr>
              <w:t>.</w:t>
            </w:r>
            <w:r w:rsidRPr="00E8394D">
              <w:rPr>
                <w:b/>
                <w:sz w:val="16"/>
                <w:szCs w:val="16"/>
                <w:lang w:val="en-GB"/>
              </w:rPr>
              <w:t xml:space="preserve"> </w:t>
            </w:r>
          </w:p>
          <w:p w14:paraId="617BD774" w14:textId="77777777" w:rsidR="00A674CA" w:rsidRPr="00E8394D" w:rsidRDefault="00A674CA" w:rsidP="00BC1D6E">
            <w:pPr>
              <w:rPr>
                <w:sz w:val="16"/>
                <w:szCs w:val="16"/>
                <w:lang w:val="en-GB"/>
              </w:rPr>
            </w:pPr>
          </w:p>
          <w:p w14:paraId="67057805" w14:textId="77777777" w:rsidR="00A674CA" w:rsidRPr="00E8394D" w:rsidRDefault="00BF7AED" w:rsidP="00BC1D6E">
            <w:pPr>
              <w:rPr>
                <w:sz w:val="16"/>
                <w:szCs w:val="16"/>
                <w:lang w:val="en-GB"/>
              </w:rPr>
            </w:pPr>
            <w:r w:rsidRPr="00E8394D">
              <w:rPr>
                <w:b/>
                <w:sz w:val="16"/>
                <w:szCs w:val="16"/>
                <w:lang w:val="en-GB"/>
              </w:rPr>
              <w:t>1.3</w:t>
            </w:r>
            <w:r w:rsidR="00A674CA" w:rsidRPr="00E8394D">
              <w:rPr>
                <w:b/>
                <w:sz w:val="16"/>
                <w:szCs w:val="16"/>
                <w:lang w:val="en-GB"/>
              </w:rPr>
              <w:t xml:space="preserve">.1: </w:t>
            </w:r>
            <w:r w:rsidR="00A674CA" w:rsidRPr="00E8394D">
              <w:rPr>
                <w:sz w:val="16"/>
                <w:szCs w:val="16"/>
                <w:lang w:val="en-GB"/>
              </w:rPr>
              <w:t xml:space="preserve">Bougainville Referendum Commission (BRC) established </w:t>
            </w:r>
          </w:p>
          <w:p w14:paraId="57DA53D2" w14:textId="77777777" w:rsidR="00A674CA" w:rsidRPr="00E8394D" w:rsidRDefault="00A674CA" w:rsidP="00BC1D6E">
            <w:pPr>
              <w:rPr>
                <w:sz w:val="16"/>
                <w:szCs w:val="16"/>
                <w:lang w:val="en-GB"/>
              </w:rPr>
            </w:pPr>
            <w:r w:rsidRPr="00E8394D">
              <w:rPr>
                <w:b/>
                <w:sz w:val="16"/>
                <w:szCs w:val="16"/>
                <w:lang w:val="en-GB"/>
              </w:rPr>
              <w:t>Baseline</w:t>
            </w:r>
            <w:r w:rsidRPr="00E8394D">
              <w:rPr>
                <w:sz w:val="16"/>
                <w:szCs w:val="16"/>
                <w:lang w:val="en-GB"/>
              </w:rPr>
              <w:t>: 0</w:t>
            </w:r>
          </w:p>
          <w:p w14:paraId="6DCE90BA" w14:textId="77777777" w:rsidR="00A674CA" w:rsidRPr="00E8394D" w:rsidRDefault="00A674CA" w:rsidP="00BC1D6E">
            <w:pPr>
              <w:rPr>
                <w:sz w:val="16"/>
                <w:szCs w:val="16"/>
                <w:lang w:val="en-GB"/>
              </w:rPr>
            </w:pPr>
            <w:r w:rsidRPr="00E8394D">
              <w:rPr>
                <w:b/>
                <w:sz w:val="16"/>
                <w:szCs w:val="16"/>
                <w:lang w:val="en-GB"/>
              </w:rPr>
              <w:t>Target:</w:t>
            </w:r>
            <w:r w:rsidRPr="00E8394D">
              <w:rPr>
                <w:sz w:val="16"/>
                <w:szCs w:val="16"/>
                <w:lang w:val="en-GB"/>
              </w:rPr>
              <w:t xml:space="preserve"> 1</w:t>
            </w:r>
          </w:p>
          <w:p w14:paraId="28932FED" w14:textId="77777777" w:rsidR="00A674CA" w:rsidRPr="00E8394D" w:rsidRDefault="00A674CA" w:rsidP="00BC1D6E">
            <w:pPr>
              <w:rPr>
                <w:b/>
                <w:sz w:val="16"/>
                <w:szCs w:val="16"/>
                <w:lang w:val="en-GB"/>
              </w:rPr>
            </w:pPr>
            <w:r w:rsidRPr="00E8394D">
              <w:rPr>
                <w:b/>
                <w:sz w:val="16"/>
                <w:szCs w:val="16"/>
                <w:lang w:val="en-GB"/>
              </w:rPr>
              <w:t xml:space="preserve">Source: </w:t>
            </w:r>
            <w:r w:rsidRPr="00E8394D">
              <w:rPr>
                <w:sz w:val="16"/>
                <w:szCs w:val="16"/>
                <w:lang w:val="en-GB"/>
              </w:rPr>
              <w:t xml:space="preserve">Signed BRC </w:t>
            </w:r>
            <w:r w:rsidR="0008457C">
              <w:rPr>
                <w:sz w:val="16"/>
                <w:szCs w:val="16"/>
                <w:lang w:val="en-GB"/>
              </w:rPr>
              <w:t>c</w:t>
            </w:r>
            <w:r w:rsidRPr="00E8394D">
              <w:rPr>
                <w:sz w:val="16"/>
                <w:szCs w:val="16"/>
                <w:lang w:val="en-GB"/>
              </w:rPr>
              <w:t>harter</w:t>
            </w:r>
          </w:p>
          <w:p w14:paraId="31A2506B" w14:textId="77777777" w:rsidR="00A674CA" w:rsidRPr="00E8394D" w:rsidRDefault="00A674CA" w:rsidP="00BC1D6E">
            <w:pPr>
              <w:rPr>
                <w:sz w:val="16"/>
                <w:szCs w:val="16"/>
                <w:lang w:val="en-GB"/>
              </w:rPr>
            </w:pPr>
          </w:p>
          <w:p w14:paraId="3AF3F0FD" w14:textId="77777777" w:rsidR="00A674CA" w:rsidRPr="00E8394D" w:rsidRDefault="00BF7AED" w:rsidP="00BC1D6E">
            <w:pPr>
              <w:rPr>
                <w:sz w:val="16"/>
                <w:szCs w:val="16"/>
                <w:lang w:val="en-GB"/>
              </w:rPr>
            </w:pPr>
            <w:r w:rsidRPr="00E8394D">
              <w:rPr>
                <w:b/>
                <w:sz w:val="16"/>
                <w:szCs w:val="16"/>
                <w:lang w:val="en-GB"/>
              </w:rPr>
              <w:t>1.3</w:t>
            </w:r>
            <w:r w:rsidR="00A674CA" w:rsidRPr="00E8394D">
              <w:rPr>
                <w:b/>
                <w:sz w:val="16"/>
                <w:szCs w:val="16"/>
                <w:lang w:val="en-GB"/>
              </w:rPr>
              <w:t>.2:</w:t>
            </w:r>
            <w:r w:rsidR="00A674CA" w:rsidRPr="00E8394D">
              <w:rPr>
                <w:sz w:val="16"/>
                <w:szCs w:val="16"/>
                <w:lang w:val="en-GB"/>
              </w:rPr>
              <w:t xml:space="preserve"> Number of strategies developed to implement the outcomes of the 2019 referendum </w:t>
            </w:r>
          </w:p>
          <w:p w14:paraId="3B70E4C4" w14:textId="77777777" w:rsidR="00A674CA" w:rsidRPr="00E8394D" w:rsidRDefault="00A674CA" w:rsidP="00BC1D6E">
            <w:pPr>
              <w:rPr>
                <w:sz w:val="16"/>
                <w:szCs w:val="16"/>
                <w:lang w:val="en-GB"/>
              </w:rPr>
            </w:pPr>
            <w:r w:rsidRPr="00E8394D">
              <w:rPr>
                <w:b/>
                <w:sz w:val="16"/>
                <w:szCs w:val="16"/>
                <w:lang w:val="en-GB"/>
              </w:rPr>
              <w:t>Baseline</w:t>
            </w:r>
            <w:r w:rsidRPr="00E8394D">
              <w:rPr>
                <w:sz w:val="16"/>
                <w:szCs w:val="16"/>
                <w:lang w:val="en-GB"/>
              </w:rPr>
              <w:t xml:space="preserve">: No referendum yet </w:t>
            </w:r>
          </w:p>
          <w:p w14:paraId="7504F849" w14:textId="77777777" w:rsidR="00A674CA" w:rsidRPr="00E8394D" w:rsidRDefault="00A674CA" w:rsidP="00BC1D6E">
            <w:pPr>
              <w:rPr>
                <w:sz w:val="16"/>
                <w:szCs w:val="16"/>
                <w:lang w:val="en-GB"/>
              </w:rPr>
            </w:pPr>
            <w:r w:rsidRPr="00E8394D">
              <w:rPr>
                <w:b/>
                <w:sz w:val="16"/>
                <w:szCs w:val="16"/>
                <w:lang w:val="en-GB"/>
              </w:rPr>
              <w:t>Target:</w:t>
            </w:r>
            <w:r w:rsidRPr="00E8394D">
              <w:rPr>
                <w:sz w:val="16"/>
                <w:szCs w:val="16"/>
                <w:lang w:val="en-GB"/>
              </w:rPr>
              <w:t xml:space="preserve"> TBD in 2019 after the referendum </w:t>
            </w:r>
          </w:p>
          <w:p w14:paraId="5AB5F47D" w14:textId="77777777" w:rsidR="00A674CA" w:rsidRPr="00E8394D" w:rsidRDefault="00A674CA" w:rsidP="00BC1D6E">
            <w:pPr>
              <w:rPr>
                <w:sz w:val="16"/>
                <w:szCs w:val="16"/>
                <w:lang w:val="en-GB"/>
              </w:rPr>
            </w:pPr>
            <w:r w:rsidRPr="00E8394D">
              <w:rPr>
                <w:b/>
                <w:sz w:val="16"/>
                <w:szCs w:val="16"/>
                <w:lang w:val="en-GB"/>
              </w:rPr>
              <w:t>Source</w:t>
            </w:r>
            <w:r w:rsidRPr="00E8394D">
              <w:rPr>
                <w:sz w:val="16"/>
                <w:szCs w:val="16"/>
                <w:lang w:val="en-GB"/>
              </w:rPr>
              <w:t xml:space="preserve">: UNDP </w:t>
            </w:r>
            <w:r w:rsidR="0008457C">
              <w:rPr>
                <w:sz w:val="16"/>
                <w:szCs w:val="16"/>
                <w:lang w:val="en-GB"/>
              </w:rPr>
              <w:t>r</w:t>
            </w:r>
            <w:r w:rsidRPr="00E8394D">
              <w:rPr>
                <w:sz w:val="16"/>
                <w:szCs w:val="16"/>
                <w:lang w:val="en-GB"/>
              </w:rPr>
              <w:t xml:space="preserve">eport, </w:t>
            </w:r>
            <w:r w:rsidR="0008457C">
              <w:rPr>
                <w:iCs/>
                <w:sz w:val="16"/>
                <w:szCs w:val="16"/>
                <w:lang w:val="en-GB"/>
              </w:rPr>
              <w:t>j</w:t>
            </w:r>
            <w:r w:rsidRPr="00E8394D">
              <w:rPr>
                <w:iCs/>
                <w:sz w:val="16"/>
                <w:szCs w:val="16"/>
                <w:lang w:val="en-GB"/>
              </w:rPr>
              <w:t xml:space="preserve">oint </w:t>
            </w:r>
            <w:r w:rsidR="0008457C">
              <w:rPr>
                <w:iCs/>
                <w:sz w:val="16"/>
                <w:szCs w:val="16"/>
                <w:lang w:val="en-GB"/>
              </w:rPr>
              <w:t>s</w:t>
            </w:r>
            <w:r w:rsidRPr="00E8394D">
              <w:rPr>
                <w:iCs/>
                <w:sz w:val="16"/>
                <w:szCs w:val="16"/>
                <w:lang w:val="en-GB"/>
              </w:rPr>
              <w:t xml:space="preserve">upervisory </w:t>
            </w:r>
            <w:r w:rsidR="0008457C">
              <w:rPr>
                <w:iCs/>
                <w:sz w:val="16"/>
                <w:szCs w:val="16"/>
                <w:lang w:val="en-GB"/>
              </w:rPr>
              <w:t>b</w:t>
            </w:r>
            <w:r w:rsidRPr="00E8394D">
              <w:rPr>
                <w:iCs/>
                <w:sz w:val="16"/>
                <w:szCs w:val="16"/>
                <w:lang w:val="en-GB"/>
              </w:rPr>
              <w:t>ody</w:t>
            </w:r>
          </w:p>
        </w:tc>
        <w:tc>
          <w:tcPr>
            <w:tcW w:w="894" w:type="pct"/>
            <w:tcBorders>
              <w:bottom w:val="single" w:sz="4" w:space="0" w:color="auto"/>
            </w:tcBorders>
          </w:tcPr>
          <w:p w14:paraId="117155E0" w14:textId="77777777" w:rsidR="00A674CA" w:rsidRPr="00E8394D" w:rsidRDefault="00A674CA" w:rsidP="00BC1D6E">
            <w:pPr>
              <w:rPr>
                <w:iCs/>
                <w:sz w:val="16"/>
                <w:szCs w:val="16"/>
                <w:lang w:val="en-GB"/>
              </w:rPr>
            </w:pPr>
            <w:r w:rsidRPr="00E8394D">
              <w:rPr>
                <w:iCs/>
                <w:sz w:val="16"/>
                <w:szCs w:val="16"/>
                <w:lang w:val="en-GB"/>
              </w:rPr>
              <w:lastRenderedPageBreak/>
              <w:t>National Parliament, Bougainville House of Representatives, Department of Prime Minister, Department for Personnel Management, Global Centre For Public Service Excellence, Department for Provincial and Local Level Government Affairs (DPLGA), Department of Finance (D</w:t>
            </w:r>
            <w:r w:rsidR="00F40AF7">
              <w:rPr>
                <w:iCs/>
                <w:sz w:val="16"/>
                <w:szCs w:val="16"/>
                <w:lang w:val="en-GB"/>
              </w:rPr>
              <w:t>O</w:t>
            </w:r>
            <w:r w:rsidRPr="00E8394D">
              <w:rPr>
                <w:iCs/>
                <w:sz w:val="16"/>
                <w:szCs w:val="16"/>
                <w:lang w:val="en-GB"/>
              </w:rPr>
              <w:t>F), Department for Community Development (DFCD), National Council of Women, Office for the Integrity of Political Parties and Candidates,</w:t>
            </w:r>
            <w:r w:rsidR="00F40AF7" w:rsidRPr="00E8394D" w:rsidDel="00F40AF7">
              <w:rPr>
                <w:iCs/>
                <w:sz w:val="16"/>
                <w:szCs w:val="16"/>
                <w:lang w:val="en-GB"/>
              </w:rPr>
              <w:t xml:space="preserve"> </w:t>
            </w:r>
            <w:r w:rsidR="00F40AF7">
              <w:rPr>
                <w:iCs/>
                <w:sz w:val="16"/>
                <w:szCs w:val="16"/>
                <w:lang w:val="en-GB"/>
              </w:rPr>
              <w:t>p</w:t>
            </w:r>
            <w:r w:rsidRPr="00E8394D">
              <w:rPr>
                <w:iCs/>
                <w:sz w:val="16"/>
                <w:szCs w:val="16"/>
                <w:lang w:val="en-GB"/>
              </w:rPr>
              <w:t xml:space="preserve">rovincial </w:t>
            </w:r>
            <w:r w:rsidR="00F40AF7">
              <w:rPr>
                <w:iCs/>
                <w:sz w:val="16"/>
                <w:szCs w:val="16"/>
                <w:lang w:val="en-GB"/>
              </w:rPr>
              <w:t>g</w:t>
            </w:r>
            <w:r w:rsidRPr="00E8394D">
              <w:rPr>
                <w:iCs/>
                <w:sz w:val="16"/>
                <w:szCs w:val="16"/>
                <w:lang w:val="en-GB"/>
              </w:rPr>
              <w:t xml:space="preserve">overnments and </w:t>
            </w:r>
            <w:r w:rsidR="00F40AF7">
              <w:rPr>
                <w:iCs/>
                <w:sz w:val="16"/>
                <w:szCs w:val="16"/>
                <w:lang w:val="en-GB"/>
              </w:rPr>
              <w:t>d</w:t>
            </w:r>
            <w:r w:rsidRPr="00E8394D">
              <w:rPr>
                <w:iCs/>
                <w:sz w:val="16"/>
                <w:szCs w:val="16"/>
                <w:lang w:val="en-GB"/>
              </w:rPr>
              <w:t xml:space="preserve">istrict </w:t>
            </w:r>
            <w:r w:rsidR="00F40AF7">
              <w:rPr>
                <w:iCs/>
                <w:sz w:val="16"/>
                <w:szCs w:val="16"/>
                <w:lang w:val="en-GB"/>
              </w:rPr>
              <w:t>d</w:t>
            </w:r>
            <w:r w:rsidRPr="00E8394D">
              <w:rPr>
                <w:iCs/>
                <w:sz w:val="16"/>
                <w:szCs w:val="16"/>
                <w:lang w:val="en-GB"/>
              </w:rPr>
              <w:t xml:space="preserve">evelopment </w:t>
            </w:r>
            <w:r w:rsidR="00F40AF7">
              <w:rPr>
                <w:iCs/>
                <w:sz w:val="16"/>
                <w:szCs w:val="16"/>
                <w:lang w:val="en-GB"/>
              </w:rPr>
              <w:t>a</w:t>
            </w:r>
            <w:r w:rsidRPr="00E8394D">
              <w:rPr>
                <w:iCs/>
                <w:sz w:val="16"/>
                <w:szCs w:val="16"/>
                <w:lang w:val="en-GB"/>
              </w:rPr>
              <w:t xml:space="preserve">uthorities, Family Sexual Violence National Committee, Referendum Commission, UNCDF, UNFPA, UNICEF, </w:t>
            </w:r>
            <w:r w:rsidR="00F40AF7">
              <w:rPr>
                <w:iCs/>
                <w:sz w:val="16"/>
                <w:szCs w:val="16"/>
                <w:lang w:val="en-GB"/>
              </w:rPr>
              <w:t>Office for the United Nations High Commissioner for Human Rights (</w:t>
            </w:r>
            <w:r w:rsidRPr="00E8394D">
              <w:rPr>
                <w:iCs/>
                <w:sz w:val="16"/>
                <w:szCs w:val="16"/>
                <w:lang w:val="en-GB"/>
              </w:rPr>
              <w:t>OHCHR</w:t>
            </w:r>
            <w:r w:rsidR="00F40AF7">
              <w:rPr>
                <w:iCs/>
                <w:sz w:val="16"/>
                <w:szCs w:val="16"/>
                <w:lang w:val="en-GB"/>
              </w:rPr>
              <w:t>)</w:t>
            </w:r>
            <w:r w:rsidRPr="00E8394D">
              <w:rPr>
                <w:iCs/>
                <w:sz w:val="16"/>
                <w:szCs w:val="16"/>
                <w:lang w:val="en-GB"/>
              </w:rPr>
              <w:t>, UN Women</w:t>
            </w:r>
          </w:p>
          <w:p w14:paraId="43F82C85" w14:textId="77777777" w:rsidR="00A674CA" w:rsidRPr="00E8394D" w:rsidRDefault="00A674CA" w:rsidP="00BC1D6E">
            <w:pPr>
              <w:ind w:left="169" w:right="146"/>
              <w:rPr>
                <w:rFonts w:eastAsiaTheme="minorHAnsi"/>
                <w:sz w:val="16"/>
                <w:szCs w:val="16"/>
                <w:lang w:val="en-GB"/>
              </w:rPr>
            </w:pPr>
          </w:p>
        </w:tc>
        <w:tc>
          <w:tcPr>
            <w:tcW w:w="738" w:type="pct"/>
            <w:gridSpan w:val="2"/>
            <w:tcBorders>
              <w:bottom w:val="single" w:sz="4" w:space="0" w:color="auto"/>
            </w:tcBorders>
            <w:tcMar>
              <w:top w:w="15" w:type="dxa"/>
              <w:left w:w="108" w:type="dxa"/>
              <w:bottom w:w="0" w:type="dxa"/>
              <w:right w:w="108" w:type="dxa"/>
            </w:tcMar>
          </w:tcPr>
          <w:p w14:paraId="22D0C25C" w14:textId="77777777" w:rsidR="00A674CA" w:rsidRPr="00E8394D" w:rsidRDefault="00A674CA" w:rsidP="00BC1D6E">
            <w:pPr>
              <w:rPr>
                <w:sz w:val="16"/>
                <w:szCs w:val="16"/>
                <w:lang w:val="en-GB"/>
              </w:rPr>
            </w:pPr>
            <w:r w:rsidRPr="00E8394D">
              <w:rPr>
                <w:b/>
                <w:sz w:val="16"/>
                <w:szCs w:val="16"/>
                <w:lang w:val="en-GB"/>
              </w:rPr>
              <w:t>Regular</w:t>
            </w:r>
            <w:r w:rsidR="000855AB">
              <w:rPr>
                <w:b/>
                <w:sz w:val="16"/>
                <w:szCs w:val="16"/>
                <w:lang w:val="en-GB"/>
              </w:rPr>
              <w:t>:</w:t>
            </w:r>
            <w:r w:rsidR="00304B27" w:rsidRPr="00E8394D">
              <w:rPr>
                <w:b/>
                <w:sz w:val="16"/>
                <w:szCs w:val="16"/>
                <w:lang w:val="en-GB"/>
              </w:rPr>
              <w:t xml:space="preserve"> </w:t>
            </w:r>
            <w:r w:rsidRPr="00E8394D">
              <w:rPr>
                <w:sz w:val="16"/>
                <w:szCs w:val="16"/>
                <w:lang w:val="en-GB"/>
              </w:rPr>
              <w:t>2,900,000</w:t>
            </w:r>
          </w:p>
          <w:p w14:paraId="3DBD074F" w14:textId="77777777" w:rsidR="00A674CA" w:rsidRPr="00E8394D" w:rsidRDefault="00304B27" w:rsidP="00BC1D6E">
            <w:pPr>
              <w:rPr>
                <w:sz w:val="16"/>
                <w:szCs w:val="16"/>
                <w:lang w:val="en-GB"/>
              </w:rPr>
            </w:pPr>
            <w:r w:rsidRPr="00E8394D">
              <w:rPr>
                <w:b/>
                <w:sz w:val="16"/>
                <w:szCs w:val="16"/>
                <w:lang w:val="en-GB"/>
              </w:rPr>
              <w:t>Other</w:t>
            </w:r>
            <w:r w:rsidR="000855AB">
              <w:rPr>
                <w:b/>
                <w:sz w:val="16"/>
                <w:szCs w:val="16"/>
                <w:lang w:val="en-GB"/>
              </w:rPr>
              <w:t>:</w:t>
            </w:r>
            <w:r w:rsidRPr="00E8394D">
              <w:rPr>
                <w:b/>
                <w:sz w:val="16"/>
                <w:szCs w:val="16"/>
                <w:lang w:val="en-GB"/>
              </w:rPr>
              <w:t xml:space="preserve"> </w:t>
            </w:r>
            <w:r w:rsidR="00A674CA" w:rsidRPr="00E8394D">
              <w:rPr>
                <w:sz w:val="16"/>
                <w:szCs w:val="16"/>
                <w:lang w:val="en-GB"/>
              </w:rPr>
              <w:t>30,100,000</w:t>
            </w:r>
          </w:p>
          <w:p w14:paraId="17CE2AE8" w14:textId="77777777" w:rsidR="00A674CA" w:rsidRPr="00E8394D" w:rsidRDefault="00A674CA" w:rsidP="00BC1D6E">
            <w:pPr>
              <w:rPr>
                <w:sz w:val="16"/>
                <w:szCs w:val="16"/>
                <w:lang w:val="en-GB"/>
              </w:rPr>
            </w:pPr>
            <w:r w:rsidRPr="00E8394D">
              <w:rPr>
                <w:b/>
                <w:sz w:val="16"/>
                <w:szCs w:val="16"/>
                <w:lang w:val="en-GB"/>
              </w:rPr>
              <w:t>Total</w:t>
            </w:r>
            <w:r w:rsidR="000855AB">
              <w:rPr>
                <w:b/>
                <w:sz w:val="16"/>
                <w:szCs w:val="16"/>
                <w:lang w:val="en-GB"/>
              </w:rPr>
              <w:t>:</w:t>
            </w:r>
            <w:r w:rsidR="00304B27" w:rsidRPr="00E8394D">
              <w:rPr>
                <w:b/>
                <w:sz w:val="16"/>
                <w:szCs w:val="16"/>
                <w:lang w:val="en-GB"/>
              </w:rPr>
              <w:t xml:space="preserve"> </w:t>
            </w:r>
            <w:r w:rsidRPr="00E8394D">
              <w:rPr>
                <w:sz w:val="16"/>
                <w:szCs w:val="16"/>
                <w:lang w:val="en-GB"/>
              </w:rPr>
              <w:t>33,000,000</w:t>
            </w:r>
          </w:p>
          <w:p w14:paraId="5B50CB83" w14:textId="77777777" w:rsidR="00A674CA" w:rsidRPr="00E8394D" w:rsidRDefault="00A674CA" w:rsidP="00BC1D6E">
            <w:pPr>
              <w:rPr>
                <w:b/>
                <w:sz w:val="16"/>
                <w:szCs w:val="16"/>
                <w:lang w:val="en-GB"/>
              </w:rPr>
            </w:pPr>
          </w:p>
        </w:tc>
      </w:tr>
      <w:tr w:rsidR="00E50248" w:rsidRPr="00E8394D" w14:paraId="706CAC71" w14:textId="77777777" w:rsidTr="008674FD">
        <w:tc>
          <w:tcPr>
            <w:tcW w:w="5000" w:type="pct"/>
            <w:gridSpan w:val="9"/>
            <w:shd w:val="clear" w:color="auto" w:fill="auto"/>
            <w:tcMar>
              <w:top w:w="72" w:type="dxa"/>
              <w:left w:w="144" w:type="dxa"/>
              <w:bottom w:w="72" w:type="dxa"/>
              <w:right w:w="144" w:type="dxa"/>
            </w:tcMar>
          </w:tcPr>
          <w:p w14:paraId="1A48A849" w14:textId="77777777" w:rsidR="00A674CA" w:rsidRPr="00F0280F" w:rsidRDefault="00A674CA" w:rsidP="0043128F">
            <w:pPr>
              <w:rPr>
                <w:sz w:val="16"/>
                <w:szCs w:val="16"/>
                <w:lang w:val="en-GB"/>
              </w:rPr>
            </w:pPr>
            <w:r w:rsidRPr="00E8394D">
              <w:rPr>
                <w:b/>
                <w:bCs/>
                <w:sz w:val="16"/>
                <w:szCs w:val="16"/>
                <w:lang w:val="en-GB"/>
              </w:rPr>
              <w:t xml:space="preserve">NATIONAL PRIORITY: </w:t>
            </w:r>
            <w:r w:rsidRPr="0043128F">
              <w:rPr>
                <w:bCs/>
                <w:sz w:val="16"/>
                <w:szCs w:val="16"/>
                <w:lang w:val="en-GB"/>
              </w:rPr>
              <w:t>1.</w:t>
            </w:r>
            <w:r w:rsidRPr="00E8394D">
              <w:rPr>
                <w:sz w:val="16"/>
                <w:szCs w:val="16"/>
                <w:lang w:val="en-GB"/>
              </w:rPr>
              <w:t xml:space="preserve"> Human </w:t>
            </w:r>
            <w:r w:rsidR="00543544">
              <w:rPr>
                <w:sz w:val="16"/>
                <w:szCs w:val="16"/>
                <w:lang w:val="en-GB"/>
              </w:rPr>
              <w:t>c</w:t>
            </w:r>
            <w:r w:rsidRPr="00E8394D">
              <w:rPr>
                <w:sz w:val="16"/>
                <w:szCs w:val="16"/>
                <w:lang w:val="en-GB"/>
              </w:rPr>
              <w:t xml:space="preserve">apital </w:t>
            </w:r>
            <w:r w:rsidR="00543544">
              <w:rPr>
                <w:sz w:val="16"/>
                <w:szCs w:val="16"/>
                <w:lang w:val="en-GB"/>
              </w:rPr>
              <w:t>d</w:t>
            </w:r>
            <w:r w:rsidRPr="00E8394D">
              <w:rPr>
                <w:sz w:val="16"/>
                <w:szCs w:val="16"/>
                <w:lang w:val="en-GB"/>
              </w:rPr>
              <w:t xml:space="preserve">evelopment, </w:t>
            </w:r>
            <w:r w:rsidR="00543544">
              <w:rPr>
                <w:sz w:val="16"/>
                <w:szCs w:val="16"/>
                <w:lang w:val="en-GB"/>
              </w:rPr>
              <w:t>g</w:t>
            </w:r>
            <w:r w:rsidRPr="00E8394D">
              <w:rPr>
                <w:sz w:val="16"/>
                <w:szCs w:val="16"/>
                <w:lang w:val="en-GB"/>
              </w:rPr>
              <w:t xml:space="preserve">ender, </w:t>
            </w:r>
            <w:r w:rsidR="00543544">
              <w:rPr>
                <w:sz w:val="16"/>
                <w:szCs w:val="16"/>
                <w:lang w:val="en-GB"/>
              </w:rPr>
              <w:t>y</w:t>
            </w:r>
            <w:r w:rsidRPr="00E8394D">
              <w:rPr>
                <w:sz w:val="16"/>
                <w:szCs w:val="16"/>
                <w:lang w:val="en-GB"/>
              </w:rPr>
              <w:t xml:space="preserve">outh and </w:t>
            </w:r>
            <w:r w:rsidR="00543544">
              <w:rPr>
                <w:sz w:val="16"/>
                <w:szCs w:val="16"/>
                <w:lang w:val="en-GB"/>
              </w:rPr>
              <w:t>p</w:t>
            </w:r>
            <w:r w:rsidRPr="00E8394D">
              <w:rPr>
                <w:sz w:val="16"/>
                <w:szCs w:val="16"/>
                <w:lang w:val="en-GB"/>
              </w:rPr>
              <w:t xml:space="preserve">eople </w:t>
            </w:r>
            <w:r w:rsidR="00543544">
              <w:rPr>
                <w:sz w:val="16"/>
                <w:szCs w:val="16"/>
                <w:lang w:val="en-GB"/>
              </w:rPr>
              <w:t>e</w:t>
            </w:r>
            <w:r w:rsidRPr="00E8394D">
              <w:rPr>
                <w:sz w:val="16"/>
                <w:szCs w:val="16"/>
                <w:lang w:val="en-GB"/>
              </w:rPr>
              <w:t xml:space="preserve">mpowerment; </w:t>
            </w:r>
            <w:r w:rsidRPr="0043128F">
              <w:rPr>
                <w:bCs/>
                <w:sz w:val="16"/>
                <w:szCs w:val="16"/>
                <w:lang w:val="en-GB"/>
              </w:rPr>
              <w:t>2.</w:t>
            </w:r>
            <w:r w:rsidRPr="00E8394D">
              <w:rPr>
                <w:sz w:val="16"/>
                <w:szCs w:val="16"/>
                <w:lang w:val="en-GB"/>
              </w:rPr>
              <w:t xml:space="preserve"> Institutional </w:t>
            </w:r>
            <w:r w:rsidR="00543544">
              <w:rPr>
                <w:sz w:val="16"/>
                <w:szCs w:val="16"/>
                <w:lang w:val="en-GB"/>
              </w:rPr>
              <w:t>d</w:t>
            </w:r>
            <w:r w:rsidRPr="00E8394D">
              <w:rPr>
                <w:sz w:val="16"/>
                <w:szCs w:val="16"/>
                <w:lang w:val="en-GB"/>
              </w:rPr>
              <w:t xml:space="preserve">evelopment and </w:t>
            </w:r>
            <w:r w:rsidR="00543544">
              <w:rPr>
                <w:sz w:val="16"/>
                <w:szCs w:val="16"/>
                <w:lang w:val="en-GB"/>
              </w:rPr>
              <w:t>s</w:t>
            </w:r>
            <w:r w:rsidRPr="00E8394D">
              <w:rPr>
                <w:sz w:val="16"/>
                <w:szCs w:val="16"/>
                <w:lang w:val="en-GB"/>
              </w:rPr>
              <w:t xml:space="preserve">ervice </w:t>
            </w:r>
            <w:r w:rsidR="00543544">
              <w:rPr>
                <w:sz w:val="16"/>
                <w:szCs w:val="16"/>
                <w:lang w:val="en-GB"/>
              </w:rPr>
              <w:t>d</w:t>
            </w:r>
            <w:r w:rsidRPr="00E8394D">
              <w:rPr>
                <w:sz w:val="16"/>
                <w:szCs w:val="16"/>
                <w:lang w:val="en-GB"/>
              </w:rPr>
              <w:t>elivery</w:t>
            </w:r>
            <w:r w:rsidR="00AF766B" w:rsidRPr="00E8394D">
              <w:rPr>
                <w:sz w:val="16"/>
                <w:szCs w:val="16"/>
                <w:lang w:val="en-GB"/>
              </w:rPr>
              <w:t xml:space="preserve">; </w:t>
            </w:r>
            <w:r w:rsidR="00AF766B" w:rsidRPr="0043128F">
              <w:rPr>
                <w:sz w:val="16"/>
                <w:szCs w:val="16"/>
                <w:lang w:val="en-GB"/>
              </w:rPr>
              <w:t>3</w:t>
            </w:r>
            <w:r w:rsidRPr="0043128F">
              <w:rPr>
                <w:bCs/>
                <w:sz w:val="16"/>
                <w:szCs w:val="16"/>
                <w:lang w:val="en-GB"/>
              </w:rPr>
              <w:t>.</w:t>
            </w:r>
            <w:r w:rsidRPr="00E8394D">
              <w:rPr>
                <w:sz w:val="16"/>
                <w:szCs w:val="16"/>
                <w:lang w:val="en-GB"/>
              </w:rPr>
              <w:t xml:space="preserve"> Poverty reduction, wellbeing, livelihoods and social protection, access to essential services; </w:t>
            </w:r>
            <w:r w:rsidR="00AF766B" w:rsidRPr="0043128F">
              <w:rPr>
                <w:bCs/>
                <w:sz w:val="16"/>
                <w:szCs w:val="16"/>
                <w:lang w:val="en-GB"/>
              </w:rPr>
              <w:t>4</w:t>
            </w:r>
            <w:r w:rsidRPr="0043128F">
              <w:rPr>
                <w:bCs/>
                <w:sz w:val="16"/>
                <w:szCs w:val="16"/>
                <w:lang w:val="en-GB"/>
              </w:rPr>
              <w:t>.</w:t>
            </w:r>
            <w:r w:rsidRPr="00E8394D">
              <w:rPr>
                <w:sz w:val="16"/>
                <w:szCs w:val="16"/>
                <w:lang w:val="en-GB"/>
              </w:rPr>
              <w:t xml:space="preserve"> Equitable, fair and just – between and within co</w:t>
            </w:r>
            <w:r w:rsidR="0010416A" w:rsidRPr="00E8394D">
              <w:rPr>
                <w:sz w:val="16"/>
                <w:szCs w:val="16"/>
                <w:lang w:val="en-GB"/>
              </w:rPr>
              <w:t>untries and between generations</w:t>
            </w:r>
            <w:r w:rsidR="00543544" w:rsidRPr="00E8394D" w:rsidDel="00543544">
              <w:rPr>
                <w:sz w:val="16"/>
                <w:szCs w:val="16"/>
                <w:lang w:val="en-GB"/>
              </w:rPr>
              <w:t xml:space="preserve"> </w:t>
            </w:r>
            <w:r w:rsidRPr="0043128F">
              <w:rPr>
                <w:bCs/>
                <w:iCs/>
                <w:sz w:val="16"/>
                <w:szCs w:val="16"/>
                <w:lang w:val="en-GB"/>
              </w:rPr>
              <w:t>(SDGs: 1, 8, 9, 10, 11, 16, 17)</w:t>
            </w:r>
            <w:r w:rsidR="00543544">
              <w:rPr>
                <w:bCs/>
                <w:iCs/>
                <w:sz w:val="16"/>
                <w:szCs w:val="16"/>
                <w:lang w:val="en-GB"/>
              </w:rPr>
              <w:t>.</w:t>
            </w:r>
          </w:p>
        </w:tc>
      </w:tr>
      <w:tr w:rsidR="00E50248" w:rsidRPr="00E8394D" w14:paraId="3A0A566F" w14:textId="77777777" w:rsidTr="008674FD">
        <w:tc>
          <w:tcPr>
            <w:tcW w:w="5000" w:type="pct"/>
            <w:gridSpan w:val="9"/>
            <w:shd w:val="clear" w:color="auto" w:fill="auto"/>
            <w:tcMar>
              <w:top w:w="72" w:type="dxa"/>
              <w:left w:w="144" w:type="dxa"/>
              <w:bottom w:w="72" w:type="dxa"/>
              <w:right w:w="144" w:type="dxa"/>
            </w:tcMar>
          </w:tcPr>
          <w:p w14:paraId="14206689" w14:textId="77777777" w:rsidR="00A674CA" w:rsidRPr="00E8394D" w:rsidRDefault="00A674CA" w:rsidP="00BC1D6E">
            <w:pPr>
              <w:rPr>
                <w:b/>
                <w:sz w:val="16"/>
                <w:szCs w:val="16"/>
                <w:lang w:val="en-GB"/>
              </w:rPr>
            </w:pPr>
            <w:r w:rsidRPr="00E8394D">
              <w:rPr>
                <w:b/>
                <w:bCs/>
                <w:sz w:val="16"/>
                <w:szCs w:val="16"/>
                <w:lang w:val="en-GB"/>
              </w:rPr>
              <w:t>OUTCOME 2:</w:t>
            </w:r>
            <w:r w:rsidRPr="00E8394D">
              <w:rPr>
                <w:sz w:val="16"/>
                <w:szCs w:val="16"/>
                <w:lang w:val="en-GB"/>
              </w:rPr>
              <w:t xml:space="preserve"> </w:t>
            </w:r>
            <w:r w:rsidRPr="0043128F">
              <w:rPr>
                <w:bCs/>
                <w:sz w:val="16"/>
                <w:szCs w:val="16"/>
                <w:lang w:val="en-GB"/>
              </w:rPr>
              <w:t>By 2022, all people in Papua New Guinea, including marginalized and vulnerable populations, benefit from shared prosperity and contribute to growth and development that is equitable, inclusive and sustainable.</w:t>
            </w:r>
          </w:p>
        </w:tc>
      </w:tr>
      <w:tr w:rsidR="00E50248" w:rsidRPr="00E8394D" w14:paraId="2B372582" w14:textId="77777777" w:rsidTr="008674FD">
        <w:tc>
          <w:tcPr>
            <w:tcW w:w="897" w:type="pct"/>
            <w:gridSpan w:val="2"/>
            <w:tcBorders>
              <w:bottom w:val="single" w:sz="4" w:space="0" w:color="auto"/>
            </w:tcBorders>
            <w:tcMar>
              <w:top w:w="72" w:type="dxa"/>
              <w:left w:w="144" w:type="dxa"/>
              <w:bottom w:w="72" w:type="dxa"/>
              <w:right w:w="144" w:type="dxa"/>
            </w:tcMar>
          </w:tcPr>
          <w:p w14:paraId="39A2B0CC" w14:textId="77777777" w:rsidR="00A674CA" w:rsidRPr="00E8394D" w:rsidRDefault="00A674CA" w:rsidP="00BC1D6E">
            <w:pPr>
              <w:rPr>
                <w:sz w:val="16"/>
                <w:szCs w:val="16"/>
                <w:lang w:val="en-GB"/>
              </w:rPr>
            </w:pPr>
            <w:r w:rsidRPr="00E8394D">
              <w:rPr>
                <w:b/>
                <w:iCs/>
                <w:sz w:val="16"/>
                <w:szCs w:val="16"/>
                <w:lang w:val="en-GB"/>
              </w:rPr>
              <w:t>Indicator</w:t>
            </w:r>
            <w:r w:rsidRPr="00E8394D">
              <w:rPr>
                <w:b/>
                <w:sz w:val="16"/>
                <w:szCs w:val="16"/>
                <w:u w:val="single"/>
                <w:lang w:val="en-GB"/>
              </w:rPr>
              <w:t>:</w:t>
            </w:r>
            <w:r w:rsidRPr="00E8394D">
              <w:rPr>
                <w:b/>
                <w:sz w:val="16"/>
                <w:szCs w:val="16"/>
                <w:lang w:val="en-GB"/>
              </w:rPr>
              <w:t xml:space="preserve"> </w:t>
            </w:r>
            <w:r w:rsidRPr="00E8394D">
              <w:rPr>
                <w:sz w:val="16"/>
                <w:szCs w:val="16"/>
                <w:lang w:val="en-GB"/>
              </w:rPr>
              <w:t xml:space="preserve">Percentage of non-resource </w:t>
            </w:r>
            <w:r w:rsidR="00BE0AD8">
              <w:rPr>
                <w:sz w:val="16"/>
                <w:szCs w:val="16"/>
                <w:lang w:val="en-GB"/>
              </w:rPr>
              <w:t>g</w:t>
            </w:r>
            <w:r w:rsidRPr="00E8394D">
              <w:rPr>
                <w:sz w:val="16"/>
                <w:szCs w:val="16"/>
                <w:lang w:val="en-GB"/>
              </w:rPr>
              <w:t xml:space="preserve">ross </w:t>
            </w:r>
            <w:r w:rsidR="00BE0AD8">
              <w:rPr>
                <w:sz w:val="16"/>
                <w:szCs w:val="16"/>
                <w:lang w:val="en-GB"/>
              </w:rPr>
              <w:t>d</w:t>
            </w:r>
            <w:r w:rsidRPr="00E8394D">
              <w:rPr>
                <w:sz w:val="16"/>
                <w:szCs w:val="16"/>
                <w:lang w:val="en-GB"/>
              </w:rPr>
              <w:t xml:space="preserve">omestic </w:t>
            </w:r>
            <w:r w:rsidR="00BE0AD8">
              <w:rPr>
                <w:sz w:val="16"/>
                <w:szCs w:val="16"/>
                <w:lang w:val="en-GB"/>
              </w:rPr>
              <w:t>p</w:t>
            </w:r>
            <w:r w:rsidRPr="00E8394D">
              <w:rPr>
                <w:sz w:val="16"/>
                <w:szCs w:val="16"/>
                <w:lang w:val="en-GB"/>
              </w:rPr>
              <w:t xml:space="preserve">roduct in per capita real growth rates  </w:t>
            </w:r>
          </w:p>
          <w:p w14:paraId="31655F19" w14:textId="77777777" w:rsidR="00A674CA" w:rsidRPr="00E8394D" w:rsidRDefault="00A674CA" w:rsidP="00BC1D6E">
            <w:pPr>
              <w:rPr>
                <w:iCs/>
                <w:sz w:val="16"/>
                <w:szCs w:val="16"/>
                <w:u w:val="single"/>
                <w:lang w:val="en-GB"/>
              </w:rPr>
            </w:pPr>
          </w:p>
          <w:p w14:paraId="18FE0585" w14:textId="77777777" w:rsidR="00A674CA" w:rsidRPr="00E8394D" w:rsidRDefault="00A674CA" w:rsidP="00BC1D6E">
            <w:pPr>
              <w:rPr>
                <w:b/>
                <w:iCs/>
                <w:sz w:val="16"/>
                <w:szCs w:val="16"/>
                <w:u w:val="single"/>
                <w:lang w:val="en-GB"/>
              </w:rPr>
            </w:pPr>
            <w:r w:rsidRPr="00E8394D">
              <w:rPr>
                <w:b/>
                <w:iCs/>
                <w:sz w:val="16"/>
                <w:szCs w:val="16"/>
                <w:lang w:val="en-GB"/>
              </w:rPr>
              <w:t>Baseline</w:t>
            </w:r>
            <w:r w:rsidRPr="00E8394D">
              <w:rPr>
                <w:b/>
                <w:iCs/>
                <w:sz w:val="16"/>
                <w:szCs w:val="16"/>
                <w:u w:val="single"/>
                <w:lang w:val="en-GB"/>
              </w:rPr>
              <w:t xml:space="preserve">: </w:t>
            </w:r>
          </w:p>
          <w:p w14:paraId="64268513" w14:textId="77777777" w:rsidR="00A674CA" w:rsidRPr="00E8394D" w:rsidRDefault="00A674CA" w:rsidP="00BC1D6E">
            <w:pPr>
              <w:rPr>
                <w:b/>
                <w:iCs/>
                <w:sz w:val="16"/>
                <w:szCs w:val="16"/>
                <w:u w:val="single"/>
                <w:lang w:val="en-GB"/>
              </w:rPr>
            </w:pPr>
            <w:r w:rsidRPr="00E8394D">
              <w:rPr>
                <w:iCs/>
                <w:sz w:val="16"/>
                <w:szCs w:val="16"/>
                <w:lang w:val="en-GB"/>
              </w:rPr>
              <w:t>1.7% (2012-2015)</w:t>
            </w:r>
          </w:p>
          <w:p w14:paraId="34CC07DD" w14:textId="77777777" w:rsidR="00A674CA" w:rsidRPr="00E8394D" w:rsidRDefault="00A674CA" w:rsidP="00BC1D6E">
            <w:pPr>
              <w:rPr>
                <w:b/>
                <w:iCs/>
                <w:sz w:val="16"/>
                <w:szCs w:val="16"/>
                <w:u w:val="single"/>
                <w:lang w:val="en-GB"/>
              </w:rPr>
            </w:pPr>
          </w:p>
          <w:p w14:paraId="12567A96" w14:textId="77777777" w:rsidR="00A674CA" w:rsidRPr="00E8394D" w:rsidRDefault="00A674CA" w:rsidP="00BC1D6E">
            <w:pPr>
              <w:rPr>
                <w:b/>
                <w:iCs/>
                <w:sz w:val="16"/>
                <w:szCs w:val="16"/>
                <w:u w:val="single"/>
                <w:lang w:val="en-GB"/>
              </w:rPr>
            </w:pPr>
            <w:r w:rsidRPr="00E8394D">
              <w:rPr>
                <w:b/>
                <w:iCs/>
                <w:sz w:val="16"/>
                <w:szCs w:val="16"/>
                <w:lang w:val="en-GB"/>
              </w:rPr>
              <w:t>Target</w:t>
            </w:r>
            <w:r w:rsidRPr="00E8394D">
              <w:rPr>
                <w:b/>
                <w:iCs/>
                <w:sz w:val="16"/>
                <w:szCs w:val="16"/>
                <w:u w:val="single"/>
                <w:lang w:val="en-GB"/>
              </w:rPr>
              <w:t xml:space="preserve">: </w:t>
            </w:r>
          </w:p>
          <w:p w14:paraId="1AA9830B" w14:textId="77777777" w:rsidR="00A674CA" w:rsidRPr="00E8394D" w:rsidRDefault="00A674CA" w:rsidP="00BC1D6E">
            <w:pPr>
              <w:rPr>
                <w:sz w:val="16"/>
                <w:szCs w:val="16"/>
                <w:lang w:val="en-GB"/>
              </w:rPr>
            </w:pPr>
            <w:r w:rsidRPr="00E8394D">
              <w:rPr>
                <w:sz w:val="16"/>
                <w:szCs w:val="16"/>
                <w:lang w:val="en-GB"/>
              </w:rPr>
              <w:t>3% (cumulative from 2018-2022)</w:t>
            </w:r>
          </w:p>
          <w:p w14:paraId="7414F976" w14:textId="77777777" w:rsidR="00A674CA" w:rsidRPr="00E8394D" w:rsidRDefault="00A674CA" w:rsidP="00BC1D6E">
            <w:pPr>
              <w:rPr>
                <w:rFonts w:eastAsiaTheme="minorHAnsi"/>
                <w:b/>
                <w:bCs/>
                <w:sz w:val="16"/>
                <w:szCs w:val="16"/>
                <w:lang w:val="en-GB"/>
              </w:rPr>
            </w:pPr>
          </w:p>
          <w:p w14:paraId="63B3141C" w14:textId="77777777" w:rsidR="00A674CA" w:rsidRPr="00E8394D" w:rsidRDefault="00A674CA" w:rsidP="00BC1D6E">
            <w:pPr>
              <w:rPr>
                <w:rFonts w:eastAsiaTheme="minorHAnsi"/>
                <w:b/>
                <w:bCs/>
                <w:sz w:val="16"/>
                <w:szCs w:val="16"/>
                <w:lang w:val="en-GB"/>
              </w:rPr>
            </w:pPr>
          </w:p>
          <w:p w14:paraId="681753E8" w14:textId="77777777" w:rsidR="00A674CA" w:rsidRPr="00E8394D" w:rsidRDefault="00A674CA" w:rsidP="00BC1D6E">
            <w:pPr>
              <w:rPr>
                <w:rFonts w:eastAsiaTheme="minorHAnsi"/>
                <w:b/>
                <w:bCs/>
                <w:sz w:val="16"/>
                <w:szCs w:val="16"/>
                <w:lang w:val="en-GB"/>
              </w:rPr>
            </w:pPr>
          </w:p>
          <w:p w14:paraId="61FACE09" w14:textId="77777777" w:rsidR="00A674CA" w:rsidRPr="00E8394D" w:rsidRDefault="00A674CA" w:rsidP="00BC1D6E">
            <w:pPr>
              <w:rPr>
                <w:rFonts w:eastAsiaTheme="minorHAnsi"/>
                <w:sz w:val="16"/>
                <w:szCs w:val="16"/>
                <w:lang w:val="en-GB"/>
              </w:rPr>
            </w:pPr>
          </w:p>
        </w:tc>
        <w:tc>
          <w:tcPr>
            <w:tcW w:w="589" w:type="pct"/>
            <w:gridSpan w:val="2"/>
            <w:tcBorders>
              <w:bottom w:val="single" w:sz="4" w:space="0" w:color="auto"/>
            </w:tcBorders>
          </w:tcPr>
          <w:p w14:paraId="6DBF188B" w14:textId="77777777" w:rsidR="00A674CA" w:rsidRPr="00E8394D" w:rsidRDefault="00BE0AD8" w:rsidP="00F0280F">
            <w:pPr>
              <w:rPr>
                <w:sz w:val="16"/>
                <w:szCs w:val="16"/>
                <w:lang w:val="en-GB"/>
              </w:rPr>
            </w:pPr>
            <w:r>
              <w:rPr>
                <w:sz w:val="16"/>
                <w:szCs w:val="16"/>
                <w:lang w:val="en-GB"/>
              </w:rPr>
              <w:t>International Monetary Fund, a</w:t>
            </w:r>
            <w:r w:rsidR="00A674CA" w:rsidRPr="00E8394D">
              <w:rPr>
                <w:sz w:val="16"/>
                <w:szCs w:val="16"/>
                <w:lang w:val="en-GB"/>
              </w:rPr>
              <w:t>rticle IV</w:t>
            </w:r>
            <w:r>
              <w:rPr>
                <w:sz w:val="16"/>
                <w:szCs w:val="16"/>
                <w:lang w:val="en-GB"/>
              </w:rPr>
              <w:t>,</w:t>
            </w:r>
            <w:r w:rsidR="00A674CA" w:rsidRPr="00E8394D">
              <w:rPr>
                <w:sz w:val="16"/>
                <w:szCs w:val="16"/>
                <w:lang w:val="en-GB"/>
              </w:rPr>
              <w:t xml:space="preserve"> </w:t>
            </w:r>
            <w:r>
              <w:rPr>
                <w:sz w:val="16"/>
                <w:szCs w:val="16"/>
                <w:lang w:val="en-GB"/>
              </w:rPr>
              <w:t>Papua New Guinea c</w:t>
            </w:r>
            <w:r w:rsidR="00A674CA" w:rsidRPr="00E8394D">
              <w:rPr>
                <w:sz w:val="16"/>
                <w:szCs w:val="16"/>
                <w:lang w:val="en-GB"/>
              </w:rPr>
              <w:t xml:space="preserve">ountry </w:t>
            </w:r>
            <w:r>
              <w:rPr>
                <w:sz w:val="16"/>
                <w:szCs w:val="16"/>
                <w:lang w:val="en-GB"/>
              </w:rPr>
              <w:t>r</w:t>
            </w:r>
            <w:r w:rsidR="00A674CA" w:rsidRPr="00E8394D">
              <w:rPr>
                <w:sz w:val="16"/>
                <w:szCs w:val="16"/>
                <w:lang w:val="en-GB"/>
              </w:rPr>
              <w:t>eport</w:t>
            </w:r>
          </w:p>
        </w:tc>
        <w:tc>
          <w:tcPr>
            <w:tcW w:w="1882" w:type="pct"/>
            <w:gridSpan w:val="2"/>
            <w:tcBorders>
              <w:bottom w:val="single" w:sz="4" w:space="0" w:color="auto"/>
            </w:tcBorders>
            <w:tcMar>
              <w:top w:w="72" w:type="dxa"/>
              <w:left w:w="144" w:type="dxa"/>
              <w:bottom w:w="72" w:type="dxa"/>
              <w:right w:w="144" w:type="dxa"/>
            </w:tcMar>
          </w:tcPr>
          <w:p w14:paraId="571D6E34" w14:textId="77777777" w:rsidR="00A674CA" w:rsidRPr="00E8394D" w:rsidRDefault="00A674CA" w:rsidP="00BC1D6E">
            <w:pPr>
              <w:pStyle w:val="Default"/>
              <w:rPr>
                <w:rFonts w:ascii="Times New Roman" w:hAnsi="Times New Roman" w:cs="Times New Roman"/>
                <w:b/>
                <w:color w:val="auto"/>
                <w:sz w:val="16"/>
                <w:szCs w:val="16"/>
                <w:lang w:val="en-GB"/>
              </w:rPr>
            </w:pPr>
            <w:r w:rsidRPr="00E8394D">
              <w:rPr>
                <w:rFonts w:ascii="Times New Roman" w:hAnsi="Times New Roman" w:cs="Times New Roman"/>
                <w:b/>
                <w:color w:val="auto"/>
                <w:sz w:val="16"/>
                <w:szCs w:val="16"/>
                <w:lang w:val="en-GB"/>
              </w:rPr>
              <w:t>Output 2.1: National systems strengthened to support growth of sustainable and inclusive entrepreneurship</w:t>
            </w:r>
            <w:r w:rsidR="00736E5C">
              <w:rPr>
                <w:rFonts w:ascii="Times New Roman" w:hAnsi="Times New Roman" w:cs="Times New Roman"/>
                <w:b/>
                <w:color w:val="auto"/>
                <w:sz w:val="16"/>
                <w:szCs w:val="16"/>
                <w:lang w:val="en-GB"/>
              </w:rPr>
              <w:t>.</w:t>
            </w:r>
            <w:r w:rsidRPr="00E8394D">
              <w:rPr>
                <w:rFonts w:ascii="Times New Roman" w:hAnsi="Times New Roman" w:cs="Times New Roman"/>
                <w:b/>
                <w:color w:val="auto"/>
                <w:sz w:val="16"/>
                <w:szCs w:val="16"/>
                <w:lang w:val="en-GB"/>
              </w:rPr>
              <w:t xml:space="preserve"> </w:t>
            </w:r>
          </w:p>
          <w:p w14:paraId="1F199556" w14:textId="77777777" w:rsidR="00A674CA" w:rsidRPr="00E8394D" w:rsidRDefault="00A674CA" w:rsidP="00BC1D6E">
            <w:pPr>
              <w:pStyle w:val="Default"/>
              <w:rPr>
                <w:rFonts w:ascii="Times New Roman" w:hAnsi="Times New Roman" w:cs="Times New Roman"/>
                <w:b/>
                <w:color w:val="auto"/>
                <w:sz w:val="16"/>
                <w:szCs w:val="16"/>
                <w:lang w:val="en-GB"/>
              </w:rPr>
            </w:pPr>
          </w:p>
          <w:p w14:paraId="3382D2EB" w14:textId="77777777" w:rsidR="00A674CA" w:rsidRPr="00E8394D" w:rsidRDefault="00A674CA" w:rsidP="00BC1D6E">
            <w:pPr>
              <w:rPr>
                <w:sz w:val="16"/>
                <w:szCs w:val="16"/>
                <w:lang w:val="en-GB"/>
              </w:rPr>
            </w:pPr>
            <w:r w:rsidRPr="00E8394D">
              <w:rPr>
                <w:b/>
                <w:sz w:val="16"/>
                <w:szCs w:val="16"/>
                <w:lang w:val="en-GB"/>
              </w:rPr>
              <w:t xml:space="preserve">2.1.1 </w:t>
            </w:r>
            <w:r w:rsidRPr="00E8394D">
              <w:rPr>
                <w:b/>
                <w:bCs/>
                <w:sz w:val="16"/>
                <w:szCs w:val="16"/>
                <w:lang w:val="en-GB" w:eastAsia="mk-MK"/>
              </w:rPr>
              <w:t xml:space="preserve">Indicator: </w:t>
            </w:r>
            <w:r w:rsidRPr="00E8394D">
              <w:rPr>
                <w:sz w:val="16"/>
                <w:szCs w:val="16"/>
                <w:lang w:val="en-GB"/>
              </w:rPr>
              <w:t xml:space="preserve">Number of gender-disaggregated national and subnational baselines and diagnostics carried out in most vulnerable provinces to inform inclusive growth policy responses </w:t>
            </w:r>
          </w:p>
          <w:p w14:paraId="3CE25092" w14:textId="77777777" w:rsidR="00A674CA" w:rsidRPr="00E8394D" w:rsidRDefault="00A674CA" w:rsidP="00BC1D6E">
            <w:pPr>
              <w:rPr>
                <w:b/>
                <w:bCs/>
                <w:sz w:val="16"/>
                <w:szCs w:val="16"/>
                <w:lang w:val="en-GB"/>
              </w:rPr>
            </w:pPr>
            <w:r w:rsidRPr="00E8394D">
              <w:rPr>
                <w:b/>
                <w:bCs/>
                <w:sz w:val="16"/>
                <w:szCs w:val="16"/>
                <w:lang w:val="en-GB"/>
              </w:rPr>
              <w:t xml:space="preserve">Baseline: </w:t>
            </w:r>
            <w:r w:rsidRPr="00E8394D">
              <w:rPr>
                <w:sz w:val="16"/>
                <w:szCs w:val="16"/>
                <w:lang w:val="en-GB"/>
              </w:rPr>
              <w:t>0</w:t>
            </w:r>
            <w:r w:rsidR="00CA64C8">
              <w:rPr>
                <w:sz w:val="16"/>
                <w:szCs w:val="16"/>
                <w:lang w:val="en-GB"/>
              </w:rPr>
              <w:t xml:space="preserve"> </w:t>
            </w:r>
            <w:r w:rsidR="00CA64C8" w:rsidRPr="00CB084A">
              <w:rPr>
                <w:bCs/>
                <w:sz w:val="16"/>
                <w:szCs w:val="16"/>
                <w:lang w:val="en-GB"/>
              </w:rPr>
              <w:t>(2015)</w:t>
            </w:r>
          </w:p>
          <w:p w14:paraId="5139CAA7" w14:textId="77777777" w:rsidR="00A674CA" w:rsidRPr="00E8394D" w:rsidRDefault="00A674CA" w:rsidP="00BC1D6E">
            <w:pPr>
              <w:rPr>
                <w:sz w:val="16"/>
                <w:szCs w:val="16"/>
                <w:lang w:val="en-GB"/>
              </w:rPr>
            </w:pPr>
            <w:r w:rsidRPr="00E8394D">
              <w:rPr>
                <w:b/>
                <w:bCs/>
                <w:sz w:val="16"/>
                <w:szCs w:val="16"/>
                <w:lang w:val="en-GB"/>
              </w:rPr>
              <w:t xml:space="preserve">Target: </w:t>
            </w:r>
            <w:r w:rsidRPr="00E8394D">
              <w:rPr>
                <w:sz w:val="16"/>
                <w:szCs w:val="16"/>
                <w:lang w:val="en-GB"/>
              </w:rPr>
              <w:t xml:space="preserve">6 </w:t>
            </w:r>
          </w:p>
          <w:p w14:paraId="31204BCD" w14:textId="77777777" w:rsidR="00A674CA" w:rsidRPr="00E8394D" w:rsidRDefault="00A674CA" w:rsidP="00BC1D6E">
            <w:pPr>
              <w:rPr>
                <w:sz w:val="16"/>
                <w:szCs w:val="16"/>
                <w:lang w:val="en-GB"/>
              </w:rPr>
            </w:pPr>
            <w:r w:rsidRPr="00E8394D">
              <w:rPr>
                <w:b/>
                <w:bCs/>
                <w:sz w:val="16"/>
                <w:szCs w:val="16"/>
                <w:lang w:val="en-GB"/>
              </w:rPr>
              <w:t xml:space="preserve">Source: </w:t>
            </w:r>
            <w:r w:rsidRPr="00E8394D">
              <w:rPr>
                <w:sz w:val="16"/>
                <w:szCs w:val="16"/>
                <w:lang w:val="en-GB"/>
              </w:rPr>
              <w:t>Project</w:t>
            </w:r>
            <w:r w:rsidR="00CA64C8">
              <w:rPr>
                <w:sz w:val="16"/>
                <w:szCs w:val="16"/>
                <w:lang w:val="en-GB"/>
              </w:rPr>
              <w:t xml:space="preserve"> monitoring and evaluation</w:t>
            </w:r>
            <w:r w:rsidRPr="00E8394D">
              <w:rPr>
                <w:sz w:val="16"/>
                <w:szCs w:val="16"/>
                <w:lang w:val="en-GB"/>
              </w:rPr>
              <w:t xml:space="preserve"> data</w:t>
            </w:r>
          </w:p>
          <w:p w14:paraId="3F08B6DD" w14:textId="77777777" w:rsidR="00A674CA" w:rsidRPr="00E8394D" w:rsidRDefault="00A674CA" w:rsidP="00BC1D6E">
            <w:pPr>
              <w:rPr>
                <w:sz w:val="16"/>
                <w:szCs w:val="16"/>
                <w:lang w:val="en-GB"/>
              </w:rPr>
            </w:pPr>
          </w:p>
          <w:p w14:paraId="4C5C0963" w14:textId="77777777" w:rsidR="00F365DC" w:rsidRPr="00E8394D" w:rsidRDefault="00F365DC" w:rsidP="00F365DC">
            <w:pPr>
              <w:rPr>
                <w:sz w:val="16"/>
                <w:szCs w:val="16"/>
                <w:lang w:val="en-GB" w:eastAsia="mk-MK"/>
              </w:rPr>
            </w:pPr>
            <w:r w:rsidRPr="00E8394D">
              <w:rPr>
                <w:b/>
                <w:sz w:val="16"/>
                <w:szCs w:val="16"/>
                <w:lang w:val="en-GB"/>
              </w:rPr>
              <w:t>2.1.2</w:t>
            </w:r>
            <w:r w:rsidRPr="00E8394D">
              <w:rPr>
                <w:b/>
                <w:bCs/>
                <w:sz w:val="16"/>
                <w:szCs w:val="16"/>
                <w:lang w:val="en-GB" w:eastAsia="mk-MK"/>
              </w:rPr>
              <w:t xml:space="preserve">: </w:t>
            </w:r>
            <w:r w:rsidRPr="00E8394D">
              <w:rPr>
                <w:sz w:val="16"/>
                <w:szCs w:val="16"/>
                <w:lang w:val="en-GB" w:eastAsia="mk-MK"/>
              </w:rPr>
              <w:t xml:space="preserve">Number of </w:t>
            </w:r>
            <w:r w:rsidR="00BF7AED" w:rsidRPr="00E8394D">
              <w:rPr>
                <w:sz w:val="16"/>
                <w:szCs w:val="16"/>
                <w:lang w:val="en-GB" w:eastAsia="mk-MK"/>
              </w:rPr>
              <w:t>p</w:t>
            </w:r>
            <w:r w:rsidRPr="00E8394D">
              <w:rPr>
                <w:sz w:val="16"/>
                <w:szCs w:val="16"/>
                <w:lang w:val="en-GB" w:eastAsia="mk-MK"/>
              </w:rPr>
              <w:t xml:space="preserve">rovinces with extractive industries </w:t>
            </w:r>
            <w:r w:rsidR="00CA64C8">
              <w:rPr>
                <w:sz w:val="16"/>
                <w:szCs w:val="16"/>
                <w:lang w:val="en-GB" w:eastAsia="mk-MK"/>
              </w:rPr>
              <w:t xml:space="preserve">that </w:t>
            </w:r>
            <w:r w:rsidRPr="00E8394D">
              <w:rPr>
                <w:sz w:val="16"/>
                <w:szCs w:val="16"/>
                <w:lang w:val="en-GB" w:eastAsia="mk-MK"/>
              </w:rPr>
              <w:t xml:space="preserve">introduce inclusive local supply chain integration in partnership </w:t>
            </w:r>
            <w:r w:rsidR="00BF7AED" w:rsidRPr="00E8394D">
              <w:rPr>
                <w:sz w:val="16"/>
                <w:szCs w:val="16"/>
                <w:lang w:val="en-GB" w:eastAsia="mk-MK"/>
              </w:rPr>
              <w:t xml:space="preserve">with </w:t>
            </w:r>
            <w:r w:rsidRPr="00E8394D">
              <w:rPr>
                <w:sz w:val="16"/>
                <w:szCs w:val="16"/>
                <w:lang w:val="en-GB" w:eastAsia="mk-MK"/>
              </w:rPr>
              <w:t>UNDP</w:t>
            </w:r>
          </w:p>
          <w:p w14:paraId="01E0F149" w14:textId="77777777" w:rsidR="00F365DC" w:rsidRPr="00E8394D" w:rsidRDefault="00F365DC" w:rsidP="00F365DC">
            <w:pPr>
              <w:rPr>
                <w:sz w:val="16"/>
                <w:szCs w:val="16"/>
                <w:lang w:val="en-GB" w:eastAsia="mk-MK"/>
              </w:rPr>
            </w:pPr>
            <w:r w:rsidRPr="00E8394D">
              <w:rPr>
                <w:b/>
                <w:bCs/>
                <w:sz w:val="16"/>
                <w:szCs w:val="16"/>
                <w:lang w:val="en-GB" w:eastAsia="mk-MK"/>
              </w:rPr>
              <w:t>Baseline:</w:t>
            </w:r>
            <w:r w:rsidRPr="00E8394D">
              <w:rPr>
                <w:sz w:val="16"/>
                <w:szCs w:val="16"/>
                <w:lang w:val="en-GB" w:eastAsia="mk-MK"/>
              </w:rPr>
              <w:t xml:space="preserve"> 0 (2017)</w:t>
            </w:r>
          </w:p>
          <w:p w14:paraId="2D953A96" w14:textId="77777777" w:rsidR="00F365DC" w:rsidRPr="00E8394D" w:rsidRDefault="00F365DC" w:rsidP="00F365DC">
            <w:pPr>
              <w:rPr>
                <w:sz w:val="16"/>
                <w:szCs w:val="16"/>
                <w:lang w:val="en-GB" w:eastAsia="mk-MK"/>
              </w:rPr>
            </w:pPr>
            <w:r w:rsidRPr="00E8394D">
              <w:rPr>
                <w:b/>
                <w:bCs/>
                <w:sz w:val="16"/>
                <w:szCs w:val="16"/>
                <w:lang w:val="en-GB" w:eastAsia="mk-MK"/>
              </w:rPr>
              <w:t>Target:</w:t>
            </w:r>
            <w:r w:rsidRPr="00E8394D">
              <w:rPr>
                <w:sz w:val="16"/>
                <w:szCs w:val="16"/>
                <w:lang w:val="en-GB" w:eastAsia="mk-MK"/>
              </w:rPr>
              <w:t xml:space="preserve"> </w:t>
            </w:r>
            <w:r w:rsidRPr="00E8394D">
              <w:rPr>
                <w:sz w:val="16"/>
                <w:szCs w:val="16"/>
                <w:lang w:val="en-GB"/>
              </w:rPr>
              <w:t xml:space="preserve">5 </w:t>
            </w:r>
            <w:r w:rsidR="00CA64C8">
              <w:rPr>
                <w:sz w:val="16"/>
                <w:szCs w:val="16"/>
                <w:lang w:val="en-GB" w:eastAsia="mk-MK"/>
              </w:rPr>
              <w:t>p</w:t>
            </w:r>
            <w:r w:rsidRPr="00E8394D">
              <w:rPr>
                <w:sz w:val="16"/>
                <w:szCs w:val="16"/>
                <w:lang w:val="en-GB" w:eastAsia="mk-MK"/>
              </w:rPr>
              <w:t>rovinces</w:t>
            </w:r>
          </w:p>
          <w:p w14:paraId="50F567C2" w14:textId="77777777" w:rsidR="00F365DC" w:rsidRPr="00E8394D" w:rsidRDefault="00F365DC" w:rsidP="00F365DC">
            <w:pPr>
              <w:rPr>
                <w:sz w:val="16"/>
                <w:szCs w:val="16"/>
                <w:lang w:val="en-GB"/>
              </w:rPr>
            </w:pPr>
            <w:r w:rsidRPr="00E8394D">
              <w:rPr>
                <w:b/>
                <w:bCs/>
                <w:sz w:val="16"/>
                <w:szCs w:val="16"/>
                <w:lang w:val="en-GB"/>
              </w:rPr>
              <w:t>Source:</w:t>
            </w:r>
            <w:r w:rsidRPr="00E8394D">
              <w:rPr>
                <w:sz w:val="16"/>
                <w:szCs w:val="16"/>
                <w:lang w:val="en-GB"/>
              </w:rPr>
              <w:t xml:space="preserve"> Annual joint project reports</w:t>
            </w:r>
          </w:p>
          <w:p w14:paraId="719A5118" w14:textId="77777777" w:rsidR="00F365DC" w:rsidRPr="00E8394D" w:rsidRDefault="00F365DC" w:rsidP="00BC1D6E">
            <w:pPr>
              <w:rPr>
                <w:sz w:val="16"/>
                <w:szCs w:val="16"/>
                <w:lang w:val="en-GB"/>
              </w:rPr>
            </w:pPr>
          </w:p>
          <w:p w14:paraId="4825FAD5" w14:textId="77777777" w:rsidR="00A674CA" w:rsidRPr="00E8394D" w:rsidRDefault="00A674CA" w:rsidP="00BC1D6E">
            <w:pPr>
              <w:rPr>
                <w:sz w:val="16"/>
                <w:szCs w:val="16"/>
                <w:lang w:val="en-GB" w:eastAsia="mk-MK"/>
              </w:rPr>
            </w:pPr>
            <w:r w:rsidRPr="00E8394D">
              <w:rPr>
                <w:b/>
                <w:sz w:val="16"/>
                <w:szCs w:val="16"/>
                <w:lang w:val="en-GB"/>
              </w:rPr>
              <w:t>2.1.</w:t>
            </w:r>
            <w:r w:rsidR="00F365DC" w:rsidRPr="00E8394D">
              <w:rPr>
                <w:b/>
                <w:sz w:val="16"/>
                <w:szCs w:val="16"/>
                <w:lang w:val="en-GB"/>
              </w:rPr>
              <w:t>3</w:t>
            </w:r>
            <w:r w:rsidRPr="00E8394D">
              <w:rPr>
                <w:b/>
                <w:bCs/>
                <w:sz w:val="16"/>
                <w:szCs w:val="16"/>
                <w:lang w:val="en-GB" w:eastAsia="mk-MK"/>
              </w:rPr>
              <w:t xml:space="preserve">: </w:t>
            </w:r>
            <w:r w:rsidRPr="00E8394D">
              <w:rPr>
                <w:sz w:val="16"/>
                <w:szCs w:val="16"/>
                <w:lang w:val="en-GB" w:eastAsia="mk-MK"/>
              </w:rPr>
              <w:t xml:space="preserve">Number of UNDP recommendations on fostering good business environment and private sector growth applied by the Government </w:t>
            </w:r>
          </w:p>
          <w:p w14:paraId="7414939E" w14:textId="77777777" w:rsidR="00A674CA" w:rsidRPr="00E8394D" w:rsidRDefault="00A674CA" w:rsidP="00BC1D6E">
            <w:pPr>
              <w:rPr>
                <w:sz w:val="16"/>
                <w:szCs w:val="16"/>
                <w:lang w:val="en-GB" w:eastAsia="mk-MK"/>
              </w:rPr>
            </w:pPr>
            <w:r w:rsidRPr="00E8394D">
              <w:rPr>
                <w:b/>
                <w:bCs/>
                <w:sz w:val="16"/>
                <w:szCs w:val="16"/>
                <w:lang w:val="en-GB" w:eastAsia="mk-MK"/>
              </w:rPr>
              <w:t>Baseline:</w:t>
            </w:r>
            <w:r w:rsidRPr="00E8394D">
              <w:rPr>
                <w:sz w:val="16"/>
                <w:szCs w:val="16"/>
                <w:lang w:val="en-GB" w:eastAsia="mk-MK"/>
              </w:rPr>
              <w:t xml:space="preserve"> 0 </w:t>
            </w:r>
          </w:p>
          <w:p w14:paraId="54701739" w14:textId="77777777" w:rsidR="00A674CA" w:rsidRPr="00E8394D" w:rsidRDefault="00A674CA" w:rsidP="00BC1D6E">
            <w:pPr>
              <w:rPr>
                <w:sz w:val="16"/>
                <w:szCs w:val="16"/>
                <w:lang w:val="en-GB" w:eastAsia="mk-MK"/>
              </w:rPr>
            </w:pPr>
            <w:r w:rsidRPr="00E8394D">
              <w:rPr>
                <w:b/>
                <w:bCs/>
                <w:sz w:val="16"/>
                <w:szCs w:val="16"/>
                <w:lang w:val="en-GB" w:eastAsia="mk-MK"/>
              </w:rPr>
              <w:t>Target:</w:t>
            </w:r>
            <w:r w:rsidRPr="00E8394D">
              <w:rPr>
                <w:sz w:val="16"/>
                <w:szCs w:val="16"/>
                <w:lang w:val="en-GB" w:eastAsia="mk-MK"/>
              </w:rPr>
              <w:t xml:space="preserve"> </w:t>
            </w:r>
            <w:r w:rsidR="005363AE" w:rsidRPr="00E8394D">
              <w:rPr>
                <w:sz w:val="16"/>
                <w:szCs w:val="16"/>
                <w:lang w:val="en-GB"/>
              </w:rPr>
              <w:t>5</w:t>
            </w:r>
            <w:r w:rsidRPr="00E8394D">
              <w:rPr>
                <w:sz w:val="16"/>
                <w:szCs w:val="16"/>
                <w:lang w:val="en-GB"/>
              </w:rPr>
              <w:t xml:space="preserve"> </w:t>
            </w:r>
            <w:r w:rsidRPr="00E8394D">
              <w:rPr>
                <w:sz w:val="16"/>
                <w:szCs w:val="16"/>
                <w:lang w:val="en-GB" w:eastAsia="mk-MK"/>
              </w:rPr>
              <w:t> </w:t>
            </w:r>
          </w:p>
          <w:p w14:paraId="6B37C53D" w14:textId="77777777" w:rsidR="00A674CA" w:rsidRPr="00E8394D" w:rsidRDefault="00A674CA" w:rsidP="00BC1D6E">
            <w:pPr>
              <w:rPr>
                <w:sz w:val="16"/>
                <w:szCs w:val="16"/>
                <w:lang w:val="en-GB"/>
              </w:rPr>
            </w:pPr>
            <w:r w:rsidRPr="00E8394D">
              <w:rPr>
                <w:b/>
                <w:bCs/>
                <w:sz w:val="16"/>
                <w:szCs w:val="16"/>
                <w:lang w:val="en-GB"/>
              </w:rPr>
              <w:t>Source:</w:t>
            </w:r>
            <w:r w:rsidRPr="00E8394D">
              <w:rPr>
                <w:sz w:val="16"/>
                <w:szCs w:val="16"/>
                <w:lang w:val="en-GB"/>
              </w:rPr>
              <w:t xml:space="preserve"> Annual UNDP project reports</w:t>
            </w:r>
          </w:p>
          <w:p w14:paraId="5596A5B4" w14:textId="77777777" w:rsidR="00A674CA" w:rsidRPr="00E8394D" w:rsidRDefault="00A674CA" w:rsidP="00BC1D6E">
            <w:pPr>
              <w:rPr>
                <w:sz w:val="16"/>
                <w:szCs w:val="16"/>
                <w:lang w:val="en-GB"/>
              </w:rPr>
            </w:pPr>
          </w:p>
          <w:p w14:paraId="0F5FBDA4" w14:textId="77777777" w:rsidR="00A674CA" w:rsidRPr="00E8394D" w:rsidRDefault="00A674CA" w:rsidP="00BC1D6E">
            <w:pPr>
              <w:tabs>
                <w:tab w:val="left" w:pos="958"/>
              </w:tabs>
              <w:rPr>
                <w:sz w:val="16"/>
                <w:szCs w:val="16"/>
                <w:lang w:val="en-GB"/>
              </w:rPr>
            </w:pPr>
            <w:r w:rsidRPr="00E8394D">
              <w:rPr>
                <w:b/>
                <w:sz w:val="16"/>
                <w:szCs w:val="16"/>
                <w:lang w:val="en-GB"/>
              </w:rPr>
              <w:t>2.1.</w:t>
            </w:r>
            <w:r w:rsidR="00F365DC" w:rsidRPr="00E8394D">
              <w:rPr>
                <w:b/>
                <w:sz w:val="16"/>
                <w:szCs w:val="16"/>
                <w:lang w:val="en-GB"/>
              </w:rPr>
              <w:t>4</w:t>
            </w:r>
            <w:r w:rsidRPr="00E8394D">
              <w:rPr>
                <w:b/>
                <w:sz w:val="16"/>
                <w:szCs w:val="16"/>
                <w:lang w:val="en-GB"/>
              </w:rPr>
              <w:t>:</w:t>
            </w:r>
            <w:r w:rsidRPr="00E8394D">
              <w:rPr>
                <w:sz w:val="16"/>
                <w:szCs w:val="16"/>
                <w:lang w:val="en-GB"/>
              </w:rPr>
              <w:t xml:space="preserve"> Number of men and women benefitting from and participating in interventions related to renewable energy, environment and climate resilience (IRRF 1.5.1)</w:t>
            </w:r>
          </w:p>
          <w:p w14:paraId="66FAE87C" w14:textId="77777777" w:rsidR="00A674CA" w:rsidRPr="00E8394D" w:rsidRDefault="00A674CA" w:rsidP="00BC1D6E">
            <w:pPr>
              <w:tabs>
                <w:tab w:val="left" w:pos="958"/>
              </w:tabs>
              <w:rPr>
                <w:sz w:val="16"/>
                <w:szCs w:val="16"/>
                <w:lang w:val="en-GB"/>
              </w:rPr>
            </w:pPr>
            <w:r w:rsidRPr="00E8394D">
              <w:rPr>
                <w:b/>
                <w:sz w:val="16"/>
                <w:szCs w:val="16"/>
                <w:lang w:val="en-GB"/>
              </w:rPr>
              <w:t>Baseline:</w:t>
            </w:r>
            <w:r w:rsidR="0023750A" w:rsidRPr="00E8394D">
              <w:rPr>
                <w:sz w:val="16"/>
                <w:szCs w:val="16"/>
                <w:lang w:val="en-GB"/>
              </w:rPr>
              <w:t xml:space="preserve"> 30,000 (</w:t>
            </w:r>
            <w:r w:rsidRPr="00E8394D">
              <w:rPr>
                <w:sz w:val="16"/>
                <w:szCs w:val="16"/>
                <w:lang w:val="en-GB"/>
              </w:rPr>
              <w:t>2016</w:t>
            </w:r>
            <w:r w:rsidR="00526072">
              <w:rPr>
                <w:sz w:val="16"/>
                <w:szCs w:val="16"/>
                <w:lang w:val="en-GB"/>
              </w:rPr>
              <w:t>)</w:t>
            </w:r>
            <w:r w:rsidRPr="00E8394D">
              <w:rPr>
                <w:rStyle w:val="FootnoteReference"/>
                <w:sz w:val="16"/>
                <w:szCs w:val="16"/>
                <w:lang w:val="en-GB"/>
              </w:rPr>
              <w:footnoteReference w:id="25"/>
            </w:r>
            <w:r w:rsidRPr="00E8394D">
              <w:rPr>
                <w:sz w:val="16"/>
                <w:szCs w:val="16"/>
                <w:lang w:val="en-GB"/>
              </w:rPr>
              <w:t xml:space="preserve"> </w:t>
            </w:r>
          </w:p>
          <w:p w14:paraId="42B5C7D2" w14:textId="77777777" w:rsidR="00A674CA" w:rsidRPr="00E8394D" w:rsidRDefault="00A674CA" w:rsidP="00BC1D6E">
            <w:pPr>
              <w:tabs>
                <w:tab w:val="left" w:pos="958"/>
              </w:tabs>
              <w:rPr>
                <w:sz w:val="16"/>
                <w:szCs w:val="16"/>
                <w:lang w:val="en-GB"/>
              </w:rPr>
            </w:pPr>
            <w:r w:rsidRPr="00E8394D">
              <w:rPr>
                <w:b/>
                <w:sz w:val="16"/>
                <w:szCs w:val="16"/>
                <w:lang w:val="en-GB"/>
              </w:rPr>
              <w:t>Target:</w:t>
            </w:r>
            <w:r w:rsidRPr="00E8394D">
              <w:rPr>
                <w:sz w:val="16"/>
                <w:szCs w:val="16"/>
                <w:lang w:val="en-GB"/>
              </w:rPr>
              <w:t xml:space="preserve"> 1</w:t>
            </w:r>
            <w:r w:rsidR="00BF7AED" w:rsidRPr="00E8394D">
              <w:rPr>
                <w:sz w:val="16"/>
                <w:szCs w:val="16"/>
                <w:lang w:val="en-GB"/>
              </w:rPr>
              <w:t>00,000 additional men and women</w:t>
            </w:r>
          </w:p>
          <w:p w14:paraId="52BF96E9" w14:textId="77777777" w:rsidR="00A674CA" w:rsidRPr="00E8394D" w:rsidRDefault="00A674CA" w:rsidP="00BC1D6E">
            <w:pPr>
              <w:tabs>
                <w:tab w:val="left" w:pos="958"/>
              </w:tabs>
              <w:rPr>
                <w:sz w:val="16"/>
                <w:szCs w:val="16"/>
                <w:lang w:val="en-GB"/>
              </w:rPr>
            </w:pPr>
            <w:r w:rsidRPr="00E8394D">
              <w:rPr>
                <w:sz w:val="16"/>
                <w:szCs w:val="16"/>
                <w:lang w:val="en-GB"/>
              </w:rPr>
              <w:t xml:space="preserve">15,000 </w:t>
            </w:r>
            <w:r w:rsidR="00526072">
              <w:rPr>
                <w:sz w:val="16"/>
                <w:szCs w:val="16"/>
                <w:lang w:val="en-GB"/>
              </w:rPr>
              <w:t xml:space="preserve">in </w:t>
            </w:r>
            <w:r w:rsidRPr="00E8394D">
              <w:rPr>
                <w:sz w:val="16"/>
                <w:szCs w:val="16"/>
                <w:lang w:val="en-GB"/>
              </w:rPr>
              <w:t xml:space="preserve">renewable energy </w:t>
            </w:r>
          </w:p>
          <w:p w14:paraId="1B0D3766" w14:textId="77777777" w:rsidR="00A674CA" w:rsidRPr="00E8394D" w:rsidRDefault="00A674CA" w:rsidP="00BC1D6E">
            <w:pPr>
              <w:tabs>
                <w:tab w:val="left" w:pos="958"/>
              </w:tabs>
              <w:rPr>
                <w:sz w:val="16"/>
                <w:szCs w:val="16"/>
                <w:lang w:val="en-GB"/>
              </w:rPr>
            </w:pPr>
            <w:r w:rsidRPr="00E8394D">
              <w:rPr>
                <w:sz w:val="16"/>
                <w:szCs w:val="16"/>
                <w:lang w:val="en-GB"/>
              </w:rPr>
              <w:t xml:space="preserve">35,000 </w:t>
            </w:r>
            <w:r w:rsidR="00526072">
              <w:rPr>
                <w:sz w:val="16"/>
                <w:szCs w:val="16"/>
                <w:lang w:val="en-GB"/>
              </w:rPr>
              <w:t xml:space="preserve">in </w:t>
            </w:r>
            <w:r w:rsidRPr="00E8394D">
              <w:rPr>
                <w:sz w:val="16"/>
                <w:szCs w:val="16"/>
                <w:lang w:val="en-GB"/>
              </w:rPr>
              <w:t>environment (incl</w:t>
            </w:r>
            <w:r w:rsidR="00526072">
              <w:rPr>
                <w:sz w:val="16"/>
                <w:szCs w:val="16"/>
                <w:lang w:val="en-GB"/>
              </w:rPr>
              <w:t>uding</w:t>
            </w:r>
            <w:r w:rsidRPr="00E8394D">
              <w:rPr>
                <w:sz w:val="16"/>
                <w:szCs w:val="16"/>
                <w:lang w:val="en-GB"/>
              </w:rPr>
              <w:t xml:space="preserve"> conservation work and REDD+)</w:t>
            </w:r>
          </w:p>
          <w:p w14:paraId="6512F3DB" w14:textId="77777777" w:rsidR="00A674CA" w:rsidRPr="00E8394D" w:rsidRDefault="00A674CA" w:rsidP="00BC1D6E">
            <w:pPr>
              <w:tabs>
                <w:tab w:val="left" w:pos="958"/>
              </w:tabs>
              <w:rPr>
                <w:sz w:val="16"/>
                <w:szCs w:val="16"/>
                <w:lang w:val="en-GB"/>
              </w:rPr>
            </w:pPr>
            <w:r w:rsidRPr="00E8394D">
              <w:rPr>
                <w:sz w:val="16"/>
                <w:szCs w:val="16"/>
                <w:lang w:val="en-GB"/>
              </w:rPr>
              <w:t xml:space="preserve">50,000 </w:t>
            </w:r>
            <w:r w:rsidR="00526072">
              <w:rPr>
                <w:sz w:val="16"/>
                <w:szCs w:val="16"/>
                <w:lang w:val="en-GB"/>
              </w:rPr>
              <w:t xml:space="preserve">in </w:t>
            </w:r>
            <w:r w:rsidRPr="00E8394D">
              <w:rPr>
                <w:sz w:val="16"/>
                <w:szCs w:val="16"/>
                <w:lang w:val="en-GB"/>
              </w:rPr>
              <w:t xml:space="preserve">climate resilience and </w:t>
            </w:r>
            <w:r w:rsidR="00526072">
              <w:rPr>
                <w:sz w:val="16"/>
                <w:szCs w:val="16"/>
                <w:lang w:val="en-GB"/>
              </w:rPr>
              <w:t>disaster risk management</w:t>
            </w:r>
          </w:p>
          <w:p w14:paraId="2322146B" w14:textId="77777777" w:rsidR="00A674CA" w:rsidRPr="00E8394D" w:rsidRDefault="00A674CA" w:rsidP="00BF7AED">
            <w:pPr>
              <w:tabs>
                <w:tab w:val="left" w:pos="958"/>
              </w:tabs>
              <w:rPr>
                <w:sz w:val="16"/>
                <w:szCs w:val="16"/>
                <w:lang w:val="en-GB"/>
              </w:rPr>
            </w:pPr>
            <w:r w:rsidRPr="00E8394D">
              <w:rPr>
                <w:b/>
                <w:sz w:val="16"/>
                <w:szCs w:val="16"/>
                <w:lang w:val="en-GB"/>
              </w:rPr>
              <w:t xml:space="preserve">Source: </w:t>
            </w:r>
            <w:r w:rsidRPr="00E8394D">
              <w:rPr>
                <w:sz w:val="16"/>
                <w:szCs w:val="16"/>
                <w:lang w:val="en-GB"/>
              </w:rPr>
              <w:t xml:space="preserve">UNDP </w:t>
            </w:r>
            <w:r w:rsidR="00526072">
              <w:rPr>
                <w:sz w:val="16"/>
                <w:szCs w:val="16"/>
                <w:lang w:val="en-GB"/>
              </w:rPr>
              <w:t>p</w:t>
            </w:r>
            <w:r w:rsidRPr="00E8394D">
              <w:rPr>
                <w:sz w:val="16"/>
                <w:szCs w:val="16"/>
                <w:lang w:val="en-GB"/>
              </w:rPr>
              <w:t>roject reports, annually</w:t>
            </w:r>
          </w:p>
          <w:p w14:paraId="6D760A03" w14:textId="77777777" w:rsidR="00A674CA" w:rsidRPr="00E8394D" w:rsidRDefault="00A674CA" w:rsidP="00BC1D6E">
            <w:pPr>
              <w:rPr>
                <w:sz w:val="16"/>
                <w:szCs w:val="16"/>
                <w:lang w:val="en-GB"/>
              </w:rPr>
            </w:pPr>
          </w:p>
          <w:p w14:paraId="646AF752" w14:textId="77777777" w:rsidR="00A674CA" w:rsidRPr="00E8394D" w:rsidRDefault="00A674CA" w:rsidP="00BC1D6E">
            <w:pPr>
              <w:pStyle w:val="Default"/>
              <w:rPr>
                <w:rFonts w:ascii="Times New Roman" w:hAnsi="Times New Roman" w:cs="Times New Roman"/>
                <w:b/>
                <w:color w:val="auto"/>
                <w:sz w:val="16"/>
                <w:szCs w:val="16"/>
                <w:lang w:val="en-GB" w:eastAsia="en-US"/>
              </w:rPr>
            </w:pPr>
            <w:r w:rsidRPr="00E8394D">
              <w:rPr>
                <w:rFonts w:ascii="Times New Roman" w:hAnsi="Times New Roman" w:cs="Times New Roman"/>
                <w:b/>
                <w:color w:val="auto"/>
                <w:sz w:val="16"/>
                <w:szCs w:val="16"/>
                <w:lang w:val="en-GB" w:eastAsia="en-US"/>
              </w:rPr>
              <w:t xml:space="preserve">OUTPUT 2.2:  SDGs integrated and localized into public development plans, budgets and </w:t>
            </w:r>
            <w:r w:rsidR="00526072">
              <w:rPr>
                <w:rFonts w:ascii="Times New Roman" w:hAnsi="Times New Roman" w:cs="Times New Roman"/>
                <w:b/>
                <w:color w:val="auto"/>
                <w:sz w:val="16"/>
                <w:szCs w:val="16"/>
                <w:lang w:val="en-GB"/>
              </w:rPr>
              <w:t>monitoring and evaluation f</w:t>
            </w:r>
            <w:r w:rsidRPr="00E8394D">
              <w:rPr>
                <w:rFonts w:ascii="Times New Roman" w:hAnsi="Times New Roman" w:cs="Times New Roman"/>
                <w:b/>
                <w:color w:val="auto"/>
                <w:sz w:val="16"/>
                <w:szCs w:val="16"/>
                <w:lang w:val="en-GB"/>
              </w:rPr>
              <w:t>rameworks and data systems developed to monitor progress</w:t>
            </w:r>
            <w:r w:rsidR="00736E5C">
              <w:rPr>
                <w:rFonts w:ascii="Times New Roman" w:hAnsi="Times New Roman" w:cs="Times New Roman"/>
                <w:b/>
                <w:color w:val="auto"/>
                <w:sz w:val="16"/>
                <w:szCs w:val="16"/>
                <w:lang w:val="en-GB"/>
              </w:rPr>
              <w:t>.</w:t>
            </w:r>
            <w:r w:rsidRPr="00E8394D">
              <w:rPr>
                <w:rFonts w:ascii="Times New Roman" w:hAnsi="Times New Roman" w:cs="Times New Roman"/>
                <w:b/>
                <w:color w:val="auto"/>
                <w:sz w:val="16"/>
                <w:szCs w:val="16"/>
                <w:lang w:val="en-GB"/>
              </w:rPr>
              <w:t xml:space="preserve">  </w:t>
            </w:r>
          </w:p>
          <w:p w14:paraId="769EE3B8" w14:textId="77777777" w:rsidR="00A674CA" w:rsidRPr="00E8394D" w:rsidRDefault="00A674CA" w:rsidP="00BC1D6E">
            <w:pPr>
              <w:pStyle w:val="Default"/>
              <w:tabs>
                <w:tab w:val="left" w:pos="958"/>
              </w:tabs>
              <w:rPr>
                <w:rFonts w:ascii="Times New Roman" w:hAnsi="Times New Roman" w:cs="Times New Roman"/>
                <w:color w:val="auto"/>
                <w:sz w:val="16"/>
                <w:szCs w:val="16"/>
                <w:highlight w:val="green"/>
                <w:lang w:val="en-GB" w:eastAsia="en-US"/>
              </w:rPr>
            </w:pPr>
          </w:p>
          <w:p w14:paraId="48930F5E" w14:textId="77777777" w:rsidR="00A674CA" w:rsidRPr="00E8394D" w:rsidRDefault="00A674CA" w:rsidP="00BC1D6E">
            <w:pPr>
              <w:pStyle w:val="Default"/>
              <w:rPr>
                <w:rFonts w:ascii="Times New Roman" w:hAnsi="Times New Roman" w:cs="Times New Roman"/>
                <w:color w:val="auto"/>
                <w:sz w:val="16"/>
                <w:szCs w:val="16"/>
                <w:lang w:val="en-GB"/>
              </w:rPr>
            </w:pPr>
            <w:r w:rsidRPr="00E8394D">
              <w:rPr>
                <w:rFonts w:ascii="Times New Roman" w:hAnsi="Times New Roman" w:cs="Times New Roman"/>
                <w:b/>
                <w:color w:val="auto"/>
                <w:sz w:val="16"/>
                <w:szCs w:val="16"/>
                <w:lang w:val="en-GB" w:eastAsia="en-US"/>
              </w:rPr>
              <w:t>2.2.1</w:t>
            </w:r>
            <w:r w:rsidRPr="00E8394D">
              <w:rPr>
                <w:rFonts w:ascii="Times New Roman" w:hAnsi="Times New Roman" w:cs="Times New Roman"/>
                <w:color w:val="auto"/>
                <w:sz w:val="16"/>
                <w:szCs w:val="16"/>
                <w:lang w:val="en-GB" w:eastAsia="en-US"/>
              </w:rPr>
              <w:t xml:space="preserve">: Number of </w:t>
            </w:r>
            <w:r w:rsidR="00526072">
              <w:rPr>
                <w:rFonts w:ascii="Times New Roman" w:hAnsi="Times New Roman" w:cs="Times New Roman"/>
                <w:color w:val="auto"/>
                <w:sz w:val="16"/>
                <w:szCs w:val="16"/>
                <w:lang w:val="en-GB" w:eastAsia="en-US"/>
              </w:rPr>
              <w:t>d</w:t>
            </w:r>
            <w:r w:rsidRPr="00E8394D">
              <w:rPr>
                <w:rFonts w:ascii="Times New Roman" w:hAnsi="Times New Roman" w:cs="Times New Roman"/>
                <w:color w:val="auto"/>
                <w:sz w:val="16"/>
                <w:szCs w:val="16"/>
                <w:lang w:val="en-GB" w:eastAsia="en-US"/>
              </w:rPr>
              <w:t xml:space="preserve">evelopment </w:t>
            </w:r>
            <w:r w:rsidR="00526072">
              <w:rPr>
                <w:rFonts w:ascii="Times New Roman" w:hAnsi="Times New Roman" w:cs="Times New Roman"/>
                <w:color w:val="auto"/>
                <w:sz w:val="16"/>
                <w:szCs w:val="16"/>
                <w:lang w:val="en-GB" w:eastAsia="en-US"/>
              </w:rPr>
              <w:t>p</w:t>
            </w:r>
            <w:r w:rsidRPr="00E8394D">
              <w:rPr>
                <w:rFonts w:ascii="Times New Roman" w:hAnsi="Times New Roman" w:cs="Times New Roman"/>
                <w:color w:val="auto"/>
                <w:sz w:val="16"/>
                <w:szCs w:val="16"/>
                <w:lang w:val="en-GB" w:eastAsia="en-US"/>
              </w:rPr>
              <w:t xml:space="preserve">lans, </w:t>
            </w:r>
            <w:r w:rsidR="00526072">
              <w:rPr>
                <w:rFonts w:ascii="Times New Roman" w:hAnsi="Times New Roman" w:cs="Times New Roman"/>
                <w:color w:val="auto"/>
                <w:sz w:val="16"/>
                <w:szCs w:val="16"/>
                <w:lang w:val="en-GB" w:eastAsia="en-US"/>
              </w:rPr>
              <w:t xml:space="preserve">monitoring and evaluation </w:t>
            </w:r>
            <w:r w:rsidRPr="00E8394D">
              <w:rPr>
                <w:rFonts w:ascii="Times New Roman" w:hAnsi="Times New Roman" w:cs="Times New Roman"/>
                <w:color w:val="auto"/>
                <w:sz w:val="16"/>
                <w:szCs w:val="16"/>
                <w:lang w:val="en-GB" w:eastAsia="en-US"/>
              </w:rPr>
              <w:t xml:space="preserve">frameworks and database analytical systems for  SDG integration established </w:t>
            </w:r>
          </w:p>
          <w:p w14:paraId="4CC15700" w14:textId="77777777" w:rsidR="00A674CA" w:rsidRPr="00E8394D" w:rsidRDefault="00A674CA" w:rsidP="00BC1D6E">
            <w:pPr>
              <w:tabs>
                <w:tab w:val="left" w:pos="958"/>
              </w:tabs>
              <w:rPr>
                <w:sz w:val="16"/>
                <w:szCs w:val="16"/>
                <w:lang w:val="en-GB"/>
              </w:rPr>
            </w:pPr>
            <w:r w:rsidRPr="00E8394D">
              <w:rPr>
                <w:b/>
                <w:sz w:val="16"/>
                <w:szCs w:val="16"/>
                <w:lang w:val="en-GB"/>
              </w:rPr>
              <w:t>Baseline</w:t>
            </w:r>
            <w:r w:rsidRPr="00E8394D">
              <w:rPr>
                <w:sz w:val="16"/>
                <w:szCs w:val="16"/>
                <w:lang w:val="en-GB"/>
              </w:rPr>
              <w:t>: not started yet (2017)</w:t>
            </w:r>
          </w:p>
          <w:p w14:paraId="30336A47" w14:textId="77777777" w:rsidR="00A674CA" w:rsidRPr="00E8394D" w:rsidRDefault="00A674CA" w:rsidP="00BC1D6E">
            <w:pPr>
              <w:pStyle w:val="Default"/>
              <w:rPr>
                <w:rFonts w:ascii="Times New Roman" w:hAnsi="Times New Roman" w:cs="Times New Roman"/>
                <w:color w:val="auto"/>
                <w:sz w:val="16"/>
                <w:szCs w:val="16"/>
                <w:lang w:val="en-GB" w:eastAsia="en-US"/>
              </w:rPr>
            </w:pPr>
            <w:r w:rsidRPr="00E8394D">
              <w:rPr>
                <w:rFonts w:ascii="Times New Roman" w:hAnsi="Times New Roman" w:cs="Times New Roman"/>
                <w:b/>
                <w:color w:val="auto"/>
                <w:sz w:val="16"/>
                <w:szCs w:val="16"/>
                <w:lang w:val="en-GB" w:eastAsia="en-US"/>
              </w:rPr>
              <w:t>Target</w:t>
            </w:r>
            <w:r w:rsidRPr="00E8394D">
              <w:rPr>
                <w:rFonts w:ascii="Times New Roman" w:hAnsi="Times New Roman" w:cs="Times New Roman"/>
                <w:color w:val="auto"/>
                <w:sz w:val="16"/>
                <w:szCs w:val="16"/>
                <w:lang w:val="en-GB" w:eastAsia="en-US"/>
              </w:rPr>
              <w:t xml:space="preserve">: </w:t>
            </w:r>
            <w:r w:rsidR="00C53433" w:rsidRPr="00E8394D">
              <w:rPr>
                <w:rFonts w:ascii="Times New Roman" w:hAnsi="Times New Roman" w:cs="Times New Roman"/>
                <w:color w:val="auto"/>
                <w:sz w:val="16"/>
                <w:szCs w:val="16"/>
                <w:lang w:val="en-GB" w:eastAsia="en-US"/>
              </w:rPr>
              <w:t xml:space="preserve">3, </w:t>
            </w:r>
            <w:r w:rsidR="00526072">
              <w:rPr>
                <w:rFonts w:ascii="Times New Roman" w:hAnsi="Times New Roman" w:cs="Times New Roman"/>
                <w:color w:val="auto"/>
                <w:sz w:val="16"/>
                <w:szCs w:val="16"/>
                <w:lang w:val="en-GB" w:eastAsia="en-US"/>
              </w:rPr>
              <w:t>m</w:t>
            </w:r>
            <w:r w:rsidRPr="00E8394D">
              <w:rPr>
                <w:rFonts w:ascii="Times New Roman" w:hAnsi="Times New Roman" w:cs="Times New Roman"/>
                <w:color w:val="auto"/>
                <w:sz w:val="16"/>
                <w:szCs w:val="16"/>
                <w:lang w:val="en-GB" w:eastAsia="en-US"/>
              </w:rPr>
              <w:t>edium</w:t>
            </w:r>
            <w:r w:rsidR="00526072">
              <w:rPr>
                <w:rFonts w:ascii="Times New Roman" w:hAnsi="Times New Roman" w:cs="Times New Roman"/>
                <w:color w:val="auto"/>
                <w:sz w:val="16"/>
                <w:szCs w:val="16"/>
                <w:lang w:val="en-GB" w:eastAsia="en-US"/>
              </w:rPr>
              <w:t>-t</w:t>
            </w:r>
            <w:r w:rsidRPr="00E8394D">
              <w:rPr>
                <w:rFonts w:ascii="Times New Roman" w:hAnsi="Times New Roman" w:cs="Times New Roman"/>
                <w:color w:val="auto"/>
                <w:sz w:val="16"/>
                <w:szCs w:val="16"/>
                <w:lang w:val="en-GB" w:eastAsia="en-US"/>
              </w:rPr>
              <w:t xml:space="preserve">erm </w:t>
            </w:r>
            <w:r w:rsidR="00526072">
              <w:rPr>
                <w:rFonts w:ascii="Times New Roman" w:hAnsi="Times New Roman" w:cs="Times New Roman"/>
                <w:color w:val="auto"/>
                <w:sz w:val="16"/>
                <w:szCs w:val="16"/>
                <w:lang w:val="en-GB" w:eastAsia="en-US"/>
              </w:rPr>
              <w:t>d</w:t>
            </w:r>
            <w:r w:rsidRPr="00E8394D">
              <w:rPr>
                <w:rFonts w:ascii="Times New Roman" w:hAnsi="Times New Roman" w:cs="Times New Roman"/>
                <w:color w:val="auto"/>
                <w:sz w:val="16"/>
                <w:szCs w:val="16"/>
                <w:lang w:val="en-GB" w:eastAsia="en-US"/>
              </w:rPr>
              <w:t xml:space="preserve">evelopment </w:t>
            </w:r>
            <w:r w:rsidR="00526072">
              <w:rPr>
                <w:rFonts w:ascii="Times New Roman" w:hAnsi="Times New Roman" w:cs="Times New Roman"/>
                <w:color w:val="auto"/>
                <w:sz w:val="16"/>
                <w:szCs w:val="16"/>
                <w:lang w:val="en-GB" w:eastAsia="en-US"/>
              </w:rPr>
              <w:t>p</w:t>
            </w:r>
            <w:r w:rsidRPr="00E8394D">
              <w:rPr>
                <w:rFonts w:ascii="Times New Roman" w:hAnsi="Times New Roman" w:cs="Times New Roman"/>
                <w:color w:val="auto"/>
                <w:sz w:val="16"/>
                <w:szCs w:val="16"/>
                <w:lang w:val="en-GB" w:eastAsia="en-US"/>
              </w:rPr>
              <w:t xml:space="preserve">lan, </w:t>
            </w:r>
            <w:r w:rsidR="00526072">
              <w:rPr>
                <w:rFonts w:ascii="Times New Roman" w:hAnsi="Times New Roman" w:cs="Times New Roman"/>
                <w:color w:val="auto"/>
                <w:sz w:val="16"/>
                <w:szCs w:val="16"/>
                <w:lang w:val="en-GB" w:eastAsia="en-US"/>
              </w:rPr>
              <w:t>n</w:t>
            </w:r>
            <w:r w:rsidRPr="00E8394D">
              <w:rPr>
                <w:rFonts w:ascii="Times New Roman" w:hAnsi="Times New Roman" w:cs="Times New Roman"/>
                <w:color w:val="auto"/>
                <w:sz w:val="16"/>
                <w:szCs w:val="16"/>
                <w:lang w:val="en-GB" w:eastAsia="en-US"/>
              </w:rPr>
              <w:t xml:space="preserve">ational </w:t>
            </w:r>
            <w:r w:rsidR="00526072">
              <w:rPr>
                <w:rFonts w:ascii="Times New Roman" w:hAnsi="Times New Roman" w:cs="Times New Roman"/>
                <w:color w:val="auto"/>
                <w:sz w:val="16"/>
                <w:szCs w:val="16"/>
                <w:lang w:val="en-GB" w:eastAsia="en-US"/>
              </w:rPr>
              <w:t>monitoring and evaluation f</w:t>
            </w:r>
            <w:r w:rsidRPr="00E8394D">
              <w:rPr>
                <w:rFonts w:ascii="Times New Roman" w:hAnsi="Times New Roman" w:cs="Times New Roman"/>
                <w:color w:val="auto"/>
                <w:sz w:val="16"/>
                <w:szCs w:val="16"/>
                <w:lang w:val="en-GB" w:eastAsia="en-US"/>
              </w:rPr>
              <w:t>ramework, and mid-term SDG implementation report disseminated</w:t>
            </w:r>
          </w:p>
          <w:p w14:paraId="3F80E003" w14:textId="77777777" w:rsidR="00A674CA" w:rsidRPr="00E8394D" w:rsidRDefault="00A674CA" w:rsidP="00BC1D6E">
            <w:pPr>
              <w:tabs>
                <w:tab w:val="left" w:pos="958"/>
              </w:tabs>
              <w:rPr>
                <w:sz w:val="16"/>
                <w:szCs w:val="16"/>
                <w:lang w:val="en-GB"/>
              </w:rPr>
            </w:pPr>
            <w:r w:rsidRPr="00E8394D">
              <w:rPr>
                <w:b/>
                <w:sz w:val="16"/>
                <w:szCs w:val="16"/>
                <w:lang w:val="en-GB"/>
              </w:rPr>
              <w:t>Source</w:t>
            </w:r>
            <w:r w:rsidRPr="00E8394D">
              <w:rPr>
                <w:sz w:val="16"/>
                <w:szCs w:val="16"/>
                <w:lang w:val="en-GB"/>
              </w:rPr>
              <w:t>: Government reports</w:t>
            </w:r>
          </w:p>
          <w:p w14:paraId="4E1EB219" w14:textId="77777777" w:rsidR="00A674CA" w:rsidRPr="00E8394D" w:rsidRDefault="00A674CA" w:rsidP="00BC1D6E">
            <w:pPr>
              <w:tabs>
                <w:tab w:val="left" w:pos="958"/>
              </w:tabs>
              <w:rPr>
                <w:sz w:val="16"/>
                <w:szCs w:val="16"/>
                <w:lang w:val="en-GB"/>
              </w:rPr>
            </w:pPr>
          </w:p>
          <w:p w14:paraId="0AA34F36" w14:textId="77777777" w:rsidR="00A674CA" w:rsidRPr="00E8394D" w:rsidRDefault="00A674CA" w:rsidP="00BC1D6E">
            <w:pPr>
              <w:tabs>
                <w:tab w:val="left" w:pos="958"/>
              </w:tabs>
              <w:rPr>
                <w:sz w:val="16"/>
                <w:szCs w:val="16"/>
                <w:lang w:val="en-GB"/>
              </w:rPr>
            </w:pPr>
            <w:r w:rsidRPr="00E8394D">
              <w:rPr>
                <w:b/>
                <w:sz w:val="16"/>
                <w:szCs w:val="16"/>
                <w:lang w:val="en-GB"/>
              </w:rPr>
              <w:t>2.2.2</w:t>
            </w:r>
            <w:r w:rsidRPr="00E8394D">
              <w:rPr>
                <w:sz w:val="16"/>
                <w:szCs w:val="16"/>
                <w:lang w:val="en-GB"/>
              </w:rPr>
              <w:t>: Resource requirement for SDG implementation addressed</w:t>
            </w:r>
          </w:p>
          <w:p w14:paraId="36229433" w14:textId="77777777" w:rsidR="00A674CA" w:rsidRPr="00E8394D" w:rsidRDefault="00A674CA" w:rsidP="00BC1D6E">
            <w:pPr>
              <w:tabs>
                <w:tab w:val="left" w:pos="958"/>
              </w:tabs>
              <w:rPr>
                <w:sz w:val="16"/>
                <w:szCs w:val="16"/>
                <w:lang w:val="en-GB"/>
              </w:rPr>
            </w:pPr>
            <w:r w:rsidRPr="00E8394D">
              <w:rPr>
                <w:b/>
                <w:sz w:val="16"/>
                <w:szCs w:val="16"/>
                <w:lang w:val="en-GB"/>
              </w:rPr>
              <w:t>Baseline:</w:t>
            </w:r>
            <w:r w:rsidRPr="00E8394D">
              <w:rPr>
                <w:sz w:val="16"/>
                <w:szCs w:val="16"/>
                <w:lang w:val="en-GB"/>
              </w:rPr>
              <w:t xml:space="preserve"> not started yet (2017)</w:t>
            </w:r>
          </w:p>
          <w:p w14:paraId="679C2A3D" w14:textId="77777777" w:rsidR="00A674CA" w:rsidRPr="00E8394D" w:rsidRDefault="00A674CA" w:rsidP="00BC1D6E">
            <w:pPr>
              <w:tabs>
                <w:tab w:val="left" w:pos="958"/>
              </w:tabs>
              <w:rPr>
                <w:sz w:val="16"/>
                <w:szCs w:val="16"/>
                <w:lang w:val="en-GB"/>
              </w:rPr>
            </w:pPr>
            <w:r w:rsidRPr="00E8394D">
              <w:rPr>
                <w:b/>
                <w:sz w:val="16"/>
                <w:szCs w:val="16"/>
                <w:lang w:val="en-GB"/>
              </w:rPr>
              <w:t xml:space="preserve">Target: </w:t>
            </w:r>
            <w:r w:rsidRPr="00E8394D">
              <w:rPr>
                <w:sz w:val="16"/>
                <w:szCs w:val="16"/>
                <w:lang w:val="en-GB"/>
              </w:rPr>
              <w:t xml:space="preserve">Financing </w:t>
            </w:r>
            <w:r w:rsidR="00526072">
              <w:rPr>
                <w:sz w:val="16"/>
                <w:szCs w:val="16"/>
                <w:lang w:val="en-GB"/>
              </w:rPr>
              <w:t>f</w:t>
            </w:r>
            <w:r w:rsidRPr="00E8394D">
              <w:rPr>
                <w:sz w:val="16"/>
                <w:szCs w:val="16"/>
                <w:lang w:val="en-GB"/>
              </w:rPr>
              <w:t xml:space="preserve">ramework </w:t>
            </w:r>
            <w:r w:rsidR="00526072">
              <w:rPr>
                <w:sz w:val="16"/>
                <w:szCs w:val="16"/>
                <w:lang w:val="en-GB"/>
              </w:rPr>
              <w:t>r</w:t>
            </w:r>
            <w:r w:rsidRPr="00E8394D">
              <w:rPr>
                <w:sz w:val="16"/>
                <w:szCs w:val="16"/>
                <w:lang w:val="en-GB"/>
              </w:rPr>
              <w:t xml:space="preserve">oad </w:t>
            </w:r>
            <w:r w:rsidR="00526072">
              <w:rPr>
                <w:sz w:val="16"/>
                <w:szCs w:val="16"/>
                <w:lang w:val="en-GB"/>
              </w:rPr>
              <w:t>m</w:t>
            </w:r>
            <w:r w:rsidRPr="00E8394D">
              <w:rPr>
                <w:sz w:val="16"/>
                <w:szCs w:val="16"/>
                <w:lang w:val="en-GB"/>
              </w:rPr>
              <w:t xml:space="preserve">ap approved and SDG </w:t>
            </w:r>
            <w:r w:rsidR="00526072">
              <w:rPr>
                <w:sz w:val="16"/>
                <w:szCs w:val="16"/>
                <w:lang w:val="en-GB"/>
              </w:rPr>
              <w:t>b</w:t>
            </w:r>
            <w:r w:rsidRPr="00E8394D">
              <w:rPr>
                <w:sz w:val="16"/>
                <w:szCs w:val="16"/>
                <w:lang w:val="en-GB"/>
              </w:rPr>
              <w:t xml:space="preserve">usiness </w:t>
            </w:r>
            <w:r w:rsidR="00526072">
              <w:rPr>
                <w:sz w:val="16"/>
                <w:szCs w:val="16"/>
                <w:lang w:val="en-GB"/>
              </w:rPr>
              <w:t>c</w:t>
            </w:r>
            <w:r w:rsidRPr="00E8394D">
              <w:rPr>
                <w:sz w:val="16"/>
                <w:szCs w:val="16"/>
                <w:lang w:val="en-GB"/>
              </w:rPr>
              <w:t xml:space="preserve">oalition functional </w:t>
            </w:r>
          </w:p>
          <w:p w14:paraId="6D0D4B76" w14:textId="77777777" w:rsidR="00A674CA" w:rsidRPr="00E8394D" w:rsidRDefault="00A674CA" w:rsidP="00BC1D6E">
            <w:pPr>
              <w:rPr>
                <w:sz w:val="16"/>
                <w:szCs w:val="16"/>
                <w:lang w:val="en-GB"/>
              </w:rPr>
            </w:pPr>
            <w:r w:rsidRPr="00E8394D">
              <w:rPr>
                <w:b/>
                <w:sz w:val="16"/>
                <w:szCs w:val="16"/>
                <w:lang w:val="en-GB"/>
              </w:rPr>
              <w:t>Source</w:t>
            </w:r>
            <w:r w:rsidRPr="00E8394D">
              <w:rPr>
                <w:sz w:val="16"/>
                <w:szCs w:val="16"/>
                <w:lang w:val="en-GB"/>
              </w:rPr>
              <w:t xml:space="preserve">: Government </w:t>
            </w:r>
            <w:r w:rsidR="00526072">
              <w:rPr>
                <w:sz w:val="16"/>
                <w:szCs w:val="16"/>
                <w:lang w:val="en-GB"/>
              </w:rPr>
              <w:t>r</w:t>
            </w:r>
            <w:r w:rsidRPr="00E8394D">
              <w:rPr>
                <w:sz w:val="16"/>
                <w:szCs w:val="16"/>
                <w:lang w:val="en-GB"/>
              </w:rPr>
              <w:t>eports</w:t>
            </w:r>
            <w:r w:rsidR="00E16442" w:rsidRPr="00E8394D">
              <w:rPr>
                <w:sz w:val="16"/>
                <w:szCs w:val="16"/>
                <w:lang w:val="en-GB"/>
              </w:rPr>
              <w:t>, annual</w:t>
            </w:r>
          </w:p>
          <w:p w14:paraId="3214DDE3" w14:textId="77777777" w:rsidR="00E16442" w:rsidRPr="00E8394D" w:rsidRDefault="00E16442" w:rsidP="00BC1D6E">
            <w:pPr>
              <w:rPr>
                <w:sz w:val="16"/>
                <w:szCs w:val="16"/>
                <w:lang w:val="en-GB"/>
              </w:rPr>
            </w:pPr>
          </w:p>
          <w:p w14:paraId="65911638" w14:textId="77777777" w:rsidR="00E16442" w:rsidRPr="00E8394D" w:rsidRDefault="00E16442" w:rsidP="00E16442">
            <w:pPr>
              <w:tabs>
                <w:tab w:val="left" w:pos="958"/>
              </w:tabs>
              <w:rPr>
                <w:sz w:val="16"/>
                <w:szCs w:val="16"/>
                <w:lang w:val="en-GB"/>
              </w:rPr>
            </w:pPr>
            <w:r w:rsidRPr="00E8394D">
              <w:rPr>
                <w:b/>
                <w:sz w:val="16"/>
                <w:szCs w:val="16"/>
                <w:lang w:val="en-GB"/>
              </w:rPr>
              <w:t>2.2.3</w:t>
            </w:r>
            <w:r w:rsidRPr="00E8394D">
              <w:rPr>
                <w:sz w:val="16"/>
                <w:szCs w:val="16"/>
                <w:lang w:val="en-GB"/>
              </w:rPr>
              <w:t>: Number of South</w:t>
            </w:r>
            <w:r w:rsidR="00526072">
              <w:rPr>
                <w:sz w:val="16"/>
                <w:szCs w:val="16"/>
                <w:lang w:val="en-GB"/>
              </w:rPr>
              <w:t>-</w:t>
            </w:r>
            <w:r w:rsidRPr="00E8394D">
              <w:rPr>
                <w:sz w:val="16"/>
                <w:szCs w:val="16"/>
                <w:lang w:val="en-GB"/>
              </w:rPr>
              <w:t>South cooperation agreements and programmes that deliver measurable and sustainable development benefits for participants</w:t>
            </w:r>
          </w:p>
          <w:p w14:paraId="0A0E4A7F" w14:textId="77777777" w:rsidR="00E16442" w:rsidRPr="00E8394D" w:rsidRDefault="00E16442" w:rsidP="00E16442">
            <w:pPr>
              <w:tabs>
                <w:tab w:val="left" w:pos="958"/>
              </w:tabs>
              <w:rPr>
                <w:sz w:val="16"/>
                <w:szCs w:val="16"/>
                <w:lang w:val="en-GB"/>
              </w:rPr>
            </w:pPr>
            <w:r w:rsidRPr="00E8394D">
              <w:rPr>
                <w:b/>
                <w:sz w:val="16"/>
                <w:szCs w:val="16"/>
                <w:lang w:val="en-GB"/>
              </w:rPr>
              <w:t>Baseline</w:t>
            </w:r>
            <w:r w:rsidRPr="00E8394D">
              <w:rPr>
                <w:sz w:val="16"/>
                <w:szCs w:val="16"/>
                <w:lang w:val="en-GB"/>
              </w:rPr>
              <w:t xml:space="preserve">: </w:t>
            </w:r>
            <w:r w:rsidR="0010416A" w:rsidRPr="00E8394D">
              <w:rPr>
                <w:sz w:val="16"/>
                <w:szCs w:val="16"/>
                <w:lang w:val="en-GB"/>
              </w:rPr>
              <w:t>2</w:t>
            </w:r>
            <w:r w:rsidRPr="00E8394D">
              <w:rPr>
                <w:sz w:val="16"/>
                <w:szCs w:val="16"/>
                <w:lang w:val="en-GB"/>
              </w:rPr>
              <w:t xml:space="preserve"> (2017)</w:t>
            </w:r>
          </w:p>
          <w:p w14:paraId="614CB00B" w14:textId="77777777" w:rsidR="00E16442" w:rsidRPr="00E8394D" w:rsidRDefault="00E16442" w:rsidP="00E16442">
            <w:pPr>
              <w:tabs>
                <w:tab w:val="left" w:pos="958"/>
              </w:tabs>
              <w:rPr>
                <w:sz w:val="16"/>
                <w:szCs w:val="16"/>
                <w:lang w:val="en-GB"/>
              </w:rPr>
            </w:pPr>
            <w:r w:rsidRPr="00E8394D">
              <w:rPr>
                <w:b/>
                <w:sz w:val="16"/>
                <w:szCs w:val="16"/>
                <w:lang w:val="en-GB"/>
              </w:rPr>
              <w:t xml:space="preserve">Target: </w:t>
            </w:r>
            <w:r w:rsidRPr="00E8394D">
              <w:rPr>
                <w:sz w:val="16"/>
                <w:szCs w:val="16"/>
                <w:lang w:val="en-GB"/>
              </w:rPr>
              <w:t xml:space="preserve"> 4</w:t>
            </w:r>
            <w:r w:rsidR="0010416A" w:rsidRPr="00E8394D">
              <w:rPr>
                <w:sz w:val="16"/>
                <w:szCs w:val="16"/>
                <w:lang w:val="en-GB"/>
              </w:rPr>
              <w:t xml:space="preserve"> (minimum)</w:t>
            </w:r>
          </w:p>
          <w:p w14:paraId="560A81E4" w14:textId="77777777" w:rsidR="00E16442" w:rsidRPr="00E8394D" w:rsidRDefault="00E16442" w:rsidP="00E16442">
            <w:pPr>
              <w:rPr>
                <w:sz w:val="16"/>
                <w:szCs w:val="16"/>
                <w:lang w:val="en-GB"/>
              </w:rPr>
            </w:pPr>
            <w:r w:rsidRPr="00E8394D">
              <w:rPr>
                <w:b/>
                <w:sz w:val="16"/>
                <w:szCs w:val="16"/>
                <w:lang w:val="en-GB"/>
              </w:rPr>
              <w:t>Source</w:t>
            </w:r>
            <w:r w:rsidRPr="00E8394D">
              <w:rPr>
                <w:sz w:val="16"/>
                <w:szCs w:val="16"/>
                <w:lang w:val="en-GB"/>
              </w:rPr>
              <w:t xml:space="preserve">: UNDP </w:t>
            </w:r>
            <w:r w:rsidR="00526072">
              <w:rPr>
                <w:sz w:val="16"/>
                <w:szCs w:val="16"/>
                <w:lang w:val="en-GB"/>
              </w:rPr>
              <w:t>r</w:t>
            </w:r>
            <w:r w:rsidRPr="00E8394D">
              <w:rPr>
                <w:sz w:val="16"/>
                <w:szCs w:val="16"/>
                <w:lang w:val="en-GB"/>
              </w:rPr>
              <w:t>eports, annual</w:t>
            </w:r>
          </w:p>
        </w:tc>
        <w:tc>
          <w:tcPr>
            <w:tcW w:w="894" w:type="pct"/>
            <w:tcBorders>
              <w:bottom w:val="single" w:sz="4" w:space="0" w:color="auto"/>
            </w:tcBorders>
          </w:tcPr>
          <w:p w14:paraId="6C25F73E" w14:textId="77777777" w:rsidR="00A674CA" w:rsidRPr="00E8394D" w:rsidRDefault="00A674CA" w:rsidP="00BC1D6E">
            <w:pPr>
              <w:rPr>
                <w:bCs/>
                <w:sz w:val="16"/>
                <w:szCs w:val="16"/>
                <w:lang w:val="en-GB"/>
              </w:rPr>
            </w:pPr>
            <w:r w:rsidRPr="00E8394D">
              <w:rPr>
                <w:bCs/>
                <w:sz w:val="16"/>
                <w:szCs w:val="16"/>
                <w:lang w:val="en-GB"/>
              </w:rPr>
              <w:lastRenderedPageBreak/>
              <w:t>Department of National Planning and Monitoring (DNPM),</w:t>
            </w:r>
            <w:r w:rsidR="006F48CC" w:rsidRPr="00E8394D">
              <w:rPr>
                <w:bCs/>
                <w:sz w:val="16"/>
                <w:szCs w:val="16"/>
                <w:lang w:val="en-GB"/>
              </w:rPr>
              <w:t xml:space="preserve"> DPLGA National Statistics Office</w:t>
            </w:r>
            <w:r w:rsidR="0023750A" w:rsidRPr="00E8394D">
              <w:rPr>
                <w:bCs/>
                <w:sz w:val="16"/>
                <w:szCs w:val="16"/>
                <w:lang w:val="en-GB"/>
              </w:rPr>
              <w:t xml:space="preserve">, </w:t>
            </w:r>
            <w:r w:rsidRPr="00E8394D">
              <w:rPr>
                <w:bCs/>
                <w:sz w:val="16"/>
                <w:szCs w:val="16"/>
                <w:lang w:val="en-GB"/>
              </w:rPr>
              <w:t>Department of Trade and Industry, Business Council</w:t>
            </w:r>
            <w:r w:rsidR="00E04E23" w:rsidRPr="00E8394D">
              <w:rPr>
                <w:bCs/>
                <w:sz w:val="16"/>
                <w:szCs w:val="16"/>
                <w:lang w:val="en-GB"/>
              </w:rPr>
              <w:t>,</w:t>
            </w:r>
            <w:r w:rsidRPr="00E8394D">
              <w:rPr>
                <w:bCs/>
                <w:sz w:val="16"/>
                <w:szCs w:val="16"/>
                <w:lang w:val="en-GB"/>
              </w:rPr>
              <w:t xml:space="preserve"> </w:t>
            </w:r>
            <w:r w:rsidR="00CA64C8">
              <w:rPr>
                <w:bCs/>
                <w:sz w:val="16"/>
                <w:szCs w:val="16"/>
                <w:lang w:val="en-GB"/>
              </w:rPr>
              <w:t xml:space="preserve">International Labour Organization (ILO), </w:t>
            </w:r>
            <w:r w:rsidRPr="00E8394D">
              <w:rPr>
                <w:bCs/>
                <w:sz w:val="16"/>
                <w:szCs w:val="16"/>
                <w:lang w:val="en-GB"/>
              </w:rPr>
              <w:t>UNICEF, UNFPA</w:t>
            </w:r>
            <w:r w:rsidR="006F48CC" w:rsidRPr="00E8394D">
              <w:rPr>
                <w:bCs/>
                <w:sz w:val="16"/>
                <w:szCs w:val="16"/>
                <w:lang w:val="en-GB"/>
              </w:rPr>
              <w:t>, UNCDF</w:t>
            </w:r>
          </w:p>
          <w:p w14:paraId="078B098D" w14:textId="77777777" w:rsidR="00A674CA" w:rsidRPr="00E8394D" w:rsidRDefault="00A674CA" w:rsidP="00BC1D6E">
            <w:pPr>
              <w:rPr>
                <w:bCs/>
                <w:sz w:val="16"/>
                <w:szCs w:val="16"/>
                <w:lang w:val="en-GB"/>
              </w:rPr>
            </w:pPr>
          </w:p>
          <w:p w14:paraId="7BFA1BCB" w14:textId="77777777" w:rsidR="00A674CA" w:rsidRPr="00E8394D" w:rsidRDefault="00A674CA" w:rsidP="00BC1D6E">
            <w:pPr>
              <w:ind w:left="158" w:right="146"/>
              <w:rPr>
                <w:rFonts w:eastAsiaTheme="minorHAnsi"/>
                <w:sz w:val="16"/>
                <w:szCs w:val="16"/>
                <w:lang w:val="en-GB"/>
              </w:rPr>
            </w:pPr>
          </w:p>
        </w:tc>
        <w:tc>
          <w:tcPr>
            <w:tcW w:w="738" w:type="pct"/>
            <w:gridSpan w:val="2"/>
            <w:tcBorders>
              <w:bottom w:val="single" w:sz="4" w:space="0" w:color="auto"/>
            </w:tcBorders>
            <w:tcMar>
              <w:top w:w="15" w:type="dxa"/>
              <w:left w:w="108" w:type="dxa"/>
              <w:bottom w:w="0" w:type="dxa"/>
              <w:right w:w="108" w:type="dxa"/>
            </w:tcMar>
          </w:tcPr>
          <w:p w14:paraId="45093614" w14:textId="77777777" w:rsidR="00A674CA" w:rsidRPr="00E8394D" w:rsidRDefault="00A674CA" w:rsidP="00BC1D6E">
            <w:pPr>
              <w:rPr>
                <w:bCs/>
                <w:sz w:val="16"/>
                <w:szCs w:val="16"/>
                <w:lang w:val="en-GB"/>
              </w:rPr>
            </w:pPr>
            <w:r w:rsidRPr="00E8394D">
              <w:rPr>
                <w:b/>
                <w:bCs/>
                <w:sz w:val="16"/>
                <w:szCs w:val="16"/>
                <w:lang w:val="en-GB"/>
              </w:rPr>
              <w:t>Regular</w:t>
            </w:r>
            <w:r w:rsidR="00CA64C8">
              <w:rPr>
                <w:b/>
                <w:bCs/>
                <w:sz w:val="16"/>
                <w:szCs w:val="16"/>
                <w:lang w:val="en-GB"/>
              </w:rPr>
              <w:t xml:space="preserve">: </w:t>
            </w:r>
            <w:r w:rsidRPr="00E8394D">
              <w:rPr>
                <w:bCs/>
                <w:sz w:val="16"/>
                <w:szCs w:val="16"/>
                <w:lang w:val="en-GB"/>
              </w:rPr>
              <w:t>7</w:t>
            </w:r>
            <w:r w:rsidR="00B6080F">
              <w:rPr>
                <w:bCs/>
                <w:sz w:val="16"/>
                <w:szCs w:val="16"/>
                <w:lang w:val="en-GB"/>
              </w:rPr>
              <w:t>49</w:t>
            </w:r>
            <w:r w:rsidRPr="00E8394D">
              <w:rPr>
                <w:bCs/>
                <w:sz w:val="16"/>
                <w:szCs w:val="16"/>
                <w:lang w:val="en-GB"/>
              </w:rPr>
              <w:t>,000</w:t>
            </w:r>
          </w:p>
          <w:p w14:paraId="0D6C7682" w14:textId="77777777" w:rsidR="00A674CA" w:rsidRPr="00E8394D" w:rsidRDefault="008674FD" w:rsidP="00BC1D6E">
            <w:pPr>
              <w:rPr>
                <w:bCs/>
                <w:sz w:val="16"/>
                <w:szCs w:val="16"/>
                <w:lang w:val="en-GB"/>
              </w:rPr>
            </w:pPr>
            <w:r w:rsidRPr="00E8394D">
              <w:rPr>
                <w:b/>
                <w:bCs/>
                <w:sz w:val="16"/>
                <w:szCs w:val="16"/>
                <w:lang w:val="en-GB"/>
              </w:rPr>
              <w:t>Other</w:t>
            </w:r>
            <w:r w:rsidR="00CA64C8">
              <w:rPr>
                <w:bCs/>
                <w:sz w:val="16"/>
                <w:szCs w:val="16"/>
                <w:lang w:val="en-GB"/>
              </w:rPr>
              <w:t xml:space="preserve">: </w:t>
            </w:r>
            <w:r w:rsidR="00A674CA" w:rsidRPr="00E8394D">
              <w:rPr>
                <w:bCs/>
                <w:sz w:val="16"/>
                <w:szCs w:val="16"/>
                <w:lang w:val="en-GB"/>
              </w:rPr>
              <w:t>1,800,000</w:t>
            </w:r>
          </w:p>
          <w:p w14:paraId="150B1985" w14:textId="77777777" w:rsidR="00A674CA" w:rsidRPr="00E8394D" w:rsidRDefault="00A674CA" w:rsidP="00BC1D6E">
            <w:pPr>
              <w:rPr>
                <w:bCs/>
                <w:sz w:val="16"/>
                <w:szCs w:val="16"/>
                <w:lang w:val="en-GB"/>
              </w:rPr>
            </w:pPr>
            <w:r w:rsidRPr="00E8394D">
              <w:rPr>
                <w:b/>
                <w:bCs/>
                <w:sz w:val="16"/>
                <w:szCs w:val="16"/>
                <w:lang w:val="en-GB"/>
              </w:rPr>
              <w:t>Total</w:t>
            </w:r>
            <w:r w:rsidR="00CA64C8">
              <w:rPr>
                <w:b/>
                <w:bCs/>
                <w:sz w:val="16"/>
                <w:szCs w:val="16"/>
                <w:lang w:val="en-GB"/>
              </w:rPr>
              <w:t xml:space="preserve">: </w:t>
            </w:r>
            <w:r w:rsidR="00B6080F">
              <w:rPr>
                <w:bCs/>
                <w:sz w:val="16"/>
                <w:szCs w:val="16"/>
                <w:lang w:val="en-GB"/>
              </w:rPr>
              <w:t>2,549</w:t>
            </w:r>
            <w:r w:rsidRPr="00E8394D">
              <w:rPr>
                <w:bCs/>
                <w:sz w:val="16"/>
                <w:szCs w:val="16"/>
                <w:lang w:val="en-GB"/>
              </w:rPr>
              <w:t>,000</w:t>
            </w:r>
          </w:p>
          <w:p w14:paraId="65DEB0F2" w14:textId="77777777" w:rsidR="00A674CA" w:rsidRPr="00E8394D" w:rsidRDefault="00A674CA" w:rsidP="00BC1D6E">
            <w:pPr>
              <w:rPr>
                <w:b/>
                <w:sz w:val="16"/>
                <w:szCs w:val="16"/>
                <w:lang w:val="en-GB"/>
              </w:rPr>
            </w:pPr>
          </w:p>
        </w:tc>
      </w:tr>
      <w:tr w:rsidR="00E50248" w:rsidRPr="00E8394D" w14:paraId="7E65F5BF" w14:textId="77777777" w:rsidTr="008674FD">
        <w:tc>
          <w:tcPr>
            <w:tcW w:w="5000" w:type="pct"/>
            <w:gridSpan w:val="9"/>
            <w:shd w:val="clear" w:color="auto" w:fill="auto"/>
            <w:tcMar>
              <w:top w:w="72" w:type="dxa"/>
              <w:left w:w="144" w:type="dxa"/>
              <w:bottom w:w="72" w:type="dxa"/>
              <w:right w:w="144" w:type="dxa"/>
            </w:tcMar>
          </w:tcPr>
          <w:p w14:paraId="7DA6ADC9" w14:textId="77777777" w:rsidR="00A674CA" w:rsidRPr="00E8394D" w:rsidRDefault="00A674CA" w:rsidP="005D6D37">
            <w:pPr>
              <w:jc w:val="both"/>
              <w:rPr>
                <w:b/>
                <w:sz w:val="16"/>
                <w:szCs w:val="16"/>
                <w:lang w:val="en-GB"/>
              </w:rPr>
            </w:pPr>
            <w:r w:rsidRPr="00E8394D">
              <w:rPr>
                <w:b/>
                <w:bCs/>
                <w:sz w:val="16"/>
                <w:szCs w:val="16"/>
                <w:lang w:val="en-GB"/>
              </w:rPr>
              <w:t xml:space="preserve">NATIONAL PRIORITY: </w:t>
            </w:r>
            <w:r w:rsidR="00965C51" w:rsidRPr="005D6D37">
              <w:rPr>
                <w:bCs/>
                <w:sz w:val="16"/>
                <w:szCs w:val="16"/>
                <w:lang w:val="en-GB"/>
              </w:rPr>
              <w:t>1.</w:t>
            </w:r>
            <w:r w:rsidR="00965C51">
              <w:rPr>
                <w:b/>
                <w:bCs/>
                <w:sz w:val="16"/>
                <w:szCs w:val="16"/>
                <w:lang w:val="en-GB"/>
              </w:rPr>
              <w:t xml:space="preserve"> </w:t>
            </w:r>
            <w:r w:rsidRPr="00E8394D">
              <w:rPr>
                <w:sz w:val="16"/>
                <w:szCs w:val="16"/>
                <w:lang w:val="en-GB"/>
              </w:rPr>
              <w:t xml:space="preserve">Environmental </w:t>
            </w:r>
            <w:r w:rsidR="00526072">
              <w:rPr>
                <w:sz w:val="16"/>
                <w:szCs w:val="16"/>
                <w:lang w:val="en-GB"/>
              </w:rPr>
              <w:t>s</w:t>
            </w:r>
            <w:r w:rsidRPr="00E8394D">
              <w:rPr>
                <w:sz w:val="16"/>
                <w:szCs w:val="16"/>
                <w:lang w:val="en-GB"/>
              </w:rPr>
              <w:t xml:space="preserve">ustainability and </w:t>
            </w:r>
            <w:r w:rsidR="00526072">
              <w:rPr>
                <w:sz w:val="16"/>
                <w:szCs w:val="16"/>
                <w:lang w:val="en-GB"/>
              </w:rPr>
              <w:t>c</w:t>
            </w:r>
            <w:r w:rsidRPr="00E8394D">
              <w:rPr>
                <w:sz w:val="16"/>
                <w:szCs w:val="16"/>
                <w:lang w:val="en-GB"/>
              </w:rPr>
              <w:t xml:space="preserve">limate </w:t>
            </w:r>
            <w:r w:rsidR="00526072">
              <w:rPr>
                <w:sz w:val="16"/>
                <w:szCs w:val="16"/>
                <w:lang w:val="en-GB"/>
              </w:rPr>
              <w:t>c</w:t>
            </w:r>
            <w:r w:rsidRPr="00E8394D">
              <w:rPr>
                <w:sz w:val="16"/>
                <w:szCs w:val="16"/>
                <w:lang w:val="en-GB"/>
              </w:rPr>
              <w:t>hange</w:t>
            </w:r>
            <w:r w:rsidR="005D6D37">
              <w:rPr>
                <w:sz w:val="16"/>
                <w:szCs w:val="16"/>
                <w:lang w:val="en-GB"/>
              </w:rPr>
              <w:t>; 2</w:t>
            </w:r>
            <w:r w:rsidRPr="00F0280F">
              <w:rPr>
                <w:sz w:val="16"/>
                <w:szCs w:val="16"/>
                <w:lang w:val="en-GB"/>
              </w:rPr>
              <w:t>.</w:t>
            </w:r>
            <w:r w:rsidRPr="00E8394D">
              <w:rPr>
                <w:sz w:val="16"/>
                <w:szCs w:val="16"/>
                <w:lang w:val="en-GB"/>
              </w:rPr>
              <w:t xml:space="preserve"> Retains and protects biodivers</w:t>
            </w:r>
            <w:r w:rsidR="0023750A" w:rsidRPr="00E8394D">
              <w:rPr>
                <w:sz w:val="16"/>
                <w:szCs w:val="16"/>
                <w:lang w:val="en-GB"/>
              </w:rPr>
              <w:t>ity and ecosystems and services</w:t>
            </w:r>
            <w:r w:rsidRPr="00E8394D">
              <w:rPr>
                <w:sz w:val="16"/>
                <w:szCs w:val="16"/>
                <w:lang w:val="en-GB"/>
              </w:rPr>
              <w:t xml:space="preserve">; </w:t>
            </w:r>
            <w:r w:rsidR="005D6D37">
              <w:rPr>
                <w:sz w:val="16"/>
                <w:szCs w:val="16"/>
                <w:lang w:val="en-GB"/>
              </w:rPr>
              <w:t>3</w:t>
            </w:r>
            <w:r w:rsidRPr="00F0280F">
              <w:rPr>
                <w:sz w:val="16"/>
                <w:szCs w:val="16"/>
                <w:lang w:val="en-GB"/>
              </w:rPr>
              <w:t>.</w:t>
            </w:r>
            <w:r w:rsidRPr="00E8394D">
              <w:rPr>
                <w:sz w:val="16"/>
                <w:szCs w:val="16"/>
                <w:lang w:val="en-GB"/>
              </w:rPr>
              <w:t xml:space="preserve"> Is resilient to risks and shocks; </w:t>
            </w:r>
            <w:r w:rsidR="005D6D37">
              <w:rPr>
                <w:bCs/>
                <w:sz w:val="16"/>
                <w:szCs w:val="16"/>
                <w:lang w:val="en-GB"/>
              </w:rPr>
              <w:t>4</w:t>
            </w:r>
            <w:r w:rsidRPr="0043128F">
              <w:rPr>
                <w:bCs/>
                <w:sz w:val="16"/>
                <w:szCs w:val="16"/>
                <w:lang w:val="en-GB"/>
              </w:rPr>
              <w:t>.</w:t>
            </w:r>
            <w:r w:rsidRPr="00E8394D">
              <w:rPr>
                <w:b/>
                <w:bCs/>
                <w:sz w:val="16"/>
                <w:szCs w:val="16"/>
                <w:lang w:val="en-GB"/>
              </w:rPr>
              <w:t xml:space="preserve"> </w:t>
            </w:r>
            <w:r w:rsidRPr="00E8394D">
              <w:rPr>
                <w:sz w:val="16"/>
                <w:szCs w:val="16"/>
                <w:lang w:val="en-GB"/>
              </w:rPr>
              <w:t>Is a means for achieving sustainable development</w:t>
            </w:r>
            <w:r w:rsidR="00526072">
              <w:rPr>
                <w:bCs/>
                <w:iCs/>
                <w:lang w:val="en-GB"/>
              </w:rPr>
              <w:t xml:space="preserve"> </w:t>
            </w:r>
            <w:r w:rsidRPr="0043128F">
              <w:rPr>
                <w:bCs/>
                <w:iCs/>
                <w:sz w:val="16"/>
                <w:szCs w:val="16"/>
                <w:lang w:val="en-GB"/>
              </w:rPr>
              <w:t>(SDGs 7, 11, 13, 14, 14, 15)</w:t>
            </w:r>
            <w:r w:rsidR="00736E5C">
              <w:rPr>
                <w:bCs/>
                <w:iCs/>
                <w:sz w:val="16"/>
                <w:szCs w:val="16"/>
                <w:lang w:val="en-GB"/>
              </w:rPr>
              <w:t>.</w:t>
            </w:r>
          </w:p>
        </w:tc>
      </w:tr>
      <w:tr w:rsidR="00E50248" w:rsidRPr="00E8394D" w14:paraId="749FA00D" w14:textId="77777777" w:rsidTr="008674FD">
        <w:tc>
          <w:tcPr>
            <w:tcW w:w="5000" w:type="pct"/>
            <w:gridSpan w:val="9"/>
            <w:shd w:val="clear" w:color="auto" w:fill="auto"/>
            <w:tcMar>
              <w:top w:w="72" w:type="dxa"/>
              <w:left w:w="144" w:type="dxa"/>
              <w:bottom w:w="72" w:type="dxa"/>
              <w:right w:w="144" w:type="dxa"/>
            </w:tcMar>
          </w:tcPr>
          <w:p w14:paraId="289198CC" w14:textId="77777777" w:rsidR="00A674CA" w:rsidRPr="00E8394D" w:rsidRDefault="00A674CA" w:rsidP="00BC1D6E">
            <w:pPr>
              <w:rPr>
                <w:rFonts w:eastAsiaTheme="minorHAnsi"/>
                <w:b/>
                <w:sz w:val="16"/>
                <w:szCs w:val="16"/>
                <w:lang w:val="en-GB"/>
              </w:rPr>
            </w:pPr>
            <w:r w:rsidRPr="00E8394D">
              <w:rPr>
                <w:b/>
                <w:bCs/>
                <w:sz w:val="16"/>
                <w:szCs w:val="16"/>
                <w:lang w:val="en-GB"/>
              </w:rPr>
              <w:t>OUTCOME 3</w:t>
            </w:r>
            <w:r w:rsidRPr="00E8394D">
              <w:rPr>
                <w:bCs/>
                <w:sz w:val="16"/>
                <w:szCs w:val="16"/>
                <w:lang w:val="en-GB"/>
              </w:rPr>
              <w:t>:</w:t>
            </w:r>
            <w:r w:rsidRPr="00E8394D">
              <w:rPr>
                <w:sz w:val="16"/>
                <w:szCs w:val="16"/>
                <w:lang w:val="en-GB"/>
              </w:rPr>
              <w:t xml:space="preserve"> By 2022, Papua New Guinea demonstrates improved performance in managing environmental resources and risks emanating from climate change and disasters.</w:t>
            </w:r>
          </w:p>
        </w:tc>
      </w:tr>
      <w:tr w:rsidR="00A674CA" w:rsidRPr="00E8394D" w14:paraId="2DB34C07" w14:textId="77777777" w:rsidTr="00D960E1">
        <w:tc>
          <w:tcPr>
            <w:tcW w:w="897" w:type="pct"/>
            <w:gridSpan w:val="2"/>
            <w:shd w:val="clear" w:color="auto" w:fill="auto"/>
            <w:tcMar>
              <w:top w:w="72" w:type="dxa"/>
              <w:left w:w="144" w:type="dxa"/>
              <w:bottom w:w="72" w:type="dxa"/>
              <w:right w:w="144" w:type="dxa"/>
            </w:tcMar>
          </w:tcPr>
          <w:p w14:paraId="2ACBF9AD" w14:textId="77777777" w:rsidR="00A674CA" w:rsidRPr="00E8394D" w:rsidRDefault="00A674CA" w:rsidP="00BC1D6E">
            <w:pPr>
              <w:rPr>
                <w:iCs/>
                <w:sz w:val="16"/>
                <w:szCs w:val="16"/>
                <w:lang w:val="en-GB"/>
              </w:rPr>
            </w:pPr>
            <w:r w:rsidRPr="00E8394D">
              <w:rPr>
                <w:b/>
                <w:iCs/>
                <w:sz w:val="16"/>
                <w:szCs w:val="16"/>
                <w:u w:val="single"/>
                <w:lang w:val="en-GB"/>
              </w:rPr>
              <w:t>Indicator:</w:t>
            </w:r>
            <w:r w:rsidRPr="00E8394D">
              <w:rPr>
                <w:sz w:val="16"/>
                <w:szCs w:val="16"/>
                <w:lang w:val="en-GB"/>
              </w:rPr>
              <w:t xml:space="preserve"> </w:t>
            </w:r>
            <w:r w:rsidR="00C53433" w:rsidRPr="00E8394D">
              <w:rPr>
                <w:iCs/>
                <w:sz w:val="16"/>
                <w:szCs w:val="16"/>
                <w:lang w:val="en-GB"/>
              </w:rPr>
              <w:t>Number</w:t>
            </w:r>
            <w:r w:rsidRPr="00E8394D">
              <w:rPr>
                <w:iCs/>
                <w:sz w:val="16"/>
                <w:szCs w:val="16"/>
                <w:lang w:val="en-GB"/>
              </w:rPr>
              <w:t xml:space="preserve"> of legislation, sectoral strategies and policies integrating environmental protection, </w:t>
            </w:r>
            <w:r w:rsidRPr="00E8394D">
              <w:rPr>
                <w:iCs/>
                <w:sz w:val="16"/>
                <w:szCs w:val="16"/>
                <w:lang w:val="en-GB"/>
              </w:rPr>
              <w:lastRenderedPageBreak/>
              <w:t xml:space="preserve">sustainable resource management and climate change mitigation endorsed by </w:t>
            </w:r>
            <w:r w:rsidR="00736E5C">
              <w:rPr>
                <w:iCs/>
                <w:sz w:val="16"/>
                <w:szCs w:val="16"/>
                <w:lang w:val="en-GB"/>
              </w:rPr>
              <w:t xml:space="preserve">the </w:t>
            </w:r>
            <w:r w:rsidRPr="00E8394D">
              <w:rPr>
                <w:iCs/>
                <w:sz w:val="16"/>
                <w:szCs w:val="16"/>
                <w:lang w:val="en-GB"/>
              </w:rPr>
              <w:t>Government</w:t>
            </w:r>
          </w:p>
          <w:p w14:paraId="6E362B80" w14:textId="77777777" w:rsidR="00AA6045" w:rsidRDefault="00AA6045" w:rsidP="00BC1D6E">
            <w:pPr>
              <w:rPr>
                <w:b/>
                <w:iCs/>
                <w:sz w:val="16"/>
                <w:szCs w:val="16"/>
                <w:u w:val="single"/>
                <w:lang w:val="en-GB"/>
              </w:rPr>
            </w:pPr>
          </w:p>
          <w:p w14:paraId="2F2FBC8C" w14:textId="77777777" w:rsidR="00A674CA" w:rsidRPr="00E8394D" w:rsidRDefault="00A674CA" w:rsidP="00BC1D6E">
            <w:pPr>
              <w:rPr>
                <w:iCs/>
                <w:sz w:val="16"/>
                <w:szCs w:val="16"/>
                <w:lang w:val="en-GB"/>
              </w:rPr>
            </w:pPr>
            <w:r w:rsidRPr="00E8394D">
              <w:rPr>
                <w:b/>
                <w:iCs/>
                <w:sz w:val="16"/>
                <w:szCs w:val="16"/>
                <w:u w:val="single"/>
                <w:lang w:val="en-GB"/>
              </w:rPr>
              <w:t>Baseline</w:t>
            </w:r>
            <w:r w:rsidRPr="00E8394D">
              <w:rPr>
                <w:iCs/>
                <w:sz w:val="16"/>
                <w:szCs w:val="16"/>
                <w:u w:val="single"/>
                <w:lang w:val="en-GB"/>
              </w:rPr>
              <w:t>:</w:t>
            </w:r>
            <w:r w:rsidRPr="00E8394D">
              <w:rPr>
                <w:iCs/>
                <w:sz w:val="16"/>
                <w:szCs w:val="16"/>
                <w:lang w:val="en-GB"/>
              </w:rPr>
              <w:t xml:space="preserve"> 10 policies endorsed to</w:t>
            </w:r>
            <w:r w:rsidR="00AA6045">
              <w:rPr>
                <w:iCs/>
                <w:sz w:val="16"/>
                <w:szCs w:val="16"/>
                <w:lang w:val="en-GB"/>
              </w:rPr>
              <w:t xml:space="preserve"> </w:t>
            </w:r>
            <w:r w:rsidRPr="00E8394D">
              <w:rPr>
                <w:iCs/>
                <w:sz w:val="16"/>
                <w:szCs w:val="16"/>
                <w:lang w:val="en-GB"/>
              </w:rPr>
              <w:t>date</w:t>
            </w:r>
          </w:p>
          <w:p w14:paraId="556101D4" w14:textId="77777777" w:rsidR="00A674CA" w:rsidRPr="00E8394D" w:rsidRDefault="00A674CA" w:rsidP="00BC1D6E">
            <w:pPr>
              <w:rPr>
                <w:iCs/>
                <w:sz w:val="16"/>
                <w:szCs w:val="16"/>
                <w:lang w:val="en-GB"/>
              </w:rPr>
            </w:pPr>
            <w:r w:rsidRPr="00E8394D">
              <w:rPr>
                <w:b/>
                <w:iCs/>
                <w:sz w:val="16"/>
                <w:szCs w:val="16"/>
                <w:u w:val="single"/>
                <w:lang w:val="en-GB"/>
              </w:rPr>
              <w:t>Target</w:t>
            </w:r>
            <w:r w:rsidRPr="00E8394D">
              <w:rPr>
                <w:b/>
                <w:iCs/>
                <w:sz w:val="16"/>
                <w:szCs w:val="16"/>
                <w:lang w:val="en-GB"/>
              </w:rPr>
              <w:t>:</w:t>
            </w:r>
            <w:r w:rsidRPr="00E8394D">
              <w:rPr>
                <w:iCs/>
                <w:sz w:val="16"/>
                <w:szCs w:val="16"/>
                <w:lang w:val="en-GB"/>
              </w:rPr>
              <w:t xml:space="preserve"> additional </w:t>
            </w:r>
            <w:r w:rsidR="00AA6045">
              <w:rPr>
                <w:iCs/>
                <w:sz w:val="16"/>
                <w:szCs w:val="16"/>
                <w:lang w:val="en-GB"/>
              </w:rPr>
              <w:t>eight</w:t>
            </w:r>
            <w:r w:rsidRPr="00E8394D">
              <w:rPr>
                <w:iCs/>
                <w:sz w:val="16"/>
                <w:szCs w:val="16"/>
                <w:lang w:val="en-GB"/>
              </w:rPr>
              <w:t xml:space="preserve"> policies endorsed</w:t>
            </w:r>
          </w:p>
          <w:p w14:paraId="058FF9FC" w14:textId="77777777" w:rsidR="00A674CA" w:rsidRPr="00E8394D" w:rsidRDefault="00A674CA" w:rsidP="00BC1D6E">
            <w:pPr>
              <w:rPr>
                <w:rFonts w:eastAsiaTheme="minorHAnsi"/>
                <w:bCs/>
                <w:sz w:val="16"/>
                <w:szCs w:val="16"/>
                <w:lang w:val="en-GB"/>
              </w:rPr>
            </w:pPr>
          </w:p>
          <w:p w14:paraId="7F75F576" w14:textId="77777777" w:rsidR="00A674CA" w:rsidRPr="00E8394D" w:rsidRDefault="00A674CA" w:rsidP="00BC1D6E">
            <w:pPr>
              <w:rPr>
                <w:rFonts w:eastAsiaTheme="minorHAnsi"/>
                <w:bCs/>
                <w:sz w:val="16"/>
                <w:szCs w:val="16"/>
                <w:lang w:val="en-GB"/>
              </w:rPr>
            </w:pPr>
          </w:p>
          <w:p w14:paraId="6B56A38E" w14:textId="77777777" w:rsidR="00A674CA" w:rsidRPr="00E8394D" w:rsidRDefault="00A674CA" w:rsidP="00BC1D6E">
            <w:pPr>
              <w:tabs>
                <w:tab w:val="left" w:pos="43"/>
              </w:tabs>
              <w:rPr>
                <w:rFonts w:eastAsiaTheme="minorHAnsi"/>
                <w:b/>
                <w:bCs/>
                <w:sz w:val="16"/>
                <w:szCs w:val="16"/>
                <w:lang w:val="en-GB"/>
              </w:rPr>
            </w:pPr>
          </w:p>
          <w:p w14:paraId="75CD69CE" w14:textId="77777777" w:rsidR="00A674CA" w:rsidRPr="00E8394D" w:rsidRDefault="00A674CA" w:rsidP="00BC1D6E">
            <w:pPr>
              <w:rPr>
                <w:rFonts w:eastAsiaTheme="minorHAnsi"/>
                <w:b/>
                <w:bCs/>
                <w:sz w:val="16"/>
                <w:szCs w:val="16"/>
                <w:lang w:val="en-GB"/>
              </w:rPr>
            </w:pPr>
          </w:p>
          <w:p w14:paraId="64610157" w14:textId="77777777" w:rsidR="00A674CA" w:rsidRPr="00E8394D" w:rsidRDefault="00A674CA" w:rsidP="00BC1D6E">
            <w:pPr>
              <w:rPr>
                <w:iCs/>
                <w:sz w:val="16"/>
                <w:szCs w:val="16"/>
                <w:lang w:val="en-GB"/>
              </w:rPr>
            </w:pPr>
            <w:r w:rsidRPr="00E8394D">
              <w:rPr>
                <w:b/>
                <w:iCs/>
                <w:sz w:val="16"/>
                <w:szCs w:val="16"/>
                <w:u w:val="single"/>
                <w:lang w:val="en-GB"/>
              </w:rPr>
              <w:t>Indicator:</w:t>
            </w:r>
            <w:r w:rsidRPr="00E8394D">
              <w:rPr>
                <w:iCs/>
                <w:sz w:val="16"/>
                <w:szCs w:val="16"/>
                <w:lang w:val="en-GB"/>
              </w:rPr>
              <w:t xml:space="preserve"> Increase in percentage of </w:t>
            </w:r>
            <w:r w:rsidR="004B389D">
              <w:rPr>
                <w:iCs/>
                <w:sz w:val="16"/>
                <w:szCs w:val="16"/>
                <w:lang w:val="en-GB"/>
              </w:rPr>
              <w:t>Papua New Guinea</w:t>
            </w:r>
            <w:r w:rsidR="004B389D" w:rsidRPr="00E8394D">
              <w:rPr>
                <w:iCs/>
                <w:sz w:val="16"/>
                <w:szCs w:val="16"/>
                <w:lang w:val="en-GB"/>
              </w:rPr>
              <w:t xml:space="preserve"> </w:t>
            </w:r>
            <w:r w:rsidRPr="00E8394D">
              <w:rPr>
                <w:iCs/>
                <w:sz w:val="16"/>
                <w:szCs w:val="16"/>
                <w:lang w:val="en-GB"/>
              </w:rPr>
              <w:t xml:space="preserve">land area, including marine environment, identified and established as a </w:t>
            </w:r>
            <w:r w:rsidR="004B389D">
              <w:rPr>
                <w:iCs/>
                <w:sz w:val="16"/>
                <w:szCs w:val="16"/>
                <w:lang w:val="en-GB"/>
              </w:rPr>
              <w:t>p</w:t>
            </w:r>
            <w:r w:rsidRPr="00E8394D">
              <w:rPr>
                <w:iCs/>
                <w:sz w:val="16"/>
                <w:szCs w:val="16"/>
                <w:lang w:val="en-GB"/>
              </w:rPr>
              <w:t xml:space="preserve">rotected </w:t>
            </w:r>
            <w:r w:rsidR="004B389D">
              <w:rPr>
                <w:iCs/>
                <w:sz w:val="16"/>
                <w:szCs w:val="16"/>
                <w:lang w:val="en-GB"/>
              </w:rPr>
              <w:t>a</w:t>
            </w:r>
            <w:r w:rsidRPr="00E8394D">
              <w:rPr>
                <w:iCs/>
                <w:sz w:val="16"/>
                <w:szCs w:val="16"/>
                <w:lang w:val="en-GB"/>
              </w:rPr>
              <w:t>rea</w:t>
            </w:r>
          </w:p>
          <w:p w14:paraId="787D4A08" w14:textId="77777777" w:rsidR="00A674CA" w:rsidRPr="00E8394D" w:rsidRDefault="00A674CA" w:rsidP="00BC1D6E">
            <w:pPr>
              <w:rPr>
                <w:iCs/>
                <w:sz w:val="16"/>
                <w:szCs w:val="16"/>
                <w:lang w:val="en-GB"/>
              </w:rPr>
            </w:pPr>
          </w:p>
          <w:p w14:paraId="798E1687" w14:textId="77777777" w:rsidR="00A674CA" w:rsidRPr="00E8394D" w:rsidRDefault="00A674CA" w:rsidP="00BC1D6E">
            <w:pPr>
              <w:rPr>
                <w:iCs/>
                <w:sz w:val="16"/>
                <w:szCs w:val="16"/>
                <w:lang w:val="en-GB"/>
              </w:rPr>
            </w:pPr>
            <w:r w:rsidRPr="00E8394D">
              <w:rPr>
                <w:b/>
                <w:iCs/>
                <w:sz w:val="16"/>
                <w:szCs w:val="16"/>
                <w:u w:val="single"/>
                <w:lang w:val="en-GB"/>
              </w:rPr>
              <w:t>Baseline:</w:t>
            </w:r>
            <w:r w:rsidRPr="00E8394D">
              <w:rPr>
                <w:iCs/>
                <w:sz w:val="16"/>
                <w:szCs w:val="16"/>
                <w:lang w:val="en-GB"/>
              </w:rPr>
              <w:t xml:space="preserve"> Total territory designated as </w:t>
            </w:r>
            <w:r w:rsidR="004B389D">
              <w:rPr>
                <w:iCs/>
                <w:sz w:val="16"/>
                <w:szCs w:val="16"/>
                <w:lang w:val="en-GB"/>
              </w:rPr>
              <w:t>p</w:t>
            </w:r>
            <w:r w:rsidRPr="00E8394D">
              <w:rPr>
                <w:iCs/>
                <w:sz w:val="16"/>
                <w:szCs w:val="16"/>
                <w:lang w:val="en-GB"/>
              </w:rPr>
              <w:t xml:space="preserve">rotected </w:t>
            </w:r>
            <w:r w:rsidR="004B389D">
              <w:rPr>
                <w:iCs/>
                <w:sz w:val="16"/>
                <w:szCs w:val="16"/>
                <w:lang w:val="en-GB"/>
              </w:rPr>
              <w:t>a</w:t>
            </w:r>
            <w:r w:rsidRPr="00E8394D">
              <w:rPr>
                <w:iCs/>
                <w:sz w:val="16"/>
                <w:szCs w:val="16"/>
                <w:lang w:val="en-GB"/>
              </w:rPr>
              <w:t xml:space="preserve">reas </w:t>
            </w:r>
            <w:r w:rsidR="004B389D">
              <w:rPr>
                <w:iCs/>
                <w:sz w:val="16"/>
                <w:szCs w:val="16"/>
                <w:lang w:val="en-GB"/>
              </w:rPr>
              <w:t xml:space="preserve">at </w:t>
            </w:r>
            <w:r w:rsidRPr="00E8394D">
              <w:rPr>
                <w:iCs/>
                <w:sz w:val="16"/>
                <w:szCs w:val="16"/>
                <w:lang w:val="en-GB"/>
              </w:rPr>
              <w:t>1.96 million hectares (4.23%) of land and sea.</w:t>
            </w:r>
          </w:p>
          <w:p w14:paraId="5B034289" w14:textId="77777777" w:rsidR="00A674CA" w:rsidRPr="00E8394D" w:rsidRDefault="00A674CA" w:rsidP="00BC1D6E">
            <w:pPr>
              <w:rPr>
                <w:iCs/>
                <w:sz w:val="16"/>
                <w:szCs w:val="16"/>
                <w:lang w:val="en-GB"/>
              </w:rPr>
            </w:pPr>
          </w:p>
          <w:p w14:paraId="271C6799" w14:textId="77777777" w:rsidR="00A674CA" w:rsidRPr="00E8394D" w:rsidRDefault="00A674CA" w:rsidP="00BC1D6E">
            <w:pPr>
              <w:rPr>
                <w:iCs/>
                <w:sz w:val="16"/>
                <w:szCs w:val="16"/>
                <w:lang w:val="en-GB"/>
              </w:rPr>
            </w:pPr>
            <w:r w:rsidRPr="00E8394D">
              <w:rPr>
                <w:b/>
                <w:iCs/>
                <w:sz w:val="16"/>
                <w:szCs w:val="16"/>
                <w:u w:val="single"/>
                <w:lang w:val="en-GB"/>
              </w:rPr>
              <w:t>Target:</w:t>
            </w:r>
            <w:r w:rsidRPr="00E8394D">
              <w:rPr>
                <w:iCs/>
                <w:sz w:val="16"/>
                <w:szCs w:val="16"/>
                <w:u w:val="single"/>
                <w:lang w:val="en-GB"/>
              </w:rPr>
              <w:t xml:space="preserve"> </w:t>
            </w:r>
            <w:r w:rsidRPr="00E8394D">
              <w:rPr>
                <w:iCs/>
                <w:sz w:val="16"/>
                <w:szCs w:val="16"/>
                <w:lang w:val="en-GB"/>
              </w:rPr>
              <w:t xml:space="preserve">Additional 350,000 hectares (0,9% of total territory) gazetted as </w:t>
            </w:r>
            <w:r w:rsidR="004B389D">
              <w:rPr>
                <w:iCs/>
                <w:sz w:val="16"/>
                <w:szCs w:val="16"/>
                <w:lang w:val="en-GB"/>
              </w:rPr>
              <w:t>p</w:t>
            </w:r>
            <w:r w:rsidRPr="00E8394D">
              <w:rPr>
                <w:iCs/>
                <w:sz w:val="16"/>
                <w:szCs w:val="16"/>
                <w:lang w:val="en-GB"/>
              </w:rPr>
              <w:t xml:space="preserve">rotected </w:t>
            </w:r>
            <w:r w:rsidR="004B389D">
              <w:rPr>
                <w:iCs/>
                <w:sz w:val="16"/>
                <w:szCs w:val="16"/>
                <w:lang w:val="en-GB"/>
              </w:rPr>
              <w:t>a</w:t>
            </w:r>
            <w:r w:rsidRPr="00E8394D">
              <w:rPr>
                <w:iCs/>
                <w:sz w:val="16"/>
                <w:szCs w:val="16"/>
                <w:lang w:val="en-GB"/>
              </w:rPr>
              <w:t xml:space="preserve">reas </w:t>
            </w:r>
          </w:p>
          <w:p w14:paraId="07BF2CA8" w14:textId="77777777" w:rsidR="00A674CA" w:rsidRPr="00E8394D" w:rsidRDefault="00A674CA" w:rsidP="00BC1D6E">
            <w:pPr>
              <w:rPr>
                <w:b/>
                <w:bCs/>
                <w:sz w:val="16"/>
                <w:szCs w:val="16"/>
                <w:lang w:val="en-GB"/>
              </w:rPr>
            </w:pPr>
          </w:p>
          <w:p w14:paraId="4C20D4DD" w14:textId="77777777" w:rsidR="00A674CA" w:rsidRPr="00E8394D" w:rsidRDefault="00A674CA" w:rsidP="00BC1D6E">
            <w:pPr>
              <w:rPr>
                <w:iCs/>
                <w:sz w:val="16"/>
                <w:szCs w:val="16"/>
                <w:lang w:val="en-GB"/>
              </w:rPr>
            </w:pPr>
            <w:r w:rsidRPr="00E8394D">
              <w:rPr>
                <w:b/>
                <w:iCs/>
                <w:sz w:val="16"/>
                <w:szCs w:val="16"/>
                <w:u w:val="single"/>
                <w:lang w:val="en-GB"/>
              </w:rPr>
              <w:t>Indicator:</w:t>
            </w:r>
            <w:r w:rsidRPr="00E8394D">
              <w:rPr>
                <w:iCs/>
                <w:sz w:val="16"/>
                <w:szCs w:val="16"/>
                <w:lang w:val="en-GB"/>
              </w:rPr>
              <w:t xml:space="preserve"> Score in Inter-Agency Standing Committee </w:t>
            </w:r>
            <w:r w:rsidR="004B389D">
              <w:rPr>
                <w:iCs/>
                <w:sz w:val="16"/>
                <w:szCs w:val="16"/>
                <w:lang w:val="en-GB"/>
              </w:rPr>
              <w:t>and</w:t>
            </w:r>
            <w:r w:rsidR="004B389D" w:rsidRPr="00E8394D">
              <w:rPr>
                <w:iCs/>
                <w:sz w:val="16"/>
                <w:szCs w:val="16"/>
                <w:lang w:val="en-GB"/>
              </w:rPr>
              <w:t xml:space="preserve"> </w:t>
            </w:r>
            <w:r w:rsidRPr="00E8394D">
              <w:rPr>
                <w:iCs/>
                <w:sz w:val="16"/>
                <w:szCs w:val="16"/>
                <w:lang w:val="en-GB"/>
              </w:rPr>
              <w:t xml:space="preserve">European Commission </w:t>
            </w:r>
            <w:r w:rsidR="00E06D5A">
              <w:rPr>
                <w:iCs/>
                <w:sz w:val="16"/>
                <w:szCs w:val="16"/>
                <w:lang w:val="en-GB"/>
              </w:rPr>
              <w:t>(</w:t>
            </w:r>
            <w:r w:rsidRPr="00E8394D">
              <w:rPr>
                <w:iCs/>
                <w:sz w:val="16"/>
                <w:szCs w:val="16"/>
                <w:lang w:val="en-GB"/>
              </w:rPr>
              <w:t>INFORM</w:t>
            </w:r>
            <w:r w:rsidR="00E06D5A">
              <w:rPr>
                <w:iCs/>
                <w:sz w:val="16"/>
                <w:szCs w:val="16"/>
                <w:lang w:val="en-GB"/>
              </w:rPr>
              <w:t>)</w:t>
            </w:r>
            <w:r w:rsidRPr="00E8394D">
              <w:rPr>
                <w:iCs/>
                <w:sz w:val="16"/>
                <w:szCs w:val="16"/>
                <w:lang w:val="en-GB"/>
              </w:rPr>
              <w:t xml:space="preserve"> </w:t>
            </w:r>
            <w:r w:rsidR="004B389D">
              <w:rPr>
                <w:iCs/>
                <w:sz w:val="16"/>
                <w:szCs w:val="16"/>
                <w:lang w:val="en-GB"/>
              </w:rPr>
              <w:t>i</w:t>
            </w:r>
            <w:r w:rsidRPr="00E8394D">
              <w:rPr>
                <w:iCs/>
                <w:sz w:val="16"/>
                <w:szCs w:val="16"/>
                <w:lang w:val="en-GB"/>
              </w:rPr>
              <w:t xml:space="preserve">ndex for </w:t>
            </w:r>
            <w:r w:rsidR="004B389D">
              <w:rPr>
                <w:iCs/>
                <w:sz w:val="16"/>
                <w:szCs w:val="16"/>
                <w:lang w:val="en-GB"/>
              </w:rPr>
              <w:t>r</w:t>
            </w:r>
            <w:r w:rsidRPr="00E8394D">
              <w:rPr>
                <w:iCs/>
                <w:sz w:val="16"/>
                <w:szCs w:val="16"/>
                <w:lang w:val="en-GB"/>
              </w:rPr>
              <w:t xml:space="preserve">isk </w:t>
            </w:r>
            <w:r w:rsidR="004B389D">
              <w:rPr>
                <w:iCs/>
                <w:sz w:val="16"/>
                <w:szCs w:val="16"/>
                <w:lang w:val="en-GB"/>
              </w:rPr>
              <w:t>m</w:t>
            </w:r>
            <w:r w:rsidRPr="00E8394D">
              <w:rPr>
                <w:iCs/>
                <w:sz w:val="16"/>
                <w:szCs w:val="16"/>
                <w:lang w:val="en-GB"/>
              </w:rPr>
              <w:t xml:space="preserve">anagement on </w:t>
            </w:r>
            <w:r w:rsidR="004B389D">
              <w:rPr>
                <w:iCs/>
                <w:sz w:val="16"/>
                <w:szCs w:val="16"/>
                <w:lang w:val="en-GB"/>
              </w:rPr>
              <w:t>v</w:t>
            </w:r>
            <w:r w:rsidRPr="00E8394D">
              <w:rPr>
                <w:iCs/>
                <w:sz w:val="16"/>
                <w:szCs w:val="16"/>
                <w:lang w:val="en-GB"/>
              </w:rPr>
              <w:t xml:space="preserve">ulnerability and </w:t>
            </w:r>
            <w:r w:rsidR="004B389D">
              <w:rPr>
                <w:iCs/>
                <w:sz w:val="16"/>
                <w:szCs w:val="16"/>
                <w:lang w:val="en-GB"/>
              </w:rPr>
              <w:t>c</w:t>
            </w:r>
            <w:r w:rsidRPr="00E8394D">
              <w:rPr>
                <w:iCs/>
                <w:sz w:val="16"/>
                <w:szCs w:val="16"/>
                <w:lang w:val="en-GB"/>
              </w:rPr>
              <w:t xml:space="preserve">oping </w:t>
            </w:r>
            <w:r w:rsidR="004B389D">
              <w:rPr>
                <w:iCs/>
                <w:sz w:val="16"/>
                <w:szCs w:val="16"/>
                <w:lang w:val="en-GB"/>
              </w:rPr>
              <w:t>c</w:t>
            </w:r>
            <w:r w:rsidRPr="00E8394D">
              <w:rPr>
                <w:iCs/>
                <w:sz w:val="16"/>
                <w:szCs w:val="16"/>
                <w:lang w:val="en-GB"/>
              </w:rPr>
              <w:t>apacity</w:t>
            </w:r>
          </w:p>
          <w:p w14:paraId="22930617" w14:textId="77777777" w:rsidR="004B389D" w:rsidRDefault="004B389D" w:rsidP="00BC1D6E">
            <w:pPr>
              <w:rPr>
                <w:b/>
                <w:iCs/>
                <w:sz w:val="16"/>
                <w:szCs w:val="16"/>
                <w:u w:val="single"/>
                <w:lang w:val="en-GB"/>
              </w:rPr>
            </w:pPr>
          </w:p>
          <w:p w14:paraId="7D5D7818" w14:textId="77777777" w:rsidR="00A674CA" w:rsidRPr="00E8394D" w:rsidRDefault="00A674CA" w:rsidP="00BC1D6E">
            <w:pPr>
              <w:rPr>
                <w:iCs/>
                <w:sz w:val="16"/>
                <w:szCs w:val="16"/>
                <w:lang w:val="en-GB"/>
              </w:rPr>
            </w:pPr>
            <w:r w:rsidRPr="00E8394D">
              <w:rPr>
                <w:b/>
                <w:iCs/>
                <w:sz w:val="16"/>
                <w:szCs w:val="16"/>
                <w:u w:val="single"/>
                <w:lang w:val="en-GB"/>
              </w:rPr>
              <w:t>Baseline:</w:t>
            </w:r>
            <w:r w:rsidRPr="00E8394D">
              <w:rPr>
                <w:iCs/>
                <w:sz w:val="16"/>
                <w:szCs w:val="16"/>
                <w:lang w:val="en-GB"/>
              </w:rPr>
              <w:t xml:space="preserve"> Vulnerability 5.7/10                                                                    Coping </w:t>
            </w:r>
            <w:r w:rsidR="004B389D">
              <w:rPr>
                <w:iCs/>
                <w:sz w:val="16"/>
                <w:szCs w:val="16"/>
                <w:lang w:val="en-GB"/>
              </w:rPr>
              <w:t>c</w:t>
            </w:r>
            <w:r w:rsidRPr="00E8394D">
              <w:rPr>
                <w:iCs/>
                <w:sz w:val="16"/>
                <w:szCs w:val="16"/>
                <w:lang w:val="en-GB"/>
              </w:rPr>
              <w:t xml:space="preserve">apacity 7.7/10 </w:t>
            </w:r>
          </w:p>
          <w:p w14:paraId="05D52576" w14:textId="77777777" w:rsidR="004B389D" w:rsidRDefault="004B389D" w:rsidP="00BC1D6E">
            <w:pPr>
              <w:rPr>
                <w:b/>
                <w:iCs/>
                <w:sz w:val="16"/>
                <w:szCs w:val="16"/>
                <w:u w:val="single"/>
                <w:lang w:val="en-GB"/>
              </w:rPr>
            </w:pPr>
          </w:p>
          <w:p w14:paraId="5D0AD357" w14:textId="77777777" w:rsidR="00A674CA" w:rsidRPr="00E8394D" w:rsidRDefault="00A674CA" w:rsidP="00BC1D6E">
            <w:pPr>
              <w:rPr>
                <w:iCs/>
                <w:sz w:val="16"/>
                <w:szCs w:val="16"/>
                <w:u w:val="single"/>
                <w:lang w:val="en-GB"/>
              </w:rPr>
            </w:pPr>
            <w:r w:rsidRPr="00E8394D">
              <w:rPr>
                <w:b/>
                <w:iCs/>
                <w:sz w:val="16"/>
                <w:szCs w:val="16"/>
                <w:u w:val="single"/>
                <w:lang w:val="en-GB"/>
              </w:rPr>
              <w:t>Target:</w:t>
            </w:r>
            <w:r w:rsidRPr="00E8394D">
              <w:rPr>
                <w:iCs/>
                <w:sz w:val="16"/>
                <w:szCs w:val="16"/>
                <w:u w:val="single"/>
                <w:lang w:val="en-GB"/>
              </w:rPr>
              <w:t xml:space="preserve"> </w:t>
            </w:r>
          </w:p>
          <w:p w14:paraId="035AA8A5" w14:textId="77777777" w:rsidR="00A674CA" w:rsidRPr="00E8394D" w:rsidRDefault="00A674CA" w:rsidP="00BC1D6E">
            <w:pPr>
              <w:rPr>
                <w:iCs/>
                <w:sz w:val="16"/>
                <w:szCs w:val="16"/>
                <w:lang w:val="en-GB"/>
              </w:rPr>
            </w:pPr>
            <w:r w:rsidRPr="00E8394D">
              <w:rPr>
                <w:iCs/>
                <w:sz w:val="16"/>
                <w:szCs w:val="16"/>
                <w:lang w:val="en-GB"/>
              </w:rPr>
              <w:t xml:space="preserve">Vulnerability 4/10 </w:t>
            </w:r>
            <w:r w:rsidRPr="00E8394D">
              <w:rPr>
                <w:iCs/>
                <w:sz w:val="16"/>
                <w:szCs w:val="16"/>
                <w:lang w:val="en-GB"/>
              </w:rPr>
              <w:br/>
              <w:t xml:space="preserve">Coping </w:t>
            </w:r>
            <w:r w:rsidR="004B389D">
              <w:rPr>
                <w:iCs/>
                <w:sz w:val="16"/>
                <w:szCs w:val="16"/>
                <w:lang w:val="en-GB"/>
              </w:rPr>
              <w:t>c</w:t>
            </w:r>
            <w:r w:rsidRPr="00E8394D">
              <w:rPr>
                <w:iCs/>
                <w:sz w:val="16"/>
                <w:szCs w:val="16"/>
                <w:lang w:val="en-GB"/>
              </w:rPr>
              <w:t xml:space="preserve">apacity 5/10 </w:t>
            </w:r>
          </w:p>
          <w:p w14:paraId="480474F8" w14:textId="77777777" w:rsidR="00A674CA" w:rsidRPr="00E8394D" w:rsidRDefault="00A674CA" w:rsidP="00BC1D6E">
            <w:pPr>
              <w:rPr>
                <w:iCs/>
                <w:sz w:val="16"/>
                <w:szCs w:val="16"/>
                <w:lang w:val="en-GB"/>
              </w:rPr>
            </w:pPr>
          </w:p>
          <w:p w14:paraId="6E081C51" w14:textId="77777777" w:rsidR="00A674CA" w:rsidRPr="00E8394D" w:rsidRDefault="00A674CA" w:rsidP="00BC1D6E">
            <w:pPr>
              <w:rPr>
                <w:b/>
                <w:iCs/>
                <w:sz w:val="16"/>
                <w:szCs w:val="16"/>
                <w:lang w:val="en-GB"/>
              </w:rPr>
            </w:pPr>
            <w:r w:rsidRPr="00E8394D">
              <w:rPr>
                <w:b/>
                <w:iCs/>
                <w:sz w:val="16"/>
                <w:szCs w:val="16"/>
                <w:u w:val="single"/>
                <w:lang w:val="en-GB"/>
              </w:rPr>
              <w:t>Indicator:</w:t>
            </w:r>
            <w:r w:rsidRPr="00E8394D">
              <w:rPr>
                <w:b/>
                <w:iCs/>
                <w:sz w:val="16"/>
                <w:szCs w:val="16"/>
                <w:lang w:val="en-GB"/>
              </w:rPr>
              <w:t xml:space="preserve"> </w:t>
            </w:r>
          </w:p>
          <w:p w14:paraId="4833418B" w14:textId="77777777" w:rsidR="00A674CA" w:rsidRPr="00E8394D" w:rsidRDefault="00A674CA" w:rsidP="00BC1D6E">
            <w:pPr>
              <w:rPr>
                <w:sz w:val="16"/>
                <w:szCs w:val="16"/>
                <w:lang w:val="en-GB"/>
              </w:rPr>
            </w:pPr>
            <w:r w:rsidRPr="00E8394D">
              <w:rPr>
                <w:sz w:val="16"/>
                <w:szCs w:val="16"/>
                <w:lang w:val="en-GB"/>
              </w:rPr>
              <w:t xml:space="preserve">Increased international environment and climate </w:t>
            </w:r>
            <w:r w:rsidRPr="00E8394D">
              <w:rPr>
                <w:sz w:val="16"/>
                <w:szCs w:val="16"/>
                <w:lang w:val="en-GB"/>
              </w:rPr>
              <w:lastRenderedPageBreak/>
              <w:t>financing mobili</w:t>
            </w:r>
            <w:r w:rsidR="004B389D">
              <w:rPr>
                <w:sz w:val="16"/>
                <w:szCs w:val="16"/>
                <w:lang w:val="en-GB"/>
              </w:rPr>
              <w:t>z</w:t>
            </w:r>
            <w:r w:rsidRPr="00E8394D">
              <w:rPr>
                <w:sz w:val="16"/>
                <w:szCs w:val="16"/>
                <w:lang w:val="en-GB"/>
              </w:rPr>
              <w:t>ed for Papua New Guinea</w:t>
            </w:r>
            <w:r w:rsidR="004B389D">
              <w:rPr>
                <w:sz w:val="16"/>
                <w:szCs w:val="16"/>
                <w:lang w:val="en-GB"/>
              </w:rPr>
              <w:t>,</w:t>
            </w:r>
            <w:r w:rsidRPr="00E8394D">
              <w:rPr>
                <w:sz w:val="16"/>
                <w:szCs w:val="16"/>
                <w:lang w:val="en-GB"/>
              </w:rPr>
              <w:t xml:space="preserve"> 2018-2022</w:t>
            </w:r>
          </w:p>
          <w:p w14:paraId="71663D8C" w14:textId="77777777" w:rsidR="004B389D" w:rsidRDefault="004B389D" w:rsidP="00BC1D6E">
            <w:pPr>
              <w:rPr>
                <w:b/>
                <w:iCs/>
                <w:sz w:val="16"/>
                <w:szCs w:val="16"/>
                <w:u w:val="single"/>
                <w:lang w:val="en-GB"/>
              </w:rPr>
            </w:pPr>
          </w:p>
          <w:p w14:paraId="7A540BB5" w14:textId="77777777" w:rsidR="00A674CA" w:rsidRPr="00E8394D" w:rsidRDefault="00A674CA" w:rsidP="00BC1D6E">
            <w:pPr>
              <w:rPr>
                <w:b/>
                <w:iCs/>
                <w:sz w:val="16"/>
                <w:szCs w:val="16"/>
                <w:u w:val="single"/>
                <w:lang w:val="en-GB"/>
              </w:rPr>
            </w:pPr>
            <w:r w:rsidRPr="00E8394D">
              <w:rPr>
                <w:b/>
                <w:iCs/>
                <w:sz w:val="16"/>
                <w:szCs w:val="16"/>
                <w:u w:val="single"/>
                <w:lang w:val="en-GB"/>
              </w:rPr>
              <w:t xml:space="preserve">Baseline: </w:t>
            </w:r>
          </w:p>
          <w:p w14:paraId="055215AB" w14:textId="77777777" w:rsidR="00A674CA" w:rsidRPr="00E8394D" w:rsidRDefault="004B389D" w:rsidP="00BC1D6E">
            <w:pPr>
              <w:rPr>
                <w:iCs/>
                <w:sz w:val="16"/>
                <w:szCs w:val="16"/>
                <w:lang w:val="en-GB"/>
              </w:rPr>
            </w:pPr>
            <w:r>
              <w:rPr>
                <w:iCs/>
                <w:sz w:val="16"/>
                <w:szCs w:val="16"/>
                <w:lang w:val="en-GB"/>
              </w:rPr>
              <w:t>GEF</w:t>
            </w:r>
            <w:r w:rsidR="00A674CA" w:rsidRPr="00E8394D">
              <w:rPr>
                <w:iCs/>
                <w:sz w:val="16"/>
                <w:szCs w:val="16"/>
                <w:lang w:val="en-GB"/>
              </w:rPr>
              <w:t xml:space="preserve"> </w:t>
            </w:r>
            <w:r w:rsidR="00947E64">
              <w:rPr>
                <w:iCs/>
                <w:sz w:val="16"/>
                <w:szCs w:val="16"/>
                <w:lang w:val="en-GB"/>
              </w:rPr>
              <w:t xml:space="preserve">- </w:t>
            </w:r>
            <w:r w:rsidR="00A674CA" w:rsidRPr="00E8394D">
              <w:rPr>
                <w:iCs/>
                <w:sz w:val="16"/>
                <w:szCs w:val="16"/>
                <w:lang w:val="en-GB"/>
              </w:rPr>
              <w:t xml:space="preserve">$26,736,677 (2012-2017) </w:t>
            </w:r>
          </w:p>
          <w:p w14:paraId="3915FECA" w14:textId="77777777" w:rsidR="00A674CA" w:rsidRPr="00E8394D" w:rsidRDefault="00A674CA" w:rsidP="00BC1D6E">
            <w:pPr>
              <w:rPr>
                <w:iCs/>
                <w:sz w:val="16"/>
                <w:szCs w:val="16"/>
                <w:lang w:val="en-GB"/>
              </w:rPr>
            </w:pPr>
            <w:r w:rsidRPr="00E8394D">
              <w:rPr>
                <w:iCs/>
                <w:sz w:val="16"/>
                <w:szCs w:val="16"/>
                <w:lang w:val="en-GB"/>
              </w:rPr>
              <w:t>Green Climate Fund - $0 (2012-2017)</w:t>
            </w:r>
          </w:p>
          <w:p w14:paraId="1BDC51AB" w14:textId="77777777" w:rsidR="00A674CA" w:rsidRPr="00E8394D" w:rsidRDefault="00A674CA" w:rsidP="00BC1D6E">
            <w:pPr>
              <w:rPr>
                <w:b/>
                <w:iCs/>
                <w:sz w:val="16"/>
                <w:szCs w:val="16"/>
                <w:lang w:val="en-GB"/>
              </w:rPr>
            </w:pPr>
            <w:r w:rsidRPr="00E8394D">
              <w:rPr>
                <w:b/>
                <w:iCs/>
                <w:sz w:val="16"/>
                <w:szCs w:val="16"/>
                <w:u w:val="single"/>
                <w:lang w:val="en-GB"/>
              </w:rPr>
              <w:t>Target:</w:t>
            </w:r>
            <w:r w:rsidRPr="00E8394D">
              <w:rPr>
                <w:b/>
                <w:iCs/>
                <w:sz w:val="16"/>
                <w:szCs w:val="16"/>
                <w:lang w:val="en-GB"/>
              </w:rPr>
              <w:t xml:space="preserve"> </w:t>
            </w:r>
          </w:p>
          <w:p w14:paraId="6E35CF21" w14:textId="77777777" w:rsidR="00A674CA" w:rsidRPr="00E8394D" w:rsidRDefault="00A674CA" w:rsidP="00BC1D6E">
            <w:pPr>
              <w:rPr>
                <w:iCs/>
                <w:sz w:val="16"/>
                <w:szCs w:val="16"/>
                <w:lang w:val="en-GB"/>
              </w:rPr>
            </w:pPr>
            <w:r w:rsidRPr="00E8394D">
              <w:rPr>
                <w:iCs/>
                <w:sz w:val="16"/>
                <w:szCs w:val="16"/>
                <w:lang w:val="en-GB"/>
              </w:rPr>
              <w:t>TBD</w:t>
            </w:r>
            <w:r w:rsidR="00BB44D5" w:rsidRPr="00E8394D">
              <w:rPr>
                <w:iCs/>
                <w:sz w:val="16"/>
                <w:szCs w:val="16"/>
                <w:lang w:val="en-GB"/>
              </w:rPr>
              <w:t xml:space="preserve"> </w:t>
            </w:r>
          </w:p>
          <w:p w14:paraId="2158262B" w14:textId="77777777" w:rsidR="00A674CA" w:rsidRPr="00E8394D" w:rsidRDefault="00A674CA" w:rsidP="00BC1D6E">
            <w:pPr>
              <w:rPr>
                <w:iCs/>
                <w:sz w:val="16"/>
                <w:szCs w:val="16"/>
                <w:lang w:val="en-GB"/>
              </w:rPr>
            </w:pPr>
          </w:p>
          <w:p w14:paraId="4DBCF8CA" w14:textId="77777777" w:rsidR="00A674CA" w:rsidRPr="00E8394D" w:rsidRDefault="00A674CA" w:rsidP="00BC1D6E">
            <w:pPr>
              <w:rPr>
                <w:b/>
                <w:bCs/>
                <w:sz w:val="16"/>
                <w:szCs w:val="16"/>
                <w:lang w:val="en-GB"/>
              </w:rPr>
            </w:pPr>
          </w:p>
        </w:tc>
        <w:tc>
          <w:tcPr>
            <w:tcW w:w="589" w:type="pct"/>
            <w:gridSpan w:val="2"/>
            <w:shd w:val="clear" w:color="auto" w:fill="auto"/>
          </w:tcPr>
          <w:p w14:paraId="65A14DEC" w14:textId="77777777" w:rsidR="00A674CA" w:rsidRPr="00E8394D" w:rsidRDefault="00A674CA" w:rsidP="00BC1D6E">
            <w:pPr>
              <w:rPr>
                <w:iCs/>
                <w:sz w:val="16"/>
                <w:szCs w:val="16"/>
                <w:lang w:val="en-GB"/>
              </w:rPr>
            </w:pPr>
            <w:r w:rsidRPr="00E8394D">
              <w:rPr>
                <w:iCs/>
                <w:sz w:val="16"/>
                <w:szCs w:val="16"/>
                <w:lang w:val="en-GB"/>
              </w:rPr>
              <w:lastRenderedPageBreak/>
              <w:t>National, subnational and local level policy documents and legislation</w:t>
            </w:r>
          </w:p>
          <w:p w14:paraId="78375031" w14:textId="77777777" w:rsidR="00A674CA" w:rsidRPr="00E8394D" w:rsidRDefault="00A674CA" w:rsidP="00BC1D6E">
            <w:pPr>
              <w:ind w:left="65"/>
              <w:rPr>
                <w:rFonts w:eastAsiaTheme="minorHAnsi"/>
                <w:sz w:val="16"/>
                <w:szCs w:val="16"/>
                <w:lang w:val="en-GB"/>
              </w:rPr>
            </w:pPr>
          </w:p>
          <w:p w14:paraId="7D0C527F" w14:textId="77777777" w:rsidR="00A674CA" w:rsidRPr="00E8394D" w:rsidRDefault="00A674CA" w:rsidP="00BC1D6E">
            <w:pPr>
              <w:ind w:left="65"/>
              <w:rPr>
                <w:rFonts w:eastAsiaTheme="minorHAnsi"/>
                <w:sz w:val="16"/>
                <w:szCs w:val="16"/>
                <w:lang w:val="en-GB"/>
              </w:rPr>
            </w:pPr>
          </w:p>
          <w:p w14:paraId="5CC5C526" w14:textId="77777777" w:rsidR="00A674CA" w:rsidRPr="00E8394D" w:rsidRDefault="00A674CA" w:rsidP="00BC1D6E">
            <w:pPr>
              <w:ind w:left="65"/>
              <w:rPr>
                <w:rFonts w:eastAsiaTheme="minorHAnsi"/>
                <w:b/>
                <w:i/>
                <w:sz w:val="16"/>
                <w:szCs w:val="16"/>
                <w:lang w:val="en-GB"/>
              </w:rPr>
            </w:pPr>
          </w:p>
          <w:p w14:paraId="2A293C1E" w14:textId="77777777" w:rsidR="00A674CA" w:rsidRPr="00E8394D" w:rsidRDefault="00A674CA" w:rsidP="00BC1D6E">
            <w:pPr>
              <w:ind w:left="65"/>
              <w:rPr>
                <w:rFonts w:eastAsiaTheme="minorHAnsi"/>
                <w:b/>
                <w:i/>
                <w:sz w:val="16"/>
                <w:szCs w:val="16"/>
                <w:lang w:val="en-GB"/>
              </w:rPr>
            </w:pPr>
          </w:p>
          <w:p w14:paraId="0AF4014D" w14:textId="77777777" w:rsidR="00A674CA" w:rsidRPr="00E8394D" w:rsidRDefault="00A674CA" w:rsidP="00BC1D6E">
            <w:pPr>
              <w:ind w:left="65"/>
              <w:rPr>
                <w:rFonts w:eastAsiaTheme="minorHAnsi"/>
                <w:sz w:val="16"/>
                <w:szCs w:val="16"/>
                <w:lang w:val="en-GB"/>
              </w:rPr>
            </w:pPr>
          </w:p>
          <w:p w14:paraId="4DE29581" w14:textId="77777777" w:rsidR="00A674CA" w:rsidRPr="00E8394D" w:rsidRDefault="00A674CA" w:rsidP="00BC1D6E">
            <w:pPr>
              <w:ind w:left="65"/>
              <w:rPr>
                <w:rFonts w:eastAsiaTheme="minorHAnsi"/>
                <w:b/>
                <w:i/>
                <w:sz w:val="16"/>
                <w:szCs w:val="16"/>
                <w:lang w:val="en-GB"/>
              </w:rPr>
            </w:pPr>
          </w:p>
          <w:p w14:paraId="088E47FD" w14:textId="77777777" w:rsidR="00A674CA" w:rsidRPr="00E8394D" w:rsidRDefault="00A674CA" w:rsidP="00BC1D6E">
            <w:pPr>
              <w:ind w:left="65"/>
              <w:rPr>
                <w:rFonts w:eastAsiaTheme="minorHAnsi"/>
                <w:b/>
                <w:i/>
                <w:sz w:val="16"/>
                <w:szCs w:val="16"/>
                <w:lang w:val="en-GB"/>
              </w:rPr>
            </w:pPr>
          </w:p>
          <w:p w14:paraId="556C6B62" w14:textId="77777777" w:rsidR="00A674CA" w:rsidRPr="00E8394D" w:rsidRDefault="00A674CA" w:rsidP="00BC1D6E">
            <w:pPr>
              <w:ind w:left="65"/>
              <w:rPr>
                <w:rFonts w:eastAsiaTheme="minorHAnsi"/>
                <w:b/>
                <w:i/>
                <w:sz w:val="16"/>
                <w:szCs w:val="16"/>
                <w:lang w:val="en-GB"/>
              </w:rPr>
            </w:pPr>
          </w:p>
          <w:p w14:paraId="3B606A77" w14:textId="77777777" w:rsidR="00A674CA" w:rsidRPr="00E8394D" w:rsidRDefault="00A674CA" w:rsidP="00BC1D6E">
            <w:pPr>
              <w:ind w:left="65"/>
              <w:rPr>
                <w:rFonts w:eastAsiaTheme="minorHAnsi"/>
                <w:b/>
                <w:i/>
                <w:sz w:val="16"/>
                <w:szCs w:val="16"/>
                <w:lang w:val="en-GB"/>
              </w:rPr>
            </w:pPr>
          </w:p>
          <w:p w14:paraId="7CE1253A" w14:textId="77777777" w:rsidR="00A674CA" w:rsidRPr="00E8394D" w:rsidRDefault="00A674CA" w:rsidP="00BC1D6E">
            <w:pPr>
              <w:ind w:left="65"/>
              <w:rPr>
                <w:rFonts w:eastAsiaTheme="minorHAnsi"/>
                <w:b/>
                <w:i/>
                <w:sz w:val="16"/>
                <w:szCs w:val="16"/>
                <w:lang w:val="en-GB"/>
              </w:rPr>
            </w:pPr>
          </w:p>
          <w:p w14:paraId="645E25A4" w14:textId="77777777" w:rsidR="00A674CA" w:rsidRPr="00E8394D" w:rsidRDefault="00A674CA" w:rsidP="00BC1D6E">
            <w:pPr>
              <w:ind w:left="65"/>
              <w:rPr>
                <w:rFonts w:eastAsiaTheme="minorHAnsi"/>
                <w:b/>
                <w:i/>
                <w:sz w:val="16"/>
                <w:szCs w:val="16"/>
                <w:lang w:val="en-GB"/>
              </w:rPr>
            </w:pPr>
          </w:p>
          <w:p w14:paraId="0AD70349" w14:textId="77777777" w:rsidR="00A674CA" w:rsidRPr="00E8394D" w:rsidRDefault="00A674CA" w:rsidP="00BC1D6E">
            <w:pPr>
              <w:ind w:left="95"/>
              <w:rPr>
                <w:b/>
                <w:sz w:val="16"/>
                <w:szCs w:val="16"/>
                <w:lang w:val="en-GB"/>
              </w:rPr>
            </w:pPr>
          </w:p>
          <w:p w14:paraId="75A5C0E9" w14:textId="77777777" w:rsidR="00A674CA" w:rsidRPr="00E8394D" w:rsidRDefault="00A674CA" w:rsidP="00BC1D6E">
            <w:pPr>
              <w:ind w:left="95"/>
              <w:rPr>
                <w:b/>
                <w:sz w:val="16"/>
                <w:szCs w:val="16"/>
                <w:lang w:val="en-GB"/>
              </w:rPr>
            </w:pPr>
          </w:p>
          <w:p w14:paraId="72E6B017" w14:textId="77777777" w:rsidR="00A674CA" w:rsidRPr="00E8394D" w:rsidRDefault="00A674CA" w:rsidP="00BC1D6E">
            <w:pPr>
              <w:ind w:left="95"/>
              <w:rPr>
                <w:b/>
                <w:sz w:val="16"/>
                <w:szCs w:val="16"/>
                <w:lang w:val="en-GB"/>
              </w:rPr>
            </w:pPr>
          </w:p>
          <w:p w14:paraId="16FE4F87" w14:textId="77777777" w:rsidR="00A674CA" w:rsidRPr="00E8394D" w:rsidRDefault="005D6D37" w:rsidP="00BC1D6E">
            <w:pPr>
              <w:ind w:left="95"/>
              <w:rPr>
                <w:iCs/>
                <w:sz w:val="16"/>
                <w:szCs w:val="16"/>
                <w:lang w:val="en-GB"/>
              </w:rPr>
            </w:pPr>
            <w:r w:rsidRPr="005D6D37">
              <w:rPr>
                <w:iCs/>
                <w:sz w:val="16"/>
                <w:szCs w:val="16"/>
                <w:lang w:val="en-GB"/>
              </w:rPr>
              <w:t>Conservation and Environment Protection Authority</w:t>
            </w:r>
            <w:r>
              <w:rPr>
                <w:iCs/>
                <w:sz w:val="16"/>
                <w:szCs w:val="16"/>
                <w:lang w:val="en-GB"/>
              </w:rPr>
              <w:t xml:space="preserve"> </w:t>
            </w:r>
            <w:r w:rsidR="007002BA">
              <w:rPr>
                <w:iCs/>
                <w:sz w:val="16"/>
                <w:szCs w:val="16"/>
                <w:lang w:val="en-GB"/>
              </w:rPr>
              <w:t>r</w:t>
            </w:r>
            <w:r w:rsidR="00A674CA" w:rsidRPr="00E8394D">
              <w:rPr>
                <w:iCs/>
                <w:sz w:val="16"/>
                <w:szCs w:val="16"/>
                <w:lang w:val="en-GB"/>
              </w:rPr>
              <w:t xml:space="preserve">egistry of protected areas and </w:t>
            </w:r>
            <w:r w:rsidR="007002BA">
              <w:rPr>
                <w:iCs/>
                <w:sz w:val="16"/>
                <w:szCs w:val="16"/>
                <w:lang w:val="en-GB"/>
              </w:rPr>
              <w:t>n</w:t>
            </w:r>
            <w:r w:rsidR="00A674CA" w:rsidRPr="00E8394D">
              <w:rPr>
                <w:iCs/>
                <w:sz w:val="16"/>
                <w:szCs w:val="16"/>
                <w:lang w:val="en-GB"/>
              </w:rPr>
              <w:t xml:space="preserve">ational </w:t>
            </w:r>
            <w:r w:rsidR="007002BA">
              <w:rPr>
                <w:iCs/>
                <w:sz w:val="16"/>
                <w:szCs w:val="16"/>
                <w:lang w:val="en-GB"/>
              </w:rPr>
              <w:t>r</w:t>
            </w:r>
            <w:r w:rsidR="00A674CA" w:rsidRPr="00E8394D">
              <w:rPr>
                <w:iCs/>
                <w:sz w:val="16"/>
                <w:szCs w:val="16"/>
                <w:lang w:val="en-GB"/>
              </w:rPr>
              <w:t xml:space="preserve">eport on </w:t>
            </w:r>
            <w:r w:rsidR="007002BA">
              <w:rPr>
                <w:iCs/>
                <w:sz w:val="16"/>
                <w:szCs w:val="16"/>
                <w:lang w:val="en-GB"/>
              </w:rPr>
              <w:t>b</w:t>
            </w:r>
            <w:r w:rsidR="00A674CA" w:rsidRPr="00E8394D">
              <w:rPr>
                <w:iCs/>
                <w:sz w:val="16"/>
                <w:szCs w:val="16"/>
                <w:lang w:val="en-GB"/>
              </w:rPr>
              <w:t xml:space="preserve">iodiversity to </w:t>
            </w:r>
            <w:r w:rsidRPr="005D6D37">
              <w:rPr>
                <w:iCs/>
                <w:sz w:val="16"/>
                <w:szCs w:val="16"/>
                <w:lang w:val="en-GB"/>
              </w:rPr>
              <w:t>United Nations Convention on Biological Diversity</w:t>
            </w:r>
          </w:p>
          <w:p w14:paraId="353DBA8C" w14:textId="77777777" w:rsidR="00A674CA" w:rsidRPr="00E8394D" w:rsidRDefault="00A674CA" w:rsidP="00BC1D6E">
            <w:pPr>
              <w:ind w:left="95"/>
              <w:rPr>
                <w:iCs/>
                <w:sz w:val="16"/>
                <w:szCs w:val="16"/>
                <w:lang w:val="en-GB"/>
              </w:rPr>
            </w:pPr>
          </w:p>
          <w:p w14:paraId="1C2A51CC" w14:textId="77777777" w:rsidR="00A674CA" w:rsidRPr="00E8394D" w:rsidRDefault="00A674CA" w:rsidP="00BC1D6E">
            <w:pPr>
              <w:ind w:left="95"/>
              <w:rPr>
                <w:iCs/>
                <w:sz w:val="16"/>
                <w:szCs w:val="16"/>
                <w:lang w:val="en-GB"/>
              </w:rPr>
            </w:pPr>
          </w:p>
          <w:p w14:paraId="1E90B6C9" w14:textId="77777777" w:rsidR="00A674CA" w:rsidRPr="00E8394D" w:rsidRDefault="00A674CA" w:rsidP="00BC1D6E">
            <w:pPr>
              <w:ind w:left="95"/>
              <w:rPr>
                <w:iCs/>
                <w:sz w:val="16"/>
                <w:szCs w:val="16"/>
                <w:lang w:val="en-GB"/>
              </w:rPr>
            </w:pPr>
          </w:p>
          <w:p w14:paraId="30C0EEEC" w14:textId="77777777" w:rsidR="00A674CA" w:rsidRPr="00E8394D" w:rsidRDefault="00A674CA" w:rsidP="00BC1D6E">
            <w:pPr>
              <w:ind w:left="95"/>
              <w:rPr>
                <w:iCs/>
                <w:sz w:val="16"/>
                <w:szCs w:val="16"/>
                <w:lang w:val="en-GB"/>
              </w:rPr>
            </w:pPr>
          </w:p>
          <w:p w14:paraId="749AAC86" w14:textId="77777777" w:rsidR="00A674CA" w:rsidRPr="00E8394D" w:rsidRDefault="00A674CA" w:rsidP="00BC1D6E">
            <w:pPr>
              <w:ind w:left="95"/>
              <w:rPr>
                <w:iCs/>
                <w:sz w:val="16"/>
                <w:szCs w:val="16"/>
                <w:lang w:val="en-GB"/>
              </w:rPr>
            </w:pPr>
          </w:p>
          <w:p w14:paraId="6CD973E2" w14:textId="77777777" w:rsidR="00A674CA" w:rsidRPr="00E8394D" w:rsidRDefault="00A674CA" w:rsidP="00BC1D6E">
            <w:pPr>
              <w:ind w:left="95"/>
              <w:rPr>
                <w:iCs/>
                <w:sz w:val="16"/>
                <w:szCs w:val="16"/>
                <w:lang w:val="en-GB"/>
              </w:rPr>
            </w:pPr>
          </w:p>
          <w:p w14:paraId="6D3F91D2" w14:textId="77777777" w:rsidR="00A674CA" w:rsidRPr="00E8394D" w:rsidRDefault="00A674CA" w:rsidP="00BC1D6E">
            <w:pPr>
              <w:ind w:left="95"/>
              <w:rPr>
                <w:iCs/>
                <w:sz w:val="16"/>
                <w:szCs w:val="16"/>
                <w:lang w:val="en-GB"/>
              </w:rPr>
            </w:pPr>
          </w:p>
          <w:p w14:paraId="3ACA14B5" w14:textId="77777777" w:rsidR="00A674CA" w:rsidRPr="00E8394D" w:rsidRDefault="00A674CA" w:rsidP="006F48CC">
            <w:pPr>
              <w:rPr>
                <w:iCs/>
                <w:sz w:val="16"/>
                <w:szCs w:val="16"/>
                <w:lang w:val="en-GB"/>
              </w:rPr>
            </w:pPr>
          </w:p>
          <w:p w14:paraId="7589417C" w14:textId="77777777" w:rsidR="006F48CC" w:rsidRPr="00E8394D" w:rsidRDefault="006F48CC" w:rsidP="006F48CC">
            <w:pPr>
              <w:rPr>
                <w:iCs/>
                <w:sz w:val="16"/>
                <w:szCs w:val="16"/>
                <w:lang w:val="en-GB"/>
              </w:rPr>
            </w:pPr>
          </w:p>
          <w:p w14:paraId="2DA23B2B" w14:textId="77777777" w:rsidR="00A674CA" w:rsidRPr="00E8394D" w:rsidRDefault="006F48CC" w:rsidP="00BC1D6E">
            <w:pPr>
              <w:ind w:left="95"/>
              <w:rPr>
                <w:iCs/>
                <w:sz w:val="16"/>
                <w:szCs w:val="16"/>
                <w:lang w:val="en-GB"/>
              </w:rPr>
            </w:pPr>
            <w:r w:rsidRPr="00E8394D">
              <w:rPr>
                <w:iCs/>
                <w:sz w:val="16"/>
                <w:szCs w:val="16"/>
                <w:lang w:val="en-GB"/>
              </w:rPr>
              <w:t xml:space="preserve">INFORM </w:t>
            </w:r>
            <w:r w:rsidR="00E06D5A">
              <w:rPr>
                <w:iCs/>
                <w:sz w:val="16"/>
                <w:szCs w:val="16"/>
                <w:lang w:val="en-GB"/>
              </w:rPr>
              <w:t xml:space="preserve">Index for risk management </w:t>
            </w:r>
            <w:r w:rsidRPr="00E8394D">
              <w:rPr>
                <w:iCs/>
                <w:sz w:val="16"/>
                <w:szCs w:val="16"/>
                <w:lang w:val="en-GB"/>
              </w:rPr>
              <w:t xml:space="preserve">country risk profiles </w:t>
            </w:r>
          </w:p>
          <w:p w14:paraId="43C4A3AF" w14:textId="77777777" w:rsidR="00A674CA" w:rsidRPr="00E8394D" w:rsidRDefault="00A674CA" w:rsidP="00BC1D6E">
            <w:pPr>
              <w:ind w:left="95"/>
              <w:rPr>
                <w:iCs/>
                <w:sz w:val="16"/>
                <w:szCs w:val="16"/>
                <w:lang w:val="en-GB"/>
              </w:rPr>
            </w:pPr>
          </w:p>
          <w:p w14:paraId="69C839DA" w14:textId="77777777" w:rsidR="00A674CA" w:rsidRPr="00E8394D" w:rsidRDefault="00A674CA" w:rsidP="00BC1D6E">
            <w:pPr>
              <w:ind w:left="95"/>
              <w:rPr>
                <w:iCs/>
                <w:sz w:val="16"/>
                <w:szCs w:val="16"/>
                <w:lang w:val="en-GB"/>
              </w:rPr>
            </w:pPr>
          </w:p>
          <w:p w14:paraId="416052C3" w14:textId="77777777" w:rsidR="00A674CA" w:rsidRPr="00E8394D" w:rsidRDefault="00A674CA" w:rsidP="00BC1D6E">
            <w:pPr>
              <w:ind w:left="95"/>
              <w:rPr>
                <w:iCs/>
                <w:sz w:val="16"/>
                <w:szCs w:val="16"/>
                <w:lang w:val="en-GB"/>
              </w:rPr>
            </w:pPr>
          </w:p>
          <w:p w14:paraId="2753D244" w14:textId="77777777" w:rsidR="00A674CA" w:rsidRPr="00E8394D" w:rsidRDefault="00A674CA" w:rsidP="00BC1D6E">
            <w:pPr>
              <w:ind w:left="95"/>
              <w:rPr>
                <w:iCs/>
                <w:sz w:val="16"/>
                <w:szCs w:val="16"/>
                <w:lang w:val="en-GB"/>
              </w:rPr>
            </w:pPr>
          </w:p>
          <w:p w14:paraId="55B642DC" w14:textId="77777777" w:rsidR="00A674CA" w:rsidRPr="00E8394D" w:rsidRDefault="00A674CA" w:rsidP="00BC1D6E">
            <w:pPr>
              <w:ind w:left="95"/>
              <w:rPr>
                <w:iCs/>
                <w:sz w:val="16"/>
                <w:szCs w:val="16"/>
                <w:lang w:val="en-GB"/>
              </w:rPr>
            </w:pPr>
          </w:p>
          <w:p w14:paraId="4C2FC8B0" w14:textId="77777777" w:rsidR="00A674CA" w:rsidRPr="00E8394D" w:rsidRDefault="00A674CA" w:rsidP="00BC1D6E">
            <w:pPr>
              <w:ind w:left="95"/>
              <w:rPr>
                <w:iCs/>
                <w:sz w:val="16"/>
                <w:szCs w:val="16"/>
                <w:lang w:val="en-GB"/>
              </w:rPr>
            </w:pPr>
          </w:p>
          <w:p w14:paraId="6032EED0" w14:textId="77777777" w:rsidR="00A674CA" w:rsidRPr="00E8394D" w:rsidRDefault="00A674CA" w:rsidP="00BC1D6E">
            <w:pPr>
              <w:ind w:left="95"/>
              <w:rPr>
                <w:iCs/>
                <w:sz w:val="16"/>
                <w:szCs w:val="16"/>
                <w:lang w:val="en-GB"/>
              </w:rPr>
            </w:pPr>
          </w:p>
          <w:p w14:paraId="1D008A77" w14:textId="77777777" w:rsidR="00A674CA" w:rsidRPr="00E8394D" w:rsidRDefault="00A674CA" w:rsidP="00BC1D6E">
            <w:pPr>
              <w:ind w:left="95"/>
              <w:rPr>
                <w:iCs/>
                <w:sz w:val="16"/>
                <w:szCs w:val="16"/>
                <w:lang w:val="en-GB"/>
              </w:rPr>
            </w:pPr>
          </w:p>
          <w:p w14:paraId="38CCB619" w14:textId="77777777" w:rsidR="00A674CA" w:rsidRPr="00E8394D" w:rsidRDefault="00A674CA" w:rsidP="00BC1D6E">
            <w:pPr>
              <w:ind w:left="95"/>
              <w:rPr>
                <w:iCs/>
                <w:sz w:val="16"/>
                <w:szCs w:val="16"/>
                <w:lang w:val="en-GB"/>
              </w:rPr>
            </w:pPr>
          </w:p>
          <w:p w14:paraId="20729FC5" w14:textId="77777777" w:rsidR="00A674CA" w:rsidRPr="00E8394D" w:rsidRDefault="00A674CA" w:rsidP="00BC1D6E">
            <w:pPr>
              <w:ind w:left="95"/>
              <w:rPr>
                <w:iCs/>
                <w:sz w:val="16"/>
                <w:szCs w:val="16"/>
                <w:lang w:val="en-GB"/>
              </w:rPr>
            </w:pPr>
          </w:p>
          <w:p w14:paraId="6868155E" w14:textId="77777777" w:rsidR="00A674CA" w:rsidRPr="00E8394D" w:rsidRDefault="00A674CA" w:rsidP="00BC1D6E">
            <w:pPr>
              <w:ind w:left="95"/>
              <w:rPr>
                <w:iCs/>
                <w:sz w:val="16"/>
                <w:szCs w:val="16"/>
                <w:lang w:val="en-GB"/>
              </w:rPr>
            </w:pPr>
          </w:p>
          <w:p w14:paraId="7C0897F4" w14:textId="77777777" w:rsidR="00A674CA" w:rsidRPr="00E8394D" w:rsidRDefault="00A674CA" w:rsidP="00BC1D6E">
            <w:pPr>
              <w:ind w:left="95"/>
              <w:rPr>
                <w:b/>
                <w:sz w:val="16"/>
                <w:szCs w:val="16"/>
                <w:lang w:val="en-GB"/>
              </w:rPr>
            </w:pPr>
            <w:r w:rsidRPr="00E8394D">
              <w:rPr>
                <w:iCs/>
                <w:sz w:val="16"/>
                <w:szCs w:val="16"/>
                <w:lang w:val="en-GB"/>
              </w:rPr>
              <w:lastRenderedPageBreak/>
              <w:t>U</w:t>
            </w:r>
            <w:r w:rsidR="007002BA">
              <w:rPr>
                <w:iCs/>
                <w:sz w:val="16"/>
                <w:szCs w:val="16"/>
                <w:lang w:val="en-GB"/>
              </w:rPr>
              <w:t xml:space="preserve">nited </w:t>
            </w:r>
            <w:r w:rsidRPr="00E8394D">
              <w:rPr>
                <w:iCs/>
                <w:sz w:val="16"/>
                <w:szCs w:val="16"/>
                <w:lang w:val="en-GB"/>
              </w:rPr>
              <w:t>N</w:t>
            </w:r>
            <w:r w:rsidR="007002BA">
              <w:rPr>
                <w:iCs/>
                <w:sz w:val="16"/>
                <w:szCs w:val="16"/>
                <w:lang w:val="en-GB"/>
              </w:rPr>
              <w:t>ations</w:t>
            </w:r>
            <w:r w:rsidRPr="00E8394D">
              <w:rPr>
                <w:iCs/>
                <w:sz w:val="16"/>
                <w:szCs w:val="16"/>
                <w:lang w:val="en-GB"/>
              </w:rPr>
              <w:t xml:space="preserve"> </w:t>
            </w:r>
            <w:r w:rsidR="007002BA">
              <w:rPr>
                <w:iCs/>
                <w:sz w:val="16"/>
                <w:szCs w:val="16"/>
                <w:lang w:val="en-GB"/>
              </w:rPr>
              <w:t>p</w:t>
            </w:r>
            <w:r w:rsidRPr="00E8394D">
              <w:rPr>
                <w:iCs/>
                <w:sz w:val="16"/>
                <w:szCs w:val="16"/>
                <w:lang w:val="en-GB"/>
              </w:rPr>
              <w:t xml:space="preserve">roject </w:t>
            </w:r>
            <w:r w:rsidR="007002BA">
              <w:rPr>
                <w:iCs/>
                <w:sz w:val="16"/>
                <w:szCs w:val="16"/>
                <w:lang w:val="en-GB"/>
              </w:rPr>
              <w:t>r</w:t>
            </w:r>
            <w:r w:rsidRPr="00E8394D">
              <w:rPr>
                <w:iCs/>
                <w:sz w:val="16"/>
                <w:szCs w:val="16"/>
                <w:lang w:val="en-GB"/>
              </w:rPr>
              <w:t>eports</w:t>
            </w:r>
            <w:r w:rsidR="001A43C5">
              <w:rPr>
                <w:iCs/>
                <w:sz w:val="16"/>
                <w:szCs w:val="16"/>
                <w:lang w:val="en-GB"/>
              </w:rPr>
              <w:t>;</w:t>
            </w:r>
            <w:r w:rsidRPr="00E8394D">
              <w:rPr>
                <w:iCs/>
                <w:sz w:val="16"/>
                <w:szCs w:val="16"/>
                <w:lang w:val="en-GB"/>
              </w:rPr>
              <w:t xml:space="preserve"> GEF </w:t>
            </w:r>
            <w:r w:rsidR="007002BA">
              <w:rPr>
                <w:iCs/>
                <w:sz w:val="16"/>
                <w:szCs w:val="16"/>
                <w:lang w:val="en-GB"/>
              </w:rPr>
              <w:t>and</w:t>
            </w:r>
            <w:r w:rsidRPr="00E8394D">
              <w:rPr>
                <w:iCs/>
                <w:sz w:val="16"/>
                <w:szCs w:val="16"/>
                <w:lang w:val="en-GB"/>
              </w:rPr>
              <w:t xml:space="preserve"> </w:t>
            </w:r>
            <w:r w:rsidR="00947E64" w:rsidRPr="00E8394D">
              <w:rPr>
                <w:iCs/>
                <w:sz w:val="16"/>
                <w:szCs w:val="16"/>
                <w:lang w:val="en-GB"/>
              </w:rPr>
              <w:t>Green Climate Fund</w:t>
            </w:r>
            <w:r w:rsidRPr="00E8394D">
              <w:rPr>
                <w:iCs/>
                <w:sz w:val="16"/>
                <w:szCs w:val="16"/>
                <w:lang w:val="en-GB"/>
              </w:rPr>
              <w:t xml:space="preserve"> </w:t>
            </w:r>
            <w:r w:rsidR="00947E64">
              <w:rPr>
                <w:iCs/>
                <w:sz w:val="16"/>
                <w:szCs w:val="16"/>
                <w:lang w:val="en-GB"/>
              </w:rPr>
              <w:t>a</w:t>
            </w:r>
            <w:r w:rsidRPr="00E8394D">
              <w:rPr>
                <w:iCs/>
                <w:sz w:val="16"/>
                <w:szCs w:val="16"/>
                <w:lang w:val="en-GB"/>
              </w:rPr>
              <w:t xml:space="preserve">nnual </w:t>
            </w:r>
            <w:r w:rsidR="00947E64">
              <w:rPr>
                <w:iCs/>
                <w:sz w:val="16"/>
                <w:szCs w:val="16"/>
                <w:lang w:val="en-GB"/>
              </w:rPr>
              <w:t>f</w:t>
            </w:r>
            <w:r w:rsidRPr="00E8394D">
              <w:rPr>
                <w:iCs/>
                <w:sz w:val="16"/>
                <w:szCs w:val="16"/>
                <w:lang w:val="en-GB"/>
              </w:rPr>
              <w:t xml:space="preserve">inancial </w:t>
            </w:r>
            <w:r w:rsidR="00947E64">
              <w:rPr>
                <w:iCs/>
                <w:sz w:val="16"/>
                <w:szCs w:val="16"/>
                <w:lang w:val="en-GB"/>
              </w:rPr>
              <w:t>r</w:t>
            </w:r>
            <w:r w:rsidRPr="00E8394D">
              <w:rPr>
                <w:iCs/>
                <w:sz w:val="16"/>
                <w:szCs w:val="16"/>
                <w:lang w:val="en-GB"/>
              </w:rPr>
              <w:t>eporting</w:t>
            </w:r>
          </w:p>
        </w:tc>
        <w:tc>
          <w:tcPr>
            <w:tcW w:w="1882" w:type="pct"/>
            <w:gridSpan w:val="2"/>
            <w:shd w:val="clear" w:color="auto" w:fill="auto"/>
            <w:tcMar>
              <w:top w:w="72" w:type="dxa"/>
              <w:left w:w="144" w:type="dxa"/>
              <w:bottom w:w="72" w:type="dxa"/>
              <w:right w:w="144" w:type="dxa"/>
            </w:tcMar>
          </w:tcPr>
          <w:p w14:paraId="70BA5F8D" w14:textId="77777777" w:rsidR="00A674CA" w:rsidRPr="00E8394D" w:rsidRDefault="00A674CA" w:rsidP="00BC1D6E">
            <w:pPr>
              <w:pStyle w:val="Default"/>
              <w:rPr>
                <w:rFonts w:ascii="Times New Roman" w:hAnsi="Times New Roman" w:cs="Times New Roman"/>
                <w:b/>
                <w:iCs/>
                <w:color w:val="auto"/>
                <w:sz w:val="16"/>
                <w:szCs w:val="16"/>
                <w:lang w:val="en-GB" w:eastAsia="en-US"/>
              </w:rPr>
            </w:pPr>
            <w:r w:rsidRPr="00E8394D">
              <w:rPr>
                <w:rFonts w:ascii="Times New Roman" w:hAnsi="Times New Roman" w:cs="Times New Roman"/>
                <w:b/>
                <w:color w:val="auto"/>
                <w:sz w:val="16"/>
                <w:szCs w:val="16"/>
                <w:lang w:val="en-GB" w:eastAsia="en-US"/>
              </w:rPr>
              <w:lastRenderedPageBreak/>
              <w:t xml:space="preserve">OUTPUT 3.1: </w:t>
            </w:r>
            <w:r w:rsidRPr="00E8394D">
              <w:rPr>
                <w:rFonts w:ascii="Times New Roman" w:hAnsi="Times New Roman" w:cs="Times New Roman"/>
                <w:b/>
                <w:iCs/>
                <w:color w:val="auto"/>
                <w:sz w:val="16"/>
                <w:szCs w:val="16"/>
                <w:lang w:val="en-GB" w:eastAsia="en-US"/>
              </w:rPr>
              <w:t>Legislation, policy and strategic plans for climate</w:t>
            </w:r>
            <w:r w:rsidR="00736E5C">
              <w:rPr>
                <w:rFonts w:ascii="Times New Roman" w:hAnsi="Times New Roman" w:cs="Times New Roman"/>
                <w:b/>
                <w:iCs/>
                <w:color w:val="auto"/>
                <w:sz w:val="16"/>
                <w:szCs w:val="16"/>
                <w:lang w:val="en-GB" w:eastAsia="en-US"/>
              </w:rPr>
              <w:t>-</w:t>
            </w:r>
            <w:r w:rsidRPr="00E8394D">
              <w:rPr>
                <w:rFonts w:ascii="Times New Roman" w:hAnsi="Times New Roman" w:cs="Times New Roman"/>
                <w:b/>
                <w:iCs/>
                <w:color w:val="auto"/>
                <w:sz w:val="16"/>
                <w:szCs w:val="16"/>
                <w:lang w:val="en-GB" w:eastAsia="en-US"/>
              </w:rPr>
              <w:t>proofing, conservation, sustainable use of natural resources and disaster risk management in place</w:t>
            </w:r>
            <w:r w:rsidR="00736E5C">
              <w:rPr>
                <w:rFonts w:ascii="Times New Roman" w:hAnsi="Times New Roman" w:cs="Times New Roman"/>
                <w:b/>
                <w:iCs/>
                <w:color w:val="auto"/>
                <w:sz w:val="16"/>
                <w:szCs w:val="16"/>
                <w:lang w:val="en-GB" w:eastAsia="en-US"/>
              </w:rPr>
              <w:t>.</w:t>
            </w:r>
          </w:p>
          <w:p w14:paraId="38F0A46D" w14:textId="77777777" w:rsidR="00A674CA" w:rsidRPr="00E8394D" w:rsidRDefault="00A674CA" w:rsidP="00BC1D6E">
            <w:pPr>
              <w:pStyle w:val="Default"/>
              <w:rPr>
                <w:rFonts w:ascii="Times New Roman" w:hAnsi="Times New Roman" w:cs="Times New Roman"/>
                <w:color w:val="auto"/>
                <w:sz w:val="16"/>
                <w:szCs w:val="16"/>
                <w:lang w:val="en-GB"/>
              </w:rPr>
            </w:pPr>
          </w:p>
          <w:p w14:paraId="02E0BB59" w14:textId="77777777" w:rsidR="00A674CA" w:rsidRPr="00E8394D" w:rsidRDefault="00A674CA" w:rsidP="00BC1D6E">
            <w:pPr>
              <w:pStyle w:val="Default"/>
              <w:rPr>
                <w:rFonts w:ascii="Times New Roman" w:hAnsi="Times New Roman" w:cs="Times New Roman"/>
                <w:iCs/>
                <w:color w:val="auto"/>
                <w:sz w:val="16"/>
                <w:szCs w:val="16"/>
                <w:lang w:val="en-GB" w:eastAsia="en-US"/>
              </w:rPr>
            </w:pPr>
            <w:r w:rsidRPr="00E8394D">
              <w:rPr>
                <w:rFonts w:ascii="Times New Roman" w:hAnsi="Times New Roman" w:cs="Times New Roman"/>
                <w:b/>
                <w:color w:val="auto"/>
                <w:sz w:val="16"/>
                <w:szCs w:val="16"/>
                <w:lang w:val="en-GB"/>
              </w:rPr>
              <w:lastRenderedPageBreak/>
              <w:t>3.1.1</w:t>
            </w:r>
            <w:r w:rsidRPr="00E8394D">
              <w:rPr>
                <w:rFonts w:ascii="Times New Roman" w:hAnsi="Times New Roman" w:cs="Times New Roman"/>
                <w:iCs/>
                <w:color w:val="auto"/>
                <w:sz w:val="16"/>
                <w:szCs w:val="16"/>
                <w:lang w:val="en-GB" w:eastAsia="en-US"/>
              </w:rPr>
              <w:t xml:space="preserve">: Number of strategic plans and regulatory frameworks developed (covering </w:t>
            </w:r>
            <w:r w:rsidR="00AA6045">
              <w:rPr>
                <w:rFonts w:ascii="Times New Roman" w:hAnsi="Times New Roman" w:cs="Times New Roman"/>
                <w:iCs/>
                <w:color w:val="auto"/>
                <w:sz w:val="16"/>
                <w:szCs w:val="16"/>
                <w:lang w:val="en-GB" w:eastAsia="en-US"/>
              </w:rPr>
              <w:t>p</w:t>
            </w:r>
            <w:r w:rsidRPr="00E8394D">
              <w:rPr>
                <w:rFonts w:ascii="Times New Roman" w:hAnsi="Times New Roman" w:cs="Times New Roman"/>
                <w:iCs/>
                <w:color w:val="auto"/>
                <w:sz w:val="16"/>
                <w:szCs w:val="16"/>
                <w:lang w:val="en-GB" w:eastAsia="en-US"/>
              </w:rPr>
              <w:t xml:space="preserve">rotect </w:t>
            </w:r>
            <w:r w:rsidR="00AA6045">
              <w:rPr>
                <w:rFonts w:ascii="Times New Roman" w:hAnsi="Times New Roman" w:cs="Times New Roman"/>
                <w:iCs/>
                <w:color w:val="auto"/>
                <w:sz w:val="16"/>
                <w:szCs w:val="16"/>
                <w:lang w:val="en-GB" w:eastAsia="en-US"/>
              </w:rPr>
              <w:t>a</w:t>
            </w:r>
            <w:r w:rsidRPr="00E8394D">
              <w:rPr>
                <w:rFonts w:ascii="Times New Roman" w:hAnsi="Times New Roman" w:cs="Times New Roman"/>
                <w:iCs/>
                <w:color w:val="auto"/>
                <w:sz w:val="16"/>
                <w:szCs w:val="16"/>
                <w:lang w:val="en-GB" w:eastAsia="en-US"/>
              </w:rPr>
              <w:t xml:space="preserve">reas, REDD +, </w:t>
            </w:r>
            <w:r w:rsidR="00AA6045">
              <w:rPr>
                <w:rFonts w:ascii="Times New Roman" w:hAnsi="Times New Roman" w:cs="Times New Roman"/>
                <w:iCs/>
                <w:color w:val="auto"/>
                <w:sz w:val="16"/>
                <w:szCs w:val="16"/>
                <w:lang w:val="en-GB" w:eastAsia="en-US"/>
              </w:rPr>
              <w:t>d</w:t>
            </w:r>
            <w:r w:rsidRPr="00E8394D">
              <w:rPr>
                <w:rFonts w:ascii="Times New Roman" w:hAnsi="Times New Roman" w:cs="Times New Roman"/>
                <w:iCs/>
                <w:color w:val="auto"/>
                <w:sz w:val="16"/>
                <w:szCs w:val="16"/>
                <w:lang w:val="en-GB" w:eastAsia="en-US"/>
              </w:rPr>
              <w:t xml:space="preserve">isaster </w:t>
            </w:r>
            <w:r w:rsidR="00AA6045">
              <w:rPr>
                <w:rFonts w:ascii="Times New Roman" w:hAnsi="Times New Roman" w:cs="Times New Roman"/>
                <w:iCs/>
                <w:color w:val="auto"/>
                <w:sz w:val="16"/>
                <w:szCs w:val="16"/>
                <w:lang w:val="en-GB" w:eastAsia="en-US"/>
              </w:rPr>
              <w:t>r</w:t>
            </w:r>
            <w:r w:rsidRPr="00E8394D">
              <w:rPr>
                <w:rFonts w:ascii="Times New Roman" w:hAnsi="Times New Roman" w:cs="Times New Roman"/>
                <w:iCs/>
                <w:color w:val="auto"/>
                <w:sz w:val="16"/>
                <w:szCs w:val="16"/>
                <w:lang w:val="en-GB" w:eastAsia="en-US"/>
              </w:rPr>
              <w:t xml:space="preserve">isk </w:t>
            </w:r>
            <w:r w:rsidR="00AA6045">
              <w:rPr>
                <w:rFonts w:ascii="Times New Roman" w:hAnsi="Times New Roman" w:cs="Times New Roman"/>
                <w:iCs/>
                <w:color w:val="auto"/>
                <w:sz w:val="16"/>
                <w:szCs w:val="16"/>
                <w:lang w:val="en-GB" w:eastAsia="en-US"/>
              </w:rPr>
              <w:t>m</w:t>
            </w:r>
            <w:r w:rsidRPr="00E8394D">
              <w:rPr>
                <w:rFonts w:ascii="Times New Roman" w:hAnsi="Times New Roman" w:cs="Times New Roman"/>
                <w:iCs/>
                <w:color w:val="auto"/>
                <w:sz w:val="16"/>
                <w:szCs w:val="16"/>
                <w:lang w:val="en-GB" w:eastAsia="en-US"/>
              </w:rPr>
              <w:t>anagement)</w:t>
            </w:r>
            <w:r w:rsidR="007002BA">
              <w:rPr>
                <w:rFonts w:ascii="Times New Roman" w:hAnsi="Times New Roman" w:cs="Times New Roman"/>
                <w:iCs/>
                <w:color w:val="auto"/>
                <w:sz w:val="16"/>
                <w:szCs w:val="16"/>
                <w:lang w:val="en-GB" w:eastAsia="en-US"/>
              </w:rPr>
              <w:t>.</w:t>
            </w:r>
          </w:p>
          <w:p w14:paraId="027FFF55" w14:textId="77777777" w:rsidR="00A674CA" w:rsidRPr="00E8394D" w:rsidRDefault="00A674CA" w:rsidP="00BC1D6E">
            <w:pPr>
              <w:pStyle w:val="Default"/>
              <w:rPr>
                <w:rFonts w:ascii="Times New Roman" w:hAnsi="Times New Roman" w:cs="Times New Roman"/>
                <w:iCs/>
                <w:color w:val="auto"/>
                <w:sz w:val="16"/>
                <w:szCs w:val="16"/>
                <w:lang w:val="en-GB"/>
              </w:rPr>
            </w:pPr>
            <w:r w:rsidRPr="00E8394D">
              <w:rPr>
                <w:rFonts w:ascii="Times New Roman" w:hAnsi="Times New Roman" w:cs="Times New Roman"/>
                <w:b/>
                <w:color w:val="auto"/>
                <w:sz w:val="16"/>
                <w:szCs w:val="16"/>
                <w:lang w:val="en-GB"/>
              </w:rPr>
              <w:t>Baseline:</w:t>
            </w:r>
            <w:r w:rsidRPr="00E8394D">
              <w:rPr>
                <w:rFonts w:ascii="Times New Roman" w:hAnsi="Times New Roman" w:cs="Times New Roman"/>
                <w:color w:val="auto"/>
                <w:sz w:val="16"/>
                <w:szCs w:val="16"/>
                <w:lang w:val="en-GB"/>
              </w:rPr>
              <w:t xml:space="preserve"> </w:t>
            </w:r>
            <w:r w:rsidR="004B6D7A" w:rsidRPr="00E8394D">
              <w:rPr>
                <w:rFonts w:ascii="Times New Roman" w:hAnsi="Times New Roman" w:cs="Times New Roman"/>
                <w:color w:val="auto"/>
                <w:sz w:val="16"/>
                <w:szCs w:val="16"/>
                <w:lang w:val="en-GB"/>
              </w:rPr>
              <w:t>1</w:t>
            </w:r>
            <w:r w:rsidRPr="00E8394D">
              <w:rPr>
                <w:rFonts w:ascii="Times New Roman" w:hAnsi="Times New Roman" w:cs="Times New Roman"/>
                <w:color w:val="auto"/>
                <w:sz w:val="16"/>
                <w:szCs w:val="16"/>
                <w:lang w:val="en-GB"/>
              </w:rPr>
              <w:t xml:space="preserve"> </w:t>
            </w:r>
          </w:p>
          <w:p w14:paraId="037303A0" w14:textId="77777777" w:rsidR="00A674CA" w:rsidRPr="00E8394D" w:rsidRDefault="00A674CA" w:rsidP="00BC1D6E">
            <w:pPr>
              <w:pStyle w:val="Default"/>
              <w:rPr>
                <w:rFonts w:ascii="Times New Roman" w:hAnsi="Times New Roman" w:cs="Times New Roman"/>
                <w:iCs/>
                <w:color w:val="auto"/>
                <w:sz w:val="16"/>
                <w:szCs w:val="16"/>
                <w:lang w:val="en-GB"/>
              </w:rPr>
            </w:pPr>
            <w:r w:rsidRPr="00E8394D">
              <w:rPr>
                <w:rFonts w:ascii="Times New Roman" w:hAnsi="Times New Roman" w:cs="Times New Roman"/>
                <w:b/>
                <w:iCs/>
                <w:color w:val="auto"/>
                <w:sz w:val="16"/>
                <w:szCs w:val="16"/>
                <w:lang w:val="en-GB"/>
              </w:rPr>
              <w:t>Target</w:t>
            </w:r>
            <w:r w:rsidRPr="00E8394D">
              <w:rPr>
                <w:rFonts w:ascii="Times New Roman" w:hAnsi="Times New Roman" w:cs="Times New Roman"/>
                <w:iCs/>
                <w:color w:val="auto"/>
                <w:sz w:val="16"/>
                <w:szCs w:val="16"/>
                <w:lang w:val="en-GB"/>
              </w:rPr>
              <w:t xml:space="preserve">: 4 (1 REDD+ </w:t>
            </w:r>
            <w:r w:rsidR="00AA6045">
              <w:rPr>
                <w:rFonts w:ascii="Times New Roman" w:hAnsi="Times New Roman" w:cs="Times New Roman"/>
                <w:iCs/>
                <w:color w:val="auto"/>
                <w:sz w:val="16"/>
                <w:szCs w:val="16"/>
                <w:lang w:val="en-GB"/>
              </w:rPr>
              <w:t>s</w:t>
            </w:r>
            <w:r w:rsidRPr="00E8394D">
              <w:rPr>
                <w:rFonts w:ascii="Times New Roman" w:hAnsi="Times New Roman" w:cs="Times New Roman"/>
                <w:iCs/>
                <w:color w:val="auto"/>
                <w:sz w:val="16"/>
                <w:szCs w:val="16"/>
                <w:lang w:val="en-GB"/>
              </w:rPr>
              <w:t xml:space="preserve">trategy; 2 </w:t>
            </w:r>
            <w:r w:rsidR="00AA6045">
              <w:rPr>
                <w:rFonts w:ascii="Times New Roman" w:hAnsi="Times New Roman" w:cs="Times New Roman"/>
                <w:iCs/>
                <w:color w:val="auto"/>
                <w:sz w:val="16"/>
                <w:szCs w:val="16"/>
                <w:lang w:val="en-GB"/>
              </w:rPr>
              <w:t>p</w:t>
            </w:r>
            <w:r w:rsidRPr="00E8394D">
              <w:rPr>
                <w:rFonts w:ascii="Times New Roman" w:hAnsi="Times New Roman" w:cs="Times New Roman"/>
                <w:iCs/>
                <w:color w:val="auto"/>
                <w:sz w:val="16"/>
                <w:szCs w:val="16"/>
                <w:lang w:val="en-GB"/>
              </w:rPr>
              <w:t xml:space="preserve">rotected </w:t>
            </w:r>
            <w:r w:rsidR="007002BA">
              <w:rPr>
                <w:rFonts w:ascii="Times New Roman" w:hAnsi="Times New Roman" w:cs="Times New Roman"/>
                <w:iCs/>
                <w:color w:val="auto"/>
                <w:sz w:val="16"/>
                <w:szCs w:val="16"/>
                <w:lang w:val="en-GB"/>
              </w:rPr>
              <w:t>a</w:t>
            </w:r>
            <w:r w:rsidRPr="00E8394D">
              <w:rPr>
                <w:rFonts w:ascii="Times New Roman" w:hAnsi="Times New Roman" w:cs="Times New Roman"/>
                <w:iCs/>
                <w:color w:val="auto"/>
                <w:sz w:val="16"/>
                <w:szCs w:val="16"/>
                <w:lang w:val="en-GB"/>
              </w:rPr>
              <w:t xml:space="preserve">reas; 1 </w:t>
            </w:r>
            <w:r w:rsidR="00AA6045">
              <w:rPr>
                <w:rFonts w:ascii="Times New Roman" w:hAnsi="Times New Roman" w:cs="Times New Roman"/>
                <w:iCs/>
                <w:color w:val="auto"/>
                <w:sz w:val="16"/>
                <w:szCs w:val="16"/>
                <w:lang w:val="en-GB"/>
              </w:rPr>
              <w:t>disaster risk management</w:t>
            </w:r>
            <w:r w:rsidR="00AA6045" w:rsidRPr="00E8394D">
              <w:rPr>
                <w:rFonts w:ascii="Times New Roman" w:hAnsi="Times New Roman" w:cs="Times New Roman"/>
                <w:iCs/>
                <w:color w:val="auto"/>
                <w:sz w:val="16"/>
                <w:szCs w:val="16"/>
                <w:lang w:val="en-GB"/>
              </w:rPr>
              <w:t xml:space="preserve"> </w:t>
            </w:r>
            <w:r w:rsidR="00AA6045">
              <w:rPr>
                <w:rFonts w:ascii="Times New Roman" w:hAnsi="Times New Roman" w:cs="Times New Roman"/>
                <w:iCs/>
                <w:color w:val="auto"/>
                <w:sz w:val="16"/>
                <w:szCs w:val="16"/>
                <w:lang w:val="en-GB"/>
              </w:rPr>
              <w:t>f</w:t>
            </w:r>
            <w:r w:rsidRPr="00E8394D">
              <w:rPr>
                <w:rFonts w:ascii="Times New Roman" w:hAnsi="Times New Roman" w:cs="Times New Roman"/>
                <w:iCs/>
                <w:color w:val="auto"/>
                <w:sz w:val="16"/>
                <w:szCs w:val="16"/>
                <w:lang w:val="en-GB"/>
              </w:rPr>
              <w:t>ramework)</w:t>
            </w:r>
          </w:p>
          <w:p w14:paraId="6E5ECDE2" w14:textId="77777777" w:rsidR="00B51686" w:rsidRPr="00E8394D" w:rsidRDefault="00B51686" w:rsidP="00B51686">
            <w:pPr>
              <w:tabs>
                <w:tab w:val="left" w:pos="958"/>
              </w:tabs>
              <w:rPr>
                <w:sz w:val="16"/>
                <w:szCs w:val="16"/>
                <w:lang w:val="en-GB"/>
              </w:rPr>
            </w:pPr>
            <w:r w:rsidRPr="00E8394D">
              <w:rPr>
                <w:b/>
                <w:sz w:val="16"/>
                <w:szCs w:val="16"/>
                <w:lang w:val="en-GB"/>
              </w:rPr>
              <w:t>Source</w:t>
            </w:r>
            <w:r w:rsidRPr="00E8394D">
              <w:rPr>
                <w:sz w:val="16"/>
                <w:szCs w:val="16"/>
                <w:lang w:val="en-GB"/>
              </w:rPr>
              <w:t>: UNDP project reports, biannually</w:t>
            </w:r>
          </w:p>
          <w:p w14:paraId="460D5B97" w14:textId="77777777" w:rsidR="00A674CA" w:rsidRPr="00E8394D" w:rsidRDefault="00A674CA" w:rsidP="00BC1D6E">
            <w:pPr>
              <w:pStyle w:val="Default"/>
              <w:rPr>
                <w:rFonts w:ascii="Times New Roman" w:hAnsi="Times New Roman" w:cs="Times New Roman"/>
                <w:iCs/>
                <w:color w:val="auto"/>
                <w:sz w:val="16"/>
                <w:szCs w:val="16"/>
                <w:lang w:val="en-GB"/>
              </w:rPr>
            </w:pPr>
          </w:p>
          <w:p w14:paraId="097F7FA8" w14:textId="77777777" w:rsidR="00A674CA" w:rsidRPr="00E8394D" w:rsidRDefault="00A674CA" w:rsidP="00BC1D6E">
            <w:pPr>
              <w:tabs>
                <w:tab w:val="left" w:pos="958"/>
              </w:tabs>
              <w:rPr>
                <w:sz w:val="16"/>
                <w:szCs w:val="16"/>
                <w:lang w:val="en-GB"/>
              </w:rPr>
            </w:pPr>
            <w:r w:rsidRPr="00E8394D">
              <w:rPr>
                <w:b/>
                <w:sz w:val="16"/>
                <w:szCs w:val="16"/>
                <w:lang w:val="en-GB"/>
              </w:rPr>
              <w:t>3.1.2:</w:t>
            </w:r>
            <w:r w:rsidRPr="00E8394D">
              <w:rPr>
                <w:sz w:val="16"/>
                <w:szCs w:val="16"/>
                <w:lang w:val="en-GB"/>
              </w:rPr>
              <w:t xml:space="preserve"> Number of </w:t>
            </w:r>
            <w:r w:rsidR="00AA6045">
              <w:rPr>
                <w:sz w:val="16"/>
                <w:szCs w:val="16"/>
                <w:lang w:val="en-GB"/>
              </w:rPr>
              <w:t>p</w:t>
            </w:r>
            <w:r w:rsidRPr="00E8394D">
              <w:rPr>
                <w:sz w:val="16"/>
                <w:szCs w:val="16"/>
                <w:lang w:val="en-GB"/>
              </w:rPr>
              <w:t xml:space="preserve">rotected </w:t>
            </w:r>
            <w:r w:rsidR="00AA6045">
              <w:rPr>
                <w:sz w:val="16"/>
                <w:szCs w:val="16"/>
                <w:lang w:val="en-GB"/>
              </w:rPr>
              <w:t>a</w:t>
            </w:r>
            <w:r w:rsidRPr="00E8394D">
              <w:rPr>
                <w:sz w:val="16"/>
                <w:szCs w:val="16"/>
                <w:lang w:val="en-GB"/>
              </w:rPr>
              <w:t>reas with effective financing systems in place</w:t>
            </w:r>
          </w:p>
          <w:p w14:paraId="7B5114AA" w14:textId="77777777" w:rsidR="00A674CA" w:rsidRPr="00E8394D" w:rsidRDefault="00A674CA" w:rsidP="00BC1D6E">
            <w:pPr>
              <w:tabs>
                <w:tab w:val="left" w:pos="958"/>
              </w:tabs>
              <w:rPr>
                <w:sz w:val="16"/>
                <w:szCs w:val="16"/>
                <w:lang w:val="en-GB"/>
              </w:rPr>
            </w:pPr>
            <w:r w:rsidRPr="00E8394D">
              <w:rPr>
                <w:b/>
                <w:sz w:val="16"/>
                <w:szCs w:val="16"/>
                <w:lang w:val="en-GB"/>
              </w:rPr>
              <w:t>Baseline:</w:t>
            </w:r>
            <w:r w:rsidRPr="00E8394D">
              <w:rPr>
                <w:sz w:val="16"/>
                <w:szCs w:val="16"/>
                <w:lang w:val="en-GB"/>
              </w:rPr>
              <w:t xml:space="preserve"> 0 (2017)</w:t>
            </w:r>
          </w:p>
          <w:p w14:paraId="7092A648" w14:textId="77777777" w:rsidR="00A674CA" w:rsidRPr="00E8394D" w:rsidRDefault="00A674CA" w:rsidP="00BC1D6E">
            <w:pPr>
              <w:tabs>
                <w:tab w:val="left" w:pos="958"/>
              </w:tabs>
              <w:rPr>
                <w:sz w:val="16"/>
                <w:szCs w:val="16"/>
                <w:lang w:val="en-GB"/>
              </w:rPr>
            </w:pPr>
            <w:r w:rsidRPr="00E8394D">
              <w:rPr>
                <w:b/>
                <w:sz w:val="16"/>
                <w:szCs w:val="16"/>
                <w:lang w:val="en-GB"/>
              </w:rPr>
              <w:t>Target:</w:t>
            </w:r>
            <w:r w:rsidRPr="00E8394D">
              <w:rPr>
                <w:sz w:val="16"/>
                <w:szCs w:val="16"/>
                <w:lang w:val="en-GB"/>
              </w:rPr>
              <w:t xml:space="preserve"> 2 </w:t>
            </w:r>
          </w:p>
          <w:p w14:paraId="450200FB" w14:textId="77777777" w:rsidR="00A674CA" w:rsidRPr="00E8394D" w:rsidRDefault="00A674CA" w:rsidP="00BC1D6E">
            <w:pPr>
              <w:tabs>
                <w:tab w:val="left" w:pos="958"/>
              </w:tabs>
              <w:rPr>
                <w:sz w:val="16"/>
                <w:szCs w:val="16"/>
                <w:lang w:val="en-GB"/>
              </w:rPr>
            </w:pPr>
            <w:r w:rsidRPr="00E8394D">
              <w:rPr>
                <w:b/>
                <w:sz w:val="16"/>
                <w:szCs w:val="16"/>
                <w:lang w:val="en-GB"/>
              </w:rPr>
              <w:t>Source</w:t>
            </w:r>
            <w:r w:rsidRPr="00E8394D">
              <w:rPr>
                <w:sz w:val="16"/>
                <w:szCs w:val="16"/>
                <w:lang w:val="en-GB"/>
              </w:rPr>
              <w:t>: UNDP project reports, biannually</w:t>
            </w:r>
          </w:p>
          <w:p w14:paraId="78EC7B84" w14:textId="77777777" w:rsidR="00A674CA" w:rsidRPr="00E8394D" w:rsidRDefault="00A674CA" w:rsidP="00BC1D6E">
            <w:pPr>
              <w:tabs>
                <w:tab w:val="left" w:pos="958"/>
              </w:tabs>
              <w:rPr>
                <w:sz w:val="16"/>
                <w:szCs w:val="16"/>
                <w:lang w:val="en-GB"/>
              </w:rPr>
            </w:pPr>
          </w:p>
          <w:p w14:paraId="234B6B18" w14:textId="77777777" w:rsidR="00A674CA" w:rsidRPr="00E8394D" w:rsidRDefault="00A674CA" w:rsidP="00BC1D6E">
            <w:pPr>
              <w:pStyle w:val="Default"/>
              <w:rPr>
                <w:rFonts w:ascii="Times New Roman" w:hAnsi="Times New Roman" w:cs="Times New Roman"/>
                <w:color w:val="auto"/>
                <w:sz w:val="16"/>
                <w:szCs w:val="16"/>
                <w:lang w:val="en-GB" w:eastAsia="en-US"/>
              </w:rPr>
            </w:pPr>
            <w:r w:rsidRPr="00E8394D">
              <w:rPr>
                <w:rFonts w:ascii="Times New Roman" w:hAnsi="Times New Roman" w:cs="Times New Roman"/>
                <w:b/>
                <w:color w:val="auto"/>
                <w:sz w:val="16"/>
                <w:szCs w:val="16"/>
                <w:lang w:val="en-GB" w:eastAsia="en-US"/>
              </w:rPr>
              <w:t>3.1.3:</w:t>
            </w:r>
            <w:r w:rsidR="00C53433" w:rsidRPr="00E8394D">
              <w:rPr>
                <w:rFonts w:ascii="Times New Roman" w:hAnsi="Times New Roman" w:cs="Times New Roman"/>
                <w:color w:val="auto"/>
                <w:sz w:val="16"/>
                <w:szCs w:val="16"/>
                <w:lang w:val="en-GB"/>
              </w:rPr>
              <w:t xml:space="preserve"> Number</w:t>
            </w:r>
            <w:r w:rsidRPr="00E8394D">
              <w:rPr>
                <w:rFonts w:ascii="Times New Roman" w:hAnsi="Times New Roman" w:cs="Times New Roman"/>
                <w:color w:val="auto"/>
                <w:sz w:val="16"/>
                <w:szCs w:val="16"/>
                <w:lang w:val="en-GB"/>
              </w:rPr>
              <w:t xml:space="preserve"> of multi-hazard provincial d</w:t>
            </w:r>
            <w:r w:rsidRPr="00E8394D">
              <w:rPr>
                <w:rFonts w:ascii="Times New Roman" w:hAnsi="Times New Roman" w:cs="Times New Roman"/>
                <w:color w:val="auto"/>
                <w:sz w:val="16"/>
                <w:szCs w:val="16"/>
                <w:lang w:val="en-GB" w:eastAsia="en-US"/>
              </w:rPr>
              <w:t>isaster and climate risk assessments that inform development plans, taking into account differentiated impacts (IRRF 5.1.2)</w:t>
            </w:r>
            <w:r w:rsidR="007002BA">
              <w:rPr>
                <w:rFonts w:ascii="Times New Roman" w:hAnsi="Times New Roman" w:cs="Times New Roman"/>
                <w:color w:val="auto"/>
                <w:sz w:val="16"/>
                <w:szCs w:val="16"/>
                <w:lang w:val="en-GB" w:eastAsia="en-US"/>
              </w:rPr>
              <w:t>.</w:t>
            </w:r>
          </w:p>
          <w:p w14:paraId="1F58402D" w14:textId="77777777" w:rsidR="00A674CA" w:rsidRPr="00E8394D" w:rsidRDefault="00A674CA" w:rsidP="00BC1D6E">
            <w:pPr>
              <w:tabs>
                <w:tab w:val="left" w:pos="958"/>
              </w:tabs>
              <w:rPr>
                <w:sz w:val="16"/>
                <w:szCs w:val="16"/>
                <w:lang w:val="en-GB"/>
              </w:rPr>
            </w:pPr>
            <w:r w:rsidRPr="00E8394D">
              <w:rPr>
                <w:b/>
                <w:sz w:val="16"/>
                <w:szCs w:val="16"/>
                <w:lang w:val="en-GB"/>
              </w:rPr>
              <w:t>Baseline:</w:t>
            </w:r>
            <w:r w:rsidRPr="00E8394D">
              <w:rPr>
                <w:sz w:val="16"/>
                <w:szCs w:val="16"/>
                <w:lang w:val="en-GB"/>
              </w:rPr>
              <w:t xml:space="preserve"> 10 </w:t>
            </w:r>
            <w:r w:rsidR="007002BA">
              <w:rPr>
                <w:sz w:val="16"/>
                <w:szCs w:val="16"/>
                <w:lang w:val="en-GB"/>
              </w:rPr>
              <w:t>d</w:t>
            </w:r>
            <w:r w:rsidRPr="00E8394D">
              <w:rPr>
                <w:sz w:val="16"/>
                <w:szCs w:val="16"/>
                <w:lang w:val="en-GB"/>
              </w:rPr>
              <w:t>isaster and climate risk assessments; 0 risk-informed development plans (2017)</w:t>
            </w:r>
          </w:p>
          <w:p w14:paraId="17A2CAA1" w14:textId="77777777" w:rsidR="00A674CA" w:rsidRPr="00E8394D" w:rsidRDefault="00A674CA" w:rsidP="00BC1D6E">
            <w:pPr>
              <w:pStyle w:val="Default"/>
              <w:rPr>
                <w:rFonts w:ascii="Times New Roman" w:hAnsi="Times New Roman" w:cs="Times New Roman"/>
                <w:color w:val="auto"/>
                <w:sz w:val="16"/>
                <w:szCs w:val="16"/>
                <w:lang w:val="en-GB"/>
              </w:rPr>
            </w:pPr>
            <w:r w:rsidRPr="00E8394D">
              <w:rPr>
                <w:rFonts w:ascii="Times New Roman" w:hAnsi="Times New Roman" w:cs="Times New Roman"/>
                <w:b/>
                <w:color w:val="auto"/>
                <w:sz w:val="16"/>
                <w:szCs w:val="16"/>
                <w:lang w:val="en-GB"/>
              </w:rPr>
              <w:t>Target</w:t>
            </w:r>
            <w:r w:rsidRPr="00E8394D">
              <w:rPr>
                <w:rFonts w:ascii="Times New Roman" w:hAnsi="Times New Roman" w:cs="Times New Roman"/>
                <w:color w:val="auto"/>
                <w:sz w:val="16"/>
                <w:szCs w:val="16"/>
                <w:lang w:val="en-GB"/>
              </w:rPr>
              <w:t xml:space="preserve">: 12 additional risk assessments and </w:t>
            </w:r>
            <w:r w:rsidR="007002BA">
              <w:rPr>
                <w:rFonts w:ascii="Times New Roman" w:hAnsi="Times New Roman" w:cs="Times New Roman"/>
                <w:color w:val="auto"/>
                <w:sz w:val="16"/>
                <w:szCs w:val="16"/>
                <w:lang w:val="en-GB"/>
              </w:rPr>
              <w:t>five</w:t>
            </w:r>
            <w:r w:rsidRPr="00E8394D">
              <w:rPr>
                <w:rFonts w:ascii="Times New Roman" w:hAnsi="Times New Roman" w:cs="Times New Roman"/>
                <w:color w:val="auto"/>
                <w:sz w:val="16"/>
                <w:szCs w:val="16"/>
                <w:lang w:val="en-GB"/>
              </w:rPr>
              <w:t xml:space="preserve"> risk-informed development plans </w:t>
            </w:r>
          </w:p>
          <w:p w14:paraId="5B443284" w14:textId="77777777" w:rsidR="00A674CA" w:rsidRPr="00E8394D" w:rsidRDefault="00A674CA" w:rsidP="00BC1D6E">
            <w:pPr>
              <w:pStyle w:val="Default"/>
              <w:rPr>
                <w:rFonts w:ascii="Times New Roman" w:hAnsi="Times New Roman" w:cs="Times New Roman"/>
                <w:color w:val="auto"/>
                <w:sz w:val="16"/>
                <w:szCs w:val="16"/>
                <w:lang w:val="en-GB"/>
              </w:rPr>
            </w:pPr>
            <w:r w:rsidRPr="00E8394D">
              <w:rPr>
                <w:rFonts w:ascii="Times New Roman" w:hAnsi="Times New Roman" w:cs="Times New Roman"/>
                <w:b/>
                <w:color w:val="auto"/>
                <w:sz w:val="16"/>
                <w:szCs w:val="16"/>
                <w:lang w:val="en-GB"/>
              </w:rPr>
              <w:t>Source</w:t>
            </w:r>
            <w:r w:rsidRPr="00E8394D">
              <w:rPr>
                <w:rFonts w:ascii="Times New Roman" w:hAnsi="Times New Roman" w:cs="Times New Roman"/>
                <w:color w:val="auto"/>
                <w:sz w:val="16"/>
                <w:szCs w:val="16"/>
                <w:lang w:val="en-GB"/>
              </w:rPr>
              <w:t xml:space="preserve">: </w:t>
            </w:r>
            <w:r w:rsidR="00E04E23" w:rsidRPr="00E8394D">
              <w:rPr>
                <w:rFonts w:ascii="Times New Roman" w:hAnsi="Times New Roman" w:cs="Times New Roman"/>
                <w:color w:val="auto"/>
                <w:sz w:val="16"/>
                <w:szCs w:val="16"/>
                <w:lang w:val="en-GB"/>
              </w:rPr>
              <w:t>Government reports, annually</w:t>
            </w:r>
          </w:p>
          <w:p w14:paraId="6252DC59" w14:textId="77777777" w:rsidR="00A674CA" w:rsidRPr="00E8394D" w:rsidRDefault="00A674CA" w:rsidP="00BC1D6E">
            <w:pPr>
              <w:pStyle w:val="Default"/>
              <w:rPr>
                <w:rFonts w:ascii="Times New Roman" w:hAnsi="Times New Roman" w:cs="Times New Roman"/>
                <w:color w:val="auto"/>
                <w:sz w:val="16"/>
                <w:szCs w:val="16"/>
                <w:lang w:val="en-GB"/>
              </w:rPr>
            </w:pPr>
          </w:p>
          <w:p w14:paraId="1FDC3FD7" w14:textId="77777777" w:rsidR="00A674CA" w:rsidRPr="00E8394D" w:rsidRDefault="00A674CA" w:rsidP="00BC1D6E">
            <w:pPr>
              <w:pStyle w:val="Default"/>
              <w:rPr>
                <w:rFonts w:ascii="Times New Roman" w:hAnsi="Times New Roman" w:cs="Times New Roman"/>
                <w:color w:val="auto"/>
                <w:sz w:val="16"/>
                <w:szCs w:val="16"/>
                <w:lang w:val="en-GB"/>
              </w:rPr>
            </w:pPr>
            <w:r w:rsidRPr="00E8394D">
              <w:rPr>
                <w:rFonts w:ascii="Times New Roman" w:hAnsi="Times New Roman" w:cs="Times New Roman"/>
                <w:b/>
                <w:color w:val="auto"/>
                <w:sz w:val="16"/>
                <w:szCs w:val="16"/>
                <w:lang w:val="en-GB"/>
              </w:rPr>
              <w:t>3.1.4</w:t>
            </w:r>
            <w:r w:rsidRPr="00E8394D">
              <w:rPr>
                <w:rFonts w:ascii="Times New Roman" w:hAnsi="Times New Roman" w:cs="Times New Roman"/>
                <w:color w:val="auto"/>
                <w:sz w:val="16"/>
                <w:szCs w:val="16"/>
                <w:lang w:val="en-GB"/>
              </w:rPr>
              <w:t xml:space="preserve">: Number of plans and </w:t>
            </w:r>
            <w:r w:rsidR="004B6D7A" w:rsidRPr="00E8394D">
              <w:rPr>
                <w:rFonts w:ascii="Times New Roman" w:hAnsi="Times New Roman" w:cs="Times New Roman"/>
                <w:color w:val="auto"/>
                <w:sz w:val="16"/>
                <w:szCs w:val="16"/>
                <w:lang w:val="en-GB"/>
              </w:rPr>
              <w:t>sectors</w:t>
            </w:r>
            <w:r w:rsidRPr="00E8394D">
              <w:rPr>
                <w:rFonts w:ascii="Times New Roman" w:hAnsi="Times New Roman" w:cs="Times New Roman"/>
                <w:color w:val="auto"/>
                <w:sz w:val="16"/>
                <w:szCs w:val="16"/>
                <w:lang w:val="en-GB"/>
              </w:rPr>
              <w:t xml:space="preserve"> that incorp</w:t>
            </w:r>
            <w:r w:rsidR="00906CBC" w:rsidRPr="00E8394D">
              <w:rPr>
                <w:rFonts w:ascii="Times New Roman" w:hAnsi="Times New Roman" w:cs="Times New Roman"/>
                <w:color w:val="auto"/>
                <w:sz w:val="16"/>
                <w:szCs w:val="16"/>
                <w:lang w:val="en-GB"/>
              </w:rPr>
              <w:t xml:space="preserve">orate </w:t>
            </w:r>
            <w:r w:rsidR="007002BA">
              <w:rPr>
                <w:rFonts w:ascii="Times New Roman" w:hAnsi="Times New Roman" w:cs="Times New Roman"/>
                <w:color w:val="auto"/>
                <w:sz w:val="16"/>
                <w:szCs w:val="16"/>
                <w:lang w:val="en-GB"/>
              </w:rPr>
              <w:t>c</w:t>
            </w:r>
            <w:r w:rsidR="00906CBC" w:rsidRPr="00E8394D">
              <w:rPr>
                <w:rFonts w:ascii="Times New Roman" w:hAnsi="Times New Roman" w:cs="Times New Roman"/>
                <w:color w:val="auto"/>
                <w:sz w:val="16"/>
                <w:szCs w:val="16"/>
                <w:lang w:val="en-GB"/>
              </w:rPr>
              <w:t xml:space="preserve">limate </w:t>
            </w:r>
            <w:r w:rsidR="007002BA">
              <w:rPr>
                <w:rFonts w:ascii="Times New Roman" w:hAnsi="Times New Roman" w:cs="Times New Roman"/>
                <w:color w:val="auto"/>
                <w:sz w:val="16"/>
                <w:szCs w:val="16"/>
                <w:lang w:val="en-GB"/>
              </w:rPr>
              <w:t>c</w:t>
            </w:r>
            <w:r w:rsidR="00906CBC" w:rsidRPr="00E8394D">
              <w:rPr>
                <w:rFonts w:ascii="Times New Roman" w:hAnsi="Times New Roman" w:cs="Times New Roman"/>
                <w:color w:val="auto"/>
                <w:sz w:val="16"/>
                <w:szCs w:val="16"/>
                <w:lang w:val="en-GB"/>
              </w:rPr>
              <w:t xml:space="preserve">hange </w:t>
            </w:r>
            <w:r w:rsidR="007002BA">
              <w:rPr>
                <w:rFonts w:ascii="Times New Roman" w:hAnsi="Times New Roman" w:cs="Times New Roman"/>
                <w:color w:val="auto"/>
                <w:sz w:val="16"/>
                <w:szCs w:val="16"/>
                <w:lang w:val="en-GB"/>
              </w:rPr>
              <w:t>a</w:t>
            </w:r>
            <w:r w:rsidR="00906CBC" w:rsidRPr="00E8394D">
              <w:rPr>
                <w:rFonts w:ascii="Times New Roman" w:hAnsi="Times New Roman" w:cs="Times New Roman"/>
                <w:color w:val="auto"/>
                <w:sz w:val="16"/>
                <w:szCs w:val="16"/>
                <w:lang w:val="en-GB"/>
              </w:rPr>
              <w:t xml:space="preserve">daptation, </w:t>
            </w:r>
            <w:r w:rsidR="007002BA">
              <w:rPr>
                <w:rFonts w:ascii="Times New Roman" w:hAnsi="Times New Roman" w:cs="Times New Roman"/>
                <w:color w:val="auto"/>
                <w:sz w:val="16"/>
                <w:szCs w:val="16"/>
                <w:lang w:val="en-GB"/>
              </w:rPr>
              <w:t>d</w:t>
            </w:r>
            <w:r w:rsidRPr="00E8394D">
              <w:rPr>
                <w:rFonts w:ascii="Times New Roman" w:hAnsi="Times New Roman" w:cs="Times New Roman"/>
                <w:color w:val="auto"/>
                <w:sz w:val="16"/>
                <w:szCs w:val="16"/>
                <w:lang w:val="en-GB"/>
              </w:rPr>
              <w:t xml:space="preserve">isaster </w:t>
            </w:r>
            <w:r w:rsidR="007002BA">
              <w:rPr>
                <w:rFonts w:ascii="Times New Roman" w:hAnsi="Times New Roman" w:cs="Times New Roman"/>
                <w:color w:val="auto"/>
                <w:sz w:val="16"/>
                <w:szCs w:val="16"/>
                <w:lang w:val="en-GB"/>
              </w:rPr>
              <w:t>r</w:t>
            </w:r>
            <w:r w:rsidRPr="00E8394D">
              <w:rPr>
                <w:rFonts w:ascii="Times New Roman" w:hAnsi="Times New Roman" w:cs="Times New Roman"/>
                <w:color w:val="auto"/>
                <w:sz w:val="16"/>
                <w:szCs w:val="16"/>
                <w:lang w:val="en-GB"/>
              </w:rPr>
              <w:t xml:space="preserve">isk </w:t>
            </w:r>
            <w:r w:rsidR="007002BA">
              <w:rPr>
                <w:rFonts w:ascii="Times New Roman" w:hAnsi="Times New Roman" w:cs="Times New Roman"/>
                <w:color w:val="auto"/>
                <w:sz w:val="16"/>
                <w:szCs w:val="16"/>
                <w:lang w:val="en-GB"/>
              </w:rPr>
              <w:t>m</w:t>
            </w:r>
            <w:r w:rsidRPr="00E8394D">
              <w:rPr>
                <w:rFonts w:ascii="Times New Roman" w:hAnsi="Times New Roman" w:cs="Times New Roman"/>
                <w:color w:val="auto"/>
                <w:sz w:val="16"/>
                <w:szCs w:val="16"/>
                <w:lang w:val="en-GB"/>
              </w:rPr>
              <w:t xml:space="preserve">anagement </w:t>
            </w:r>
            <w:r w:rsidR="00906CBC" w:rsidRPr="00E8394D">
              <w:rPr>
                <w:rFonts w:ascii="Times New Roman" w:hAnsi="Times New Roman" w:cs="Times New Roman"/>
                <w:color w:val="auto"/>
                <w:sz w:val="16"/>
                <w:szCs w:val="16"/>
                <w:lang w:val="en-GB"/>
              </w:rPr>
              <w:t xml:space="preserve">and </w:t>
            </w:r>
            <w:r w:rsidR="007002BA">
              <w:rPr>
                <w:rFonts w:ascii="Times New Roman" w:hAnsi="Times New Roman" w:cs="Times New Roman"/>
                <w:color w:val="auto"/>
                <w:sz w:val="16"/>
                <w:szCs w:val="16"/>
                <w:lang w:val="en-GB"/>
              </w:rPr>
              <w:t>r</w:t>
            </w:r>
            <w:r w:rsidR="00906CBC" w:rsidRPr="00E8394D">
              <w:rPr>
                <w:rFonts w:ascii="Times New Roman" w:hAnsi="Times New Roman" w:cs="Times New Roman"/>
                <w:color w:val="auto"/>
                <w:sz w:val="16"/>
                <w:szCs w:val="16"/>
                <w:lang w:val="en-GB"/>
              </w:rPr>
              <w:t xml:space="preserve">ecovery </w:t>
            </w:r>
            <w:r w:rsidR="004B6D7A" w:rsidRPr="00E8394D">
              <w:rPr>
                <w:rFonts w:ascii="Times New Roman" w:hAnsi="Times New Roman" w:cs="Times New Roman"/>
                <w:color w:val="auto"/>
                <w:sz w:val="16"/>
                <w:szCs w:val="16"/>
                <w:lang w:val="en-GB"/>
              </w:rPr>
              <w:t>(mainstreaming</w:t>
            </w:r>
            <w:r w:rsidRPr="00E8394D">
              <w:rPr>
                <w:rFonts w:ascii="Times New Roman" w:hAnsi="Times New Roman" w:cs="Times New Roman"/>
                <w:color w:val="auto"/>
                <w:sz w:val="16"/>
                <w:szCs w:val="16"/>
                <w:lang w:val="en-GB"/>
              </w:rPr>
              <w:t>)</w:t>
            </w:r>
          </w:p>
          <w:p w14:paraId="5F89D818" w14:textId="77777777" w:rsidR="00A674CA" w:rsidRPr="00E8394D" w:rsidRDefault="00A674CA" w:rsidP="00BC1D6E">
            <w:pPr>
              <w:tabs>
                <w:tab w:val="left" w:pos="958"/>
              </w:tabs>
              <w:rPr>
                <w:sz w:val="16"/>
                <w:szCs w:val="16"/>
                <w:lang w:val="en-GB" w:eastAsia="en-GB"/>
              </w:rPr>
            </w:pPr>
            <w:r w:rsidRPr="00E8394D">
              <w:rPr>
                <w:b/>
                <w:sz w:val="16"/>
                <w:szCs w:val="16"/>
                <w:lang w:val="en-GB" w:eastAsia="en-GB"/>
              </w:rPr>
              <w:t>Baseline</w:t>
            </w:r>
            <w:r w:rsidRPr="00E8394D">
              <w:rPr>
                <w:sz w:val="16"/>
                <w:szCs w:val="16"/>
                <w:lang w:val="en-GB" w:eastAsia="en-GB"/>
              </w:rPr>
              <w:t xml:space="preserve">: </w:t>
            </w:r>
            <w:r w:rsidR="00FD6157" w:rsidRPr="00E8394D">
              <w:rPr>
                <w:sz w:val="16"/>
                <w:szCs w:val="16"/>
                <w:lang w:val="en-GB" w:eastAsia="en-GB"/>
              </w:rPr>
              <w:t>1</w:t>
            </w:r>
            <w:r w:rsidRPr="00E8394D">
              <w:rPr>
                <w:sz w:val="16"/>
                <w:szCs w:val="16"/>
                <w:lang w:val="en-GB" w:eastAsia="en-GB"/>
              </w:rPr>
              <w:t xml:space="preserve"> (2017)</w:t>
            </w:r>
          </w:p>
          <w:p w14:paraId="46340B60" w14:textId="77777777" w:rsidR="00A674CA" w:rsidRPr="00E8394D" w:rsidRDefault="00A674CA" w:rsidP="00BC1D6E">
            <w:pPr>
              <w:pStyle w:val="Default"/>
              <w:rPr>
                <w:rFonts w:ascii="Times New Roman" w:hAnsi="Times New Roman" w:cs="Times New Roman"/>
                <w:color w:val="auto"/>
                <w:sz w:val="16"/>
                <w:szCs w:val="16"/>
                <w:lang w:val="en-GB"/>
              </w:rPr>
            </w:pPr>
            <w:r w:rsidRPr="00E8394D">
              <w:rPr>
                <w:rFonts w:ascii="Times New Roman" w:hAnsi="Times New Roman" w:cs="Times New Roman"/>
                <w:b/>
                <w:color w:val="auto"/>
                <w:sz w:val="16"/>
                <w:szCs w:val="16"/>
                <w:lang w:val="en-GB"/>
              </w:rPr>
              <w:t>Target</w:t>
            </w:r>
            <w:r w:rsidRPr="00E8394D">
              <w:rPr>
                <w:rFonts w:ascii="Times New Roman" w:hAnsi="Times New Roman" w:cs="Times New Roman"/>
                <w:color w:val="auto"/>
                <w:sz w:val="16"/>
                <w:szCs w:val="16"/>
                <w:lang w:val="en-GB"/>
              </w:rPr>
              <w:t>: Medium</w:t>
            </w:r>
            <w:r w:rsidR="007002BA">
              <w:rPr>
                <w:rFonts w:ascii="Times New Roman" w:hAnsi="Times New Roman" w:cs="Times New Roman"/>
                <w:color w:val="auto"/>
                <w:sz w:val="16"/>
                <w:szCs w:val="16"/>
                <w:lang w:val="en-GB"/>
              </w:rPr>
              <w:t>-t</w:t>
            </w:r>
            <w:r w:rsidRPr="00E8394D">
              <w:rPr>
                <w:rFonts w:ascii="Times New Roman" w:hAnsi="Times New Roman" w:cs="Times New Roman"/>
                <w:color w:val="auto"/>
                <w:sz w:val="16"/>
                <w:szCs w:val="16"/>
                <w:lang w:val="en-GB"/>
              </w:rPr>
              <w:t xml:space="preserve">erm </w:t>
            </w:r>
            <w:r w:rsidR="007002BA">
              <w:rPr>
                <w:rFonts w:ascii="Times New Roman" w:hAnsi="Times New Roman" w:cs="Times New Roman"/>
                <w:color w:val="auto"/>
                <w:sz w:val="16"/>
                <w:szCs w:val="16"/>
                <w:lang w:val="en-GB"/>
              </w:rPr>
              <w:t>d</w:t>
            </w:r>
            <w:r w:rsidRPr="00E8394D">
              <w:rPr>
                <w:rFonts w:ascii="Times New Roman" w:hAnsi="Times New Roman" w:cs="Times New Roman"/>
                <w:color w:val="auto"/>
                <w:sz w:val="16"/>
                <w:szCs w:val="16"/>
                <w:lang w:val="en-GB"/>
              </w:rPr>
              <w:t xml:space="preserve">evelopment </w:t>
            </w:r>
            <w:r w:rsidR="007002BA">
              <w:rPr>
                <w:rFonts w:ascii="Times New Roman" w:hAnsi="Times New Roman" w:cs="Times New Roman"/>
                <w:color w:val="auto"/>
                <w:sz w:val="16"/>
                <w:szCs w:val="16"/>
                <w:lang w:val="en-GB"/>
              </w:rPr>
              <w:t>p</w:t>
            </w:r>
            <w:r w:rsidRPr="00E8394D">
              <w:rPr>
                <w:rFonts w:ascii="Times New Roman" w:hAnsi="Times New Roman" w:cs="Times New Roman"/>
                <w:color w:val="auto"/>
                <w:sz w:val="16"/>
                <w:szCs w:val="16"/>
                <w:lang w:val="en-GB"/>
              </w:rPr>
              <w:t>lan</w:t>
            </w:r>
            <w:r w:rsidR="007002BA">
              <w:rPr>
                <w:rFonts w:ascii="Times New Roman" w:hAnsi="Times New Roman" w:cs="Times New Roman"/>
                <w:color w:val="auto"/>
                <w:sz w:val="16"/>
                <w:szCs w:val="16"/>
                <w:lang w:val="en-GB"/>
              </w:rPr>
              <w:t>,</w:t>
            </w:r>
            <w:r w:rsidRPr="00E8394D">
              <w:rPr>
                <w:rFonts w:ascii="Times New Roman" w:hAnsi="Times New Roman" w:cs="Times New Roman"/>
                <w:color w:val="auto"/>
                <w:sz w:val="16"/>
                <w:szCs w:val="16"/>
                <w:lang w:val="en-GB"/>
              </w:rPr>
              <w:t xml:space="preserve"> 2018-2022, </w:t>
            </w:r>
            <w:r w:rsidR="007002BA">
              <w:rPr>
                <w:rFonts w:ascii="Times New Roman" w:hAnsi="Times New Roman" w:cs="Times New Roman"/>
                <w:color w:val="auto"/>
                <w:sz w:val="16"/>
                <w:szCs w:val="16"/>
                <w:lang w:val="en-GB"/>
              </w:rPr>
              <w:t>and two</w:t>
            </w:r>
            <w:r w:rsidRPr="00E8394D">
              <w:rPr>
                <w:rFonts w:ascii="Times New Roman" w:hAnsi="Times New Roman" w:cs="Times New Roman"/>
                <w:color w:val="auto"/>
                <w:sz w:val="16"/>
                <w:szCs w:val="16"/>
                <w:lang w:val="en-GB"/>
              </w:rPr>
              <w:t xml:space="preserve"> additional sector strategies</w:t>
            </w:r>
          </w:p>
          <w:p w14:paraId="55A548FA" w14:textId="77777777" w:rsidR="00A674CA" w:rsidRPr="00E8394D" w:rsidRDefault="00B51686" w:rsidP="00BC1D6E">
            <w:pPr>
              <w:pStyle w:val="Default"/>
              <w:rPr>
                <w:rFonts w:ascii="Times New Roman" w:hAnsi="Times New Roman" w:cs="Times New Roman"/>
                <w:color w:val="auto"/>
                <w:sz w:val="16"/>
                <w:szCs w:val="16"/>
                <w:lang w:val="en-GB"/>
              </w:rPr>
            </w:pPr>
            <w:r w:rsidRPr="00E8394D">
              <w:rPr>
                <w:rFonts w:ascii="Times New Roman" w:hAnsi="Times New Roman" w:cs="Times New Roman"/>
                <w:b/>
                <w:color w:val="auto"/>
                <w:sz w:val="16"/>
                <w:szCs w:val="16"/>
                <w:lang w:val="en-GB"/>
              </w:rPr>
              <w:t>S</w:t>
            </w:r>
            <w:r w:rsidR="00A674CA" w:rsidRPr="00E8394D">
              <w:rPr>
                <w:rFonts w:ascii="Times New Roman" w:hAnsi="Times New Roman" w:cs="Times New Roman"/>
                <w:b/>
                <w:color w:val="auto"/>
                <w:sz w:val="16"/>
                <w:szCs w:val="16"/>
                <w:lang w:val="en-GB"/>
              </w:rPr>
              <w:t>ource</w:t>
            </w:r>
            <w:r w:rsidR="00A674CA" w:rsidRPr="00E8394D">
              <w:rPr>
                <w:rFonts w:ascii="Times New Roman" w:hAnsi="Times New Roman" w:cs="Times New Roman"/>
                <w:color w:val="auto"/>
                <w:sz w:val="16"/>
                <w:szCs w:val="16"/>
                <w:lang w:val="en-GB"/>
              </w:rPr>
              <w:t xml:space="preserve">: </w:t>
            </w:r>
            <w:r w:rsidR="00E04E23" w:rsidRPr="00E8394D">
              <w:rPr>
                <w:rFonts w:ascii="Times New Roman" w:hAnsi="Times New Roman" w:cs="Times New Roman"/>
                <w:color w:val="auto"/>
                <w:sz w:val="16"/>
                <w:szCs w:val="16"/>
                <w:lang w:val="en-GB"/>
              </w:rPr>
              <w:t xml:space="preserve">Government reports, annually </w:t>
            </w:r>
          </w:p>
          <w:p w14:paraId="40ED7643" w14:textId="77777777" w:rsidR="00A674CA" w:rsidRPr="00E8394D" w:rsidRDefault="00A674CA" w:rsidP="00BC1D6E">
            <w:pPr>
              <w:pStyle w:val="Default"/>
              <w:rPr>
                <w:rFonts w:ascii="Times New Roman" w:hAnsi="Times New Roman" w:cs="Times New Roman"/>
                <w:color w:val="auto"/>
                <w:sz w:val="16"/>
                <w:szCs w:val="16"/>
                <w:lang w:val="en-GB"/>
              </w:rPr>
            </w:pPr>
          </w:p>
          <w:p w14:paraId="70DEC134" w14:textId="77777777" w:rsidR="00A674CA" w:rsidRPr="00E8394D" w:rsidRDefault="00A674CA" w:rsidP="00BC1D6E">
            <w:pPr>
              <w:pStyle w:val="Default"/>
              <w:rPr>
                <w:rFonts w:ascii="Times New Roman" w:hAnsi="Times New Roman" w:cs="Times New Roman"/>
                <w:b/>
                <w:color w:val="auto"/>
                <w:sz w:val="16"/>
                <w:szCs w:val="16"/>
                <w:lang w:val="en-GB" w:eastAsia="en-US"/>
              </w:rPr>
            </w:pPr>
            <w:r w:rsidRPr="00E8394D">
              <w:rPr>
                <w:rFonts w:ascii="Times New Roman" w:hAnsi="Times New Roman" w:cs="Times New Roman"/>
                <w:b/>
                <w:color w:val="auto"/>
                <w:sz w:val="16"/>
                <w:szCs w:val="16"/>
                <w:lang w:val="en-GB" w:eastAsia="en-US"/>
              </w:rPr>
              <w:t>OUTPUT 3.2: Capacities of communities and public officials enhanced to manage protected areas and address climate and disasters risks</w:t>
            </w:r>
            <w:r w:rsidR="007002BA">
              <w:rPr>
                <w:rFonts w:ascii="Times New Roman" w:hAnsi="Times New Roman" w:cs="Times New Roman"/>
                <w:b/>
                <w:color w:val="auto"/>
                <w:sz w:val="16"/>
                <w:szCs w:val="16"/>
                <w:lang w:val="en-GB" w:eastAsia="en-US"/>
              </w:rPr>
              <w:t>.</w:t>
            </w:r>
            <w:r w:rsidRPr="00E8394D">
              <w:rPr>
                <w:rFonts w:ascii="Times New Roman" w:hAnsi="Times New Roman" w:cs="Times New Roman"/>
                <w:b/>
                <w:color w:val="auto"/>
                <w:sz w:val="16"/>
                <w:szCs w:val="16"/>
                <w:lang w:val="en-GB" w:eastAsia="en-US"/>
              </w:rPr>
              <w:t xml:space="preserve"> </w:t>
            </w:r>
          </w:p>
          <w:p w14:paraId="2CA6D211" w14:textId="77777777" w:rsidR="00A674CA" w:rsidRPr="00E8394D" w:rsidRDefault="00A674CA" w:rsidP="00BC1D6E">
            <w:pPr>
              <w:pStyle w:val="Default"/>
              <w:rPr>
                <w:rFonts w:ascii="Times New Roman" w:hAnsi="Times New Roman" w:cs="Times New Roman"/>
                <w:color w:val="auto"/>
                <w:sz w:val="16"/>
                <w:szCs w:val="16"/>
                <w:lang w:val="en-GB"/>
              </w:rPr>
            </w:pPr>
          </w:p>
          <w:p w14:paraId="16D5987D" w14:textId="77777777" w:rsidR="00A674CA" w:rsidRPr="00E8394D" w:rsidRDefault="00A674CA" w:rsidP="00BC1D6E">
            <w:pPr>
              <w:pStyle w:val="Default"/>
              <w:rPr>
                <w:rFonts w:ascii="Times New Roman" w:hAnsi="Times New Roman" w:cs="Times New Roman"/>
                <w:color w:val="auto"/>
                <w:sz w:val="16"/>
                <w:szCs w:val="16"/>
                <w:lang w:val="en-GB" w:eastAsia="en-US"/>
              </w:rPr>
            </w:pPr>
            <w:r w:rsidRPr="00E8394D">
              <w:rPr>
                <w:rFonts w:ascii="Times New Roman" w:hAnsi="Times New Roman" w:cs="Times New Roman"/>
                <w:b/>
                <w:color w:val="auto"/>
                <w:sz w:val="16"/>
                <w:szCs w:val="16"/>
                <w:lang w:val="en-GB" w:eastAsia="en-US"/>
              </w:rPr>
              <w:t>3.2.1:</w:t>
            </w:r>
            <w:r w:rsidRPr="00E8394D">
              <w:rPr>
                <w:rFonts w:ascii="Times New Roman" w:hAnsi="Times New Roman" w:cs="Times New Roman"/>
                <w:color w:val="auto"/>
                <w:sz w:val="16"/>
                <w:szCs w:val="16"/>
                <w:lang w:val="en-GB"/>
              </w:rPr>
              <w:t xml:space="preserve"> </w:t>
            </w:r>
            <w:r w:rsidRPr="00E8394D">
              <w:rPr>
                <w:rFonts w:ascii="Times New Roman" w:hAnsi="Times New Roman" w:cs="Times New Roman"/>
                <w:color w:val="auto"/>
                <w:sz w:val="16"/>
                <w:szCs w:val="16"/>
                <w:lang w:val="en-GB" w:eastAsia="en-US"/>
              </w:rPr>
              <w:t xml:space="preserve">Management </w:t>
            </w:r>
            <w:r w:rsidR="007002BA">
              <w:rPr>
                <w:rFonts w:ascii="Times New Roman" w:hAnsi="Times New Roman" w:cs="Times New Roman"/>
                <w:color w:val="auto"/>
                <w:sz w:val="16"/>
                <w:szCs w:val="16"/>
                <w:lang w:val="en-GB" w:eastAsia="en-US"/>
              </w:rPr>
              <w:t>e</w:t>
            </w:r>
            <w:r w:rsidRPr="00E8394D">
              <w:rPr>
                <w:rFonts w:ascii="Times New Roman" w:hAnsi="Times New Roman" w:cs="Times New Roman"/>
                <w:color w:val="auto"/>
                <w:sz w:val="16"/>
                <w:szCs w:val="16"/>
                <w:lang w:val="en-GB" w:eastAsia="en-US"/>
              </w:rPr>
              <w:t xml:space="preserve">ffectiveness </w:t>
            </w:r>
            <w:r w:rsidR="007002BA">
              <w:rPr>
                <w:rFonts w:ascii="Times New Roman" w:hAnsi="Times New Roman" w:cs="Times New Roman"/>
                <w:color w:val="auto"/>
                <w:sz w:val="16"/>
                <w:szCs w:val="16"/>
                <w:lang w:val="en-GB" w:eastAsia="en-US"/>
              </w:rPr>
              <w:t>t</w:t>
            </w:r>
            <w:r w:rsidRPr="00E8394D">
              <w:rPr>
                <w:rFonts w:ascii="Times New Roman" w:hAnsi="Times New Roman" w:cs="Times New Roman"/>
                <w:color w:val="auto"/>
                <w:sz w:val="16"/>
                <w:szCs w:val="16"/>
                <w:lang w:val="en-GB" w:eastAsia="en-US"/>
              </w:rPr>
              <w:t xml:space="preserve">racking </w:t>
            </w:r>
            <w:r w:rsidR="007002BA">
              <w:rPr>
                <w:rFonts w:ascii="Times New Roman" w:hAnsi="Times New Roman" w:cs="Times New Roman"/>
                <w:color w:val="auto"/>
                <w:sz w:val="16"/>
                <w:szCs w:val="16"/>
                <w:lang w:val="en-GB" w:eastAsia="en-US"/>
              </w:rPr>
              <w:t>t</w:t>
            </w:r>
            <w:r w:rsidRPr="00E8394D">
              <w:rPr>
                <w:rFonts w:ascii="Times New Roman" w:hAnsi="Times New Roman" w:cs="Times New Roman"/>
                <w:color w:val="auto"/>
                <w:sz w:val="16"/>
                <w:szCs w:val="16"/>
                <w:lang w:val="en-GB" w:eastAsia="en-US"/>
              </w:rPr>
              <w:t xml:space="preserve">ool (METT) scores over the project lifetime, reflecting management effectiveness of </w:t>
            </w:r>
            <w:r w:rsidR="007002BA">
              <w:rPr>
                <w:rFonts w:ascii="Times New Roman" w:hAnsi="Times New Roman" w:cs="Times New Roman"/>
                <w:color w:val="auto"/>
                <w:sz w:val="16"/>
                <w:szCs w:val="16"/>
                <w:lang w:val="en-GB" w:eastAsia="en-US"/>
              </w:rPr>
              <w:t>p</w:t>
            </w:r>
            <w:r w:rsidRPr="00E8394D">
              <w:rPr>
                <w:rFonts w:ascii="Times New Roman" w:hAnsi="Times New Roman" w:cs="Times New Roman"/>
                <w:color w:val="auto"/>
                <w:sz w:val="16"/>
                <w:szCs w:val="16"/>
                <w:lang w:val="en-GB" w:eastAsia="en-US"/>
              </w:rPr>
              <w:t xml:space="preserve">rotected </w:t>
            </w:r>
            <w:r w:rsidR="007002BA">
              <w:rPr>
                <w:rFonts w:ascii="Times New Roman" w:hAnsi="Times New Roman" w:cs="Times New Roman"/>
                <w:color w:val="auto"/>
                <w:sz w:val="16"/>
                <w:szCs w:val="16"/>
                <w:lang w:val="en-GB" w:eastAsia="en-US"/>
              </w:rPr>
              <w:t>a</w:t>
            </w:r>
            <w:r w:rsidRPr="00E8394D">
              <w:rPr>
                <w:rFonts w:ascii="Times New Roman" w:hAnsi="Times New Roman" w:cs="Times New Roman"/>
                <w:color w:val="auto"/>
                <w:sz w:val="16"/>
                <w:szCs w:val="16"/>
                <w:lang w:val="en-GB" w:eastAsia="en-US"/>
              </w:rPr>
              <w:t>reas.</w:t>
            </w:r>
          </w:p>
          <w:p w14:paraId="1B47C3BC" w14:textId="77777777" w:rsidR="00A674CA" w:rsidRPr="00E8394D" w:rsidRDefault="00A674CA" w:rsidP="00BC1D6E">
            <w:pPr>
              <w:tabs>
                <w:tab w:val="left" w:pos="958"/>
              </w:tabs>
              <w:rPr>
                <w:sz w:val="16"/>
                <w:szCs w:val="16"/>
                <w:lang w:val="en-GB"/>
              </w:rPr>
            </w:pPr>
            <w:r w:rsidRPr="00E8394D">
              <w:rPr>
                <w:b/>
                <w:sz w:val="16"/>
                <w:szCs w:val="16"/>
                <w:lang w:val="en-GB"/>
              </w:rPr>
              <w:t>Baseline:</w:t>
            </w:r>
            <w:r w:rsidRPr="00E8394D">
              <w:rPr>
                <w:sz w:val="16"/>
                <w:szCs w:val="16"/>
                <w:lang w:val="en-GB"/>
              </w:rPr>
              <w:t xml:space="preserve"> METT </w:t>
            </w:r>
            <w:r w:rsidR="007002BA">
              <w:rPr>
                <w:sz w:val="16"/>
                <w:szCs w:val="16"/>
                <w:lang w:val="en-GB"/>
              </w:rPr>
              <w:t>s</w:t>
            </w:r>
            <w:r w:rsidR="00C53433" w:rsidRPr="00E8394D">
              <w:rPr>
                <w:sz w:val="16"/>
                <w:szCs w:val="16"/>
                <w:lang w:val="en-GB"/>
              </w:rPr>
              <w:t>core to be established in 2017</w:t>
            </w:r>
          </w:p>
          <w:p w14:paraId="2B2CD259" w14:textId="77777777" w:rsidR="00A674CA" w:rsidRPr="00E8394D" w:rsidRDefault="00A674CA" w:rsidP="00BC1D6E">
            <w:pPr>
              <w:pStyle w:val="Default"/>
              <w:rPr>
                <w:rFonts w:ascii="Times New Roman" w:hAnsi="Times New Roman" w:cs="Times New Roman"/>
                <w:color w:val="auto"/>
                <w:sz w:val="16"/>
                <w:szCs w:val="16"/>
                <w:lang w:val="en-GB" w:eastAsia="en-US"/>
              </w:rPr>
            </w:pPr>
            <w:r w:rsidRPr="00E8394D">
              <w:rPr>
                <w:rFonts w:ascii="Times New Roman" w:hAnsi="Times New Roman" w:cs="Times New Roman"/>
                <w:b/>
                <w:color w:val="auto"/>
                <w:sz w:val="16"/>
                <w:szCs w:val="16"/>
                <w:lang w:val="en-GB" w:eastAsia="en-US"/>
              </w:rPr>
              <w:t xml:space="preserve">Target: </w:t>
            </w:r>
            <w:r w:rsidRPr="00E8394D">
              <w:rPr>
                <w:rFonts w:ascii="Times New Roman" w:hAnsi="Times New Roman" w:cs="Times New Roman"/>
                <w:color w:val="auto"/>
                <w:sz w:val="16"/>
                <w:szCs w:val="16"/>
                <w:lang w:val="en-GB" w:eastAsia="en-US"/>
              </w:rPr>
              <w:t>20% increase.</w:t>
            </w:r>
          </w:p>
          <w:p w14:paraId="718E6C02" w14:textId="77777777" w:rsidR="00A674CA" w:rsidRPr="00E8394D" w:rsidRDefault="00A674CA" w:rsidP="00BC1D6E">
            <w:pPr>
              <w:tabs>
                <w:tab w:val="left" w:pos="958"/>
              </w:tabs>
              <w:rPr>
                <w:sz w:val="16"/>
                <w:szCs w:val="16"/>
                <w:lang w:val="en-GB"/>
              </w:rPr>
            </w:pPr>
            <w:r w:rsidRPr="00E8394D">
              <w:rPr>
                <w:b/>
                <w:sz w:val="16"/>
                <w:szCs w:val="16"/>
                <w:lang w:val="en-GB"/>
              </w:rPr>
              <w:t xml:space="preserve">Source: </w:t>
            </w:r>
            <w:r w:rsidRPr="00E8394D">
              <w:rPr>
                <w:sz w:val="16"/>
                <w:szCs w:val="16"/>
                <w:lang w:val="en-GB"/>
              </w:rPr>
              <w:t>METT scores, biannually</w:t>
            </w:r>
          </w:p>
          <w:p w14:paraId="7FD27418" w14:textId="77777777" w:rsidR="00A674CA" w:rsidRPr="00E8394D" w:rsidRDefault="00A674CA" w:rsidP="00BC1D6E">
            <w:pPr>
              <w:tabs>
                <w:tab w:val="left" w:pos="958"/>
              </w:tabs>
              <w:rPr>
                <w:sz w:val="16"/>
                <w:szCs w:val="16"/>
                <w:lang w:val="en-GB"/>
              </w:rPr>
            </w:pPr>
          </w:p>
          <w:p w14:paraId="47BCC829" w14:textId="77777777" w:rsidR="00A674CA" w:rsidRPr="00E8394D" w:rsidRDefault="00A674CA" w:rsidP="00BC1D6E">
            <w:pPr>
              <w:tabs>
                <w:tab w:val="left" w:pos="958"/>
              </w:tabs>
              <w:rPr>
                <w:sz w:val="16"/>
                <w:szCs w:val="16"/>
                <w:lang w:val="en-GB"/>
              </w:rPr>
            </w:pPr>
            <w:r w:rsidRPr="00E8394D">
              <w:rPr>
                <w:b/>
                <w:sz w:val="16"/>
                <w:szCs w:val="16"/>
                <w:lang w:val="en-GB"/>
              </w:rPr>
              <w:t>3.2.2:</w:t>
            </w:r>
            <w:r w:rsidR="00C53433" w:rsidRPr="00E8394D">
              <w:rPr>
                <w:sz w:val="16"/>
                <w:szCs w:val="16"/>
                <w:lang w:val="en-GB"/>
              </w:rPr>
              <w:t xml:space="preserve"> Number</w:t>
            </w:r>
            <w:r w:rsidRPr="00E8394D">
              <w:rPr>
                <w:sz w:val="16"/>
                <w:szCs w:val="16"/>
                <w:lang w:val="en-GB"/>
              </w:rPr>
              <w:t xml:space="preserve"> of new climate early warning system</w:t>
            </w:r>
            <w:r w:rsidR="007002BA">
              <w:rPr>
                <w:sz w:val="16"/>
                <w:szCs w:val="16"/>
                <w:lang w:val="en-GB"/>
              </w:rPr>
              <w:t>s</w:t>
            </w:r>
            <w:r w:rsidRPr="00E8394D">
              <w:rPr>
                <w:sz w:val="16"/>
                <w:szCs w:val="16"/>
                <w:lang w:val="en-GB"/>
              </w:rPr>
              <w:t xml:space="preserve"> established in major rivers (IRRF 5.4.1)</w:t>
            </w:r>
          </w:p>
          <w:p w14:paraId="3057A815" w14:textId="77777777" w:rsidR="00A674CA" w:rsidRPr="00E8394D" w:rsidRDefault="00A674CA" w:rsidP="00BC1D6E">
            <w:pPr>
              <w:pStyle w:val="NormalWeb"/>
              <w:rPr>
                <w:rFonts w:eastAsia="Times New Roman"/>
                <w:sz w:val="16"/>
                <w:szCs w:val="16"/>
                <w:lang w:val="en-GB"/>
              </w:rPr>
            </w:pPr>
            <w:r w:rsidRPr="00E8394D">
              <w:rPr>
                <w:rFonts w:eastAsia="Times New Roman"/>
                <w:b/>
                <w:sz w:val="16"/>
                <w:szCs w:val="16"/>
                <w:lang w:val="en-GB"/>
              </w:rPr>
              <w:t>Baseline:</w:t>
            </w:r>
            <w:r w:rsidRPr="00E8394D">
              <w:rPr>
                <w:rFonts w:eastAsia="Times New Roman"/>
                <w:sz w:val="16"/>
                <w:szCs w:val="16"/>
                <w:lang w:val="en-GB"/>
              </w:rPr>
              <w:t xml:space="preserve"> 1</w:t>
            </w:r>
          </w:p>
          <w:p w14:paraId="2DD809A4" w14:textId="77777777" w:rsidR="00A674CA" w:rsidRPr="00E8394D" w:rsidRDefault="00A674CA" w:rsidP="00BC1D6E">
            <w:pPr>
              <w:pStyle w:val="default0"/>
              <w:rPr>
                <w:rFonts w:eastAsia="Times New Roman"/>
                <w:sz w:val="16"/>
                <w:szCs w:val="16"/>
                <w:lang w:val="en-GB"/>
              </w:rPr>
            </w:pPr>
            <w:r w:rsidRPr="00E8394D">
              <w:rPr>
                <w:rFonts w:eastAsia="Times New Roman"/>
                <w:b/>
                <w:sz w:val="16"/>
                <w:szCs w:val="16"/>
                <w:lang w:val="en-GB"/>
              </w:rPr>
              <w:t>Target</w:t>
            </w:r>
            <w:r w:rsidRPr="00E8394D">
              <w:rPr>
                <w:rFonts w:eastAsia="Times New Roman"/>
                <w:sz w:val="16"/>
                <w:szCs w:val="16"/>
                <w:lang w:val="en-GB"/>
              </w:rPr>
              <w:t>: 3 additional</w:t>
            </w:r>
          </w:p>
          <w:p w14:paraId="53F6B484" w14:textId="77777777" w:rsidR="00A674CA" w:rsidRPr="00E8394D" w:rsidRDefault="00A674CA" w:rsidP="00BC1D6E">
            <w:pPr>
              <w:pStyle w:val="NormalWeb"/>
              <w:rPr>
                <w:sz w:val="16"/>
                <w:szCs w:val="16"/>
                <w:lang w:val="en-GB"/>
              </w:rPr>
            </w:pPr>
            <w:r w:rsidRPr="00E8394D">
              <w:rPr>
                <w:b/>
                <w:sz w:val="16"/>
                <w:szCs w:val="16"/>
                <w:lang w:val="en-GB"/>
              </w:rPr>
              <w:t>Source:</w:t>
            </w:r>
            <w:r w:rsidRPr="00E8394D">
              <w:rPr>
                <w:sz w:val="16"/>
                <w:szCs w:val="16"/>
                <w:lang w:val="en-GB"/>
              </w:rPr>
              <w:t xml:space="preserve"> UNDP </w:t>
            </w:r>
            <w:r w:rsidR="007002BA">
              <w:rPr>
                <w:sz w:val="16"/>
                <w:szCs w:val="16"/>
                <w:lang w:val="en-GB"/>
              </w:rPr>
              <w:t>p</w:t>
            </w:r>
            <w:r w:rsidRPr="00E8394D">
              <w:rPr>
                <w:sz w:val="16"/>
                <w:szCs w:val="16"/>
                <w:lang w:val="en-GB"/>
              </w:rPr>
              <w:t xml:space="preserve">roject reports, </w:t>
            </w:r>
            <w:r w:rsidR="007002BA">
              <w:rPr>
                <w:sz w:val="16"/>
                <w:szCs w:val="16"/>
                <w:lang w:val="en-GB"/>
              </w:rPr>
              <w:t>n</w:t>
            </w:r>
            <w:r w:rsidRPr="00E8394D">
              <w:rPr>
                <w:sz w:val="16"/>
                <w:szCs w:val="16"/>
                <w:lang w:val="en-GB"/>
              </w:rPr>
              <w:t xml:space="preserve">ational </w:t>
            </w:r>
            <w:r w:rsidR="007002BA">
              <w:rPr>
                <w:sz w:val="16"/>
                <w:szCs w:val="16"/>
                <w:lang w:val="en-GB"/>
              </w:rPr>
              <w:t>w</w:t>
            </w:r>
            <w:r w:rsidRPr="00E8394D">
              <w:rPr>
                <w:sz w:val="16"/>
                <w:szCs w:val="16"/>
                <w:lang w:val="en-GB"/>
              </w:rPr>
              <w:t xml:space="preserve">eather </w:t>
            </w:r>
            <w:r w:rsidR="007002BA">
              <w:rPr>
                <w:sz w:val="16"/>
                <w:szCs w:val="16"/>
                <w:lang w:val="en-GB"/>
              </w:rPr>
              <w:t>s</w:t>
            </w:r>
            <w:r w:rsidRPr="00E8394D">
              <w:rPr>
                <w:sz w:val="16"/>
                <w:szCs w:val="16"/>
                <w:lang w:val="en-GB"/>
              </w:rPr>
              <w:t xml:space="preserve">ervice report, annual </w:t>
            </w:r>
          </w:p>
          <w:p w14:paraId="3A7800EC" w14:textId="77777777" w:rsidR="00A674CA" w:rsidRPr="00E8394D" w:rsidRDefault="00A674CA" w:rsidP="00BC1D6E">
            <w:pPr>
              <w:pStyle w:val="Default"/>
              <w:rPr>
                <w:rFonts w:ascii="Times New Roman" w:hAnsi="Times New Roman" w:cs="Times New Roman"/>
                <w:b/>
                <w:color w:val="auto"/>
                <w:sz w:val="16"/>
                <w:szCs w:val="16"/>
                <w:lang w:val="en-GB" w:eastAsia="en-US"/>
              </w:rPr>
            </w:pPr>
          </w:p>
          <w:p w14:paraId="28C836D3" w14:textId="77777777" w:rsidR="00A674CA" w:rsidRPr="00E8394D" w:rsidRDefault="00A674CA" w:rsidP="00BC1D6E">
            <w:pPr>
              <w:pStyle w:val="Default"/>
              <w:rPr>
                <w:rFonts w:ascii="Times New Roman" w:hAnsi="Times New Roman" w:cs="Times New Roman"/>
                <w:color w:val="auto"/>
                <w:sz w:val="16"/>
                <w:szCs w:val="16"/>
                <w:lang w:val="en-GB" w:eastAsia="en-US"/>
              </w:rPr>
            </w:pPr>
            <w:r w:rsidRPr="00E8394D">
              <w:rPr>
                <w:rFonts w:ascii="Times New Roman" w:hAnsi="Times New Roman" w:cs="Times New Roman"/>
                <w:b/>
                <w:color w:val="auto"/>
                <w:sz w:val="16"/>
                <w:szCs w:val="16"/>
                <w:lang w:val="en-GB" w:eastAsia="en-US"/>
              </w:rPr>
              <w:lastRenderedPageBreak/>
              <w:t xml:space="preserve">3.2.3: </w:t>
            </w:r>
            <w:r w:rsidR="00153ED8">
              <w:rPr>
                <w:rFonts w:ascii="Times New Roman" w:hAnsi="Times New Roman" w:cs="Times New Roman"/>
                <w:color w:val="auto"/>
                <w:sz w:val="16"/>
                <w:szCs w:val="16"/>
                <w:lang w:val="en-GB" w:eastAsia="en-US"/>
              </w:rPr>
              <w:t>Percentage</w:t>
            </w:r>
            <w:r w:rsidRPr="00E8394D">
              <w:rPr>
                <w:rFonts w:ascii="Times New Roman" w:hAnsi="Times New Roman" w:cs="Times New Roman"/>
                <w:color w:val="auto"/>
                <w:sz w:val="16"/>
                <w:szCs w:val="16"/>
                <w:lang w:val="en-GB" w:eastAsia="en-US"/>
              </w:rPr>
              <w:t xml:space="preserve"> of minimum preparedness measure</w:t>
            </w:r>
            <w:r w:rsidR="00C53433" w:rsidRPr="00E8394D">
              <w:rPr>
                <w:rFonts w:ascii="Times New Roman" w:hAnsi="Times New Roman" w:cs="Times New Roman"/>
                <w:color w:val="auto"/>
                <w:sz w:val="16"/>
                <w:szCs w:val="16"/>
                <w:lang w:val="en-GB" w:eastAsia="en-US"/>
              </w:rPr>
              <w:t xml:space="preserve">s for </w:t>
            </w:r>
            <w:r w:rsidR="00153ED8">
              <w:rPr>
                <w:rFonts w:ascii="Times New Roman" w:hAnsi="Times New Roman" w:cs="Times New Roman"/>
                <w:color w:val="auto"/>
                <w:sz w:val="16"/>
                <w:szCs w:val="16"/>
                <w:lang w:val="en-GB" w:eastAsia="en-US"/>
              </w:rPr>
              <w:t>d</w:t>
            </w:r>
            <w:r w:rsidR="00C53433" w:rsidRPr="00E8394D">
              <w:rPr>
                <w:rFonts w:ascii="Times New Roman" w:hAnsi="Times New Roman" w:cs="Times New Roman"/>
                <w:color w:val="auto"/>
                <w:sz w:val="16"/>
                <w:szCs w:val="16"/>
                <w:lang w:val="en-GB" w:eastAsia="en-US"/>
              </w:rPr>
              <w:t xml:space="preserve">isaster </w:t>
            </w:r>
            <w:r w:rsidR="00153ED8">
              <w:rPr>
                <w:rFonts w:ascii="Times New Roman" w:hAnsi="Times New Roman" w:cs="Times New Roman"/>
                <w:color w:val="auto"/>
                <w:sz w:val="16"/>
                <w:szCs w:val="16"/>
                <w:lang w:val="en-GB" w:eastAsia="en-US"/>
              </w:rPr>
              <w:t>m</w:t>
            </w:r>
            <w:r w:rsidR="00C53433" w:rsidRPr="00E8394D">
              <w:rPr>
                <w:rFonts w:ascii="Times New Roman" w:hAnsi="Times New Roman" w:cs="Times New Roman"/>
                <w:color w:val="auto"/>
                <w:sz w:val="16"/>
                <w:szCs w:val="16"/>
                <w:lang w:val="en-GB" w:eastAsia="en-US"/>
              </w:rPr>
              <w:t xml:space="preserve">anagement </w:t>
            </w:r>
            <w:r w:rsidR="00153ED8">
              <w:rPr>
                <w:rFonts w:ascii="Times New Roman" w:hAnsi="Times New Roman" w:cs="Times New Roman"/>
                <w:color w:val="auto"/>
                <w:sz w:val="16"/>
                <w:szCs w:val="16"/>
                <w:lang w:val="en-GB" w:eastAsia="en-US"/>
              </w:rPr>
              <w:t>t</w:t>
            </w:r>
            <w:r w:rsidR="00C53433" w:rsidRPr="00E8394D">
              <w:rPr>
                <w:rFonts w:ascii="Times New Roman" w:hAnsi="Times New Roman" w:cs="Times New Roman"/>
                <w:color w:val="auto"/>
                <w:sz w:val="16"/>
                <w:szCs w:val="16"/>
                <w:lang w:val="en-GB" w:eastAsia="en-US"/>
              </w:rPr>
              <w:t>eam</w:t>
            </w:r>
            <w:r w:rsidRPr="00E8394D">
              <w:rPr>
                <w:rFonts w:ascii="Times New Roman" w:hAnsi="Times New Roman" w:cs="Times New Roman"/>
                <w:color w:val="auto"/>
                <w:sz w:val="16"/>
                <w:szCs w:val="16"/>
                <w:lang w:val="en-GB" w:eastAsia="en-US"/>
              </w:rPr>
              <w:t xml:space="preserve"> in P</w:t>
            </w:r>
            <w:r w:rsidR="00153ED8">
              <w:rPr>
                <w:rFonts w:ascii="Times New Roman" w:hAnsi="Times New Roman" w:cs="Times New Roman"/>
                <w:color w:val="auto"/>
                <w:sz w:val="16"/>
                <w:szCs w:val="16"/>
                <w:lang w:val="en-GB" w:eastAsia="en-US"/>
              </w:rPr>
              <w:t xml:space="preserve">apua New Guinea </w:t>
            </w:r>
            <w:r w:rsidRPr="00E8394D">
              <w:rPr>
                <w:rFonts w:ascii="Times New Roman" w:hAnsi="Times New Roman" w:cs="Times New Roman"/>
                <w:color w:val="auto"/>
                <w:sz w:val="16"/>
                <w:szCs w:val="16"/>
                <w:lang w:val="en-GB" w:eastAsia="en-US"/>
              </w:rPr>
              <w:t>are in place</w:t>
            </w:r>
            <w:r w:rsidRPr="00E8394D">
              <w:rPr>
                <w:rStyle w:val="FootnoteReference"/>
                <w:rFonts w:ascii="Times New Roman" w:hAnsi="Times New Roman"/>
                <w:color w:val="auto"/>
                <w:sz w:val="16"/>
                <w:szCs w:val="16"/>
                <w:lang w:val="en-GB" w:eastAsia="en-US"/>
              </w:rPr>
              <w:footnoteReference w:id="26"/>
            </w:r>
            <w:r w:rsidRPr="00E8394D">
              <w:rPr>
                <w:rFonts w:ascii="Times New Roman" w:hAnsi="Times New Roman" w:cs="Times New Roman"/>
                <w:color w:val="auto"/>
                <w:sz w:val="16"/>
                <w:szCs w:val="16"/>
                <w:lang w:val="en-GB" w:eastAsia="en-US"/>
              </w:rPr>
              <w:t xml:space="preserve"> (IRRF 5.2.1)</w:t>
            </w:r>
          </w:p>
          <w:p w14:paraId="23EC155F" w14:textId="77777777" w:rsidR="00A674CA" w:rsidRPr="00E8394D" w:rsidRDefault="00A674CA" w:rsidP="00BC1D6E">
            <w:pPr>
              <w:pStyle w:val="Default"/>
              <w:rPr>
                <w:rFonts w:ascii="Times New Roman" w:hAnsi="Times New Roman" w:cs="Times New Roman"/>
                <w:color w:val="auto"/>
                <w:sz w:val="16"/>
                <w:szCs w:val="16"/>
                <w:lang w:val="en-GB"/>
              </w:rPr>
            </w:pPr>
            <w:r w:rsidRPr="00E8394D">
              <w:rPr>
                <w:rFonts w:ascii="Times New Roman" w:hAnsi="Times New Roman" w:cs="Times New Roman"/>
                <w:b/>
                <w:color w:val="auto"/>
                <w:sz w:val="16"/>
                <w:szCs w:val="16"/>
                <w:lang w:val="en-GB" w:eastAsia="en-US"/>
              </w:rPr>
              <w:t>Baseline:</w:t>
            </w:r>
            <w:r w:rsidRPr="00E8394D">
              <w:rPr>
                <w:rFonts w:ascii="Times New Roman" w:hAnsi="Times New Roman" w:cs="Times New Roman"/>
                <w:color w:val="auto"/>
                <w:sz w:val="16"/>
                <w:szCs w:val="16"/>
                <w:lang w:val="en-GB"/>
              </w:rPr>
              <w:t xml:space="preserve"> </w:t>
            </w:r>
            <w:r w:rsidRPr="00E8394D">
              <w:rPr>
                <w:rFonts w:ascii="Times New Roman" w:hAnsi="Times New Roman" w:cs="Times New Roman"/>
                <w:color w:val="auto"/>
                <w:sz w:val="16"/>
                <w:szCs w:val="16"/>
                <w:lang w:val="en-GB" w:eastAsia="en-US"/>
              </w:rPr>
              <w:t>30% (2017)</w:t>
            </w:r>
          </w:p>
          <w:p w14:paraId="32FC9363" w14:textId="77777777" w:rsidR="00A674CA" w:rsidRPr="00E8394D" w:rsidRDefault="00A674CA" w:rsidP="00BC1D6E">
            <w:pPr>
              <w:pStyle w:val="Default"/>
              <w:rPr>
                <w:rFonts w:ascii="Times New Roman" w:hAnsi="Times New Roman" w:cs="Times New Roman"/>
                <w:color w:val="auto"/>
                <w:sz w:val="16"/>
                <w:szCs w:val="16"/>
                <w:lang w:val="en-GB" w:eastAsia="en-US"/>
              </w:rPr>
            </w:pPr>
            <w:r w:rsidRPr="00E8394D">
              <w:rPr>
                <w:rFonts w:ascii="Times New Roman" w:hAnsi="Times New Roman" w:cs="Times New Roman"/>
                <w:b/>
                <w:color w:val="auto"/>
                <w:sz w:val="16"/>
                <w:szCs w:val="16"/>
                <w:lang w:val="en-GB" w:eastAsia="en-US"/>
              </w:rPr>
              <w:t xml:space="preserve">Target: </w:t>
            </w:r>
            <w:r w:rsidRPr="00E8394D">
              <w:rPr>
                <w:rFonts w:ascii="Times New Roman" w:hAnsi="Times New Roman" w:cs="Times New Roman"/>
                <w:color w:val="auto"/>
                <w:sz w:val="16"/>
                <w:szCs w:val="16"/>
                <w:lang w:val="en-GB" w:eastAsia="en-US"/>
              </w:rPr>
              <w:t xml:space="preserve">100% </w:t>
            </w:r>
          </w:p>
          <w:p w14:paraId="1EAF0772" w14:textId="77777777" w:rsidR="00A674CA" w:rsidRPr="00E8394D" w:rsidRDefault="00A674CA" w:rsidP="00BC1D6E">
            <w:pPr>
              <w:tabs>
                <w:tab w:val="left" w:pos="958"/>
              </w:tabs>
              <w:rPr>
                <w:sz w:val="16"/>
                <w:szCs w:val="16"/>
                <w:lang w:val="en-GB"/>
              </w:rPr>
            </w:pPr>
            <w:r w:rsidRPr="00E8394D">
              <w:rPr>
                <w:b/>
                <w:sz w:val="16"/>
                <w:szCs w:val="16"/>
                <w:lang w:val="en-GB"/>
              </w:rPr>
              <w:t xml:space="preserve">Source: </w:t>
            </w:r>
            <w:r w:rsidRPr="00E8394D">
              <w:rPr>
                <w:sz w:val="16"/>
                <w:szCs w:val="16"/>
                <w:lang w:val="en-GB"/>
              </w:rPr>
              <w:t xml:space="preserve">Disaster </w:t>
            </w:r>
            <w:r w:rsidR="00153ED8">
              <w:rPr>
                <w:sz w:val="16"/>
                <w:szCs w:val="16"/>
                <w:lang w:val="en-GB"/>
              </w:rPr>
              <w:t>m</w:t>
            </w:r>
            <w:r w:rsidRPr="00E8394D">
              <w:rPr>
                <w:sz w:val="16"/>
                <w:szCs w:val="16"/>
                <w:lang w:val="en-GB"/>
              </w:rPr>
              <w:t xml:space="preserve">anagement </w:t>
            </w:r>
            <w:r w:rsidR="00153ED8">
              <w:rPr>
                <w:sz w:val="16"/>
                <w:szCs w:val="16"/>
                <w:lang w:val="en-GB"/>
              </w:rPr>
              <w:t>t</w:t>
            </w:r>
            <w:r w:rsidRPr="00E8394D">
              <w:rPr>
                <w:sz w:val="16"/>
                <w:szCs w:val="16"/>
                <w:lang w:val="en-GB"/>
              </w:rPr>
              <w:t xml:space="preserve">eam </w:t>
            </w:r>
            <w:r w:rsidR="006976D0" w:rsidRPr="00E8394D">
              <w:rPr>
                <w:sz w:val="16"/>
                <w:szCs w:val="16"/>
                <w:lang w:val="en-GB"/>
              </w:rPr>
              <w:t>report, annual</w:t>
            </w:r>
          </w:p>
          <w:p w14:paraId="3BBD6905" w14:textId="77777777" w:rsidR="006976D0" w:rsidRPr="00E8394D" w:rsidRDefault="006976D0" w:rsidP="00BC1D6E">
            <w:pPr>
              <w:tabs>
                <w:tab w:val="left" w:pos="958"/>
              </w:tabs>
              <w:rPr>
                <w:sz w:val="16"/>
                <w:szCs w:val="16"/>
                <w:lang w:val="en-GB"/>
              </w:rPr>
            </w:pPr>
          </w:p>
          <w:p w14:paraId="6C72BF07" w14:textId="77777777" w:rsidR="006976D0" w:rsidRPr="00E8394D" w:rsidRDefault="006976D0" w:rsidP="006976D0">
            <w:pPr>
              <w:pStyle w:val="Default"/>
              <w:rPr>
                <w:rFonts w:ascii="Times New Roman" w:hAnsi="Times New Roman" w:cs="Times New Roman"/>
                <w:color w:val="auto"/>
                <w:sz w:val="16"/>
                <w:szCs w:val="16"/>
                <w:lang w:val="en-GB" w:eastAsia="en-US"/>
              </w:rPr>
            </w:pPr>
            <w:r w:rsidRPr="00E8394D">
              <w:rPr>
                <w:rFonts w:ascii="Times New Roman" w:hAnsi="Times New Roman" w:cs="Times New Roman"/>
                <w:b/>
                <w:color w:val="auto"/>
                <w:sz w:val="16"/>
                <w:szCs w:val="16"/>
                <w:lang w:val="en-GB" w:eastAsia="en-US"/>
              </w:rPr>
              <w:t xml:space="preserve">3.2.4: </w:t>
            </w:r>
            <w:r w:rsidRPr="00E8394D">
              <w:rPr>
                <w:rFonts w:ascii="Times New Roman" w:hAnsi="Times New Roman" w:cs="Times New Roman"/>
                <w:color w:val="auto"/>
                <w:sz w:val="16"/>
                <w:szCs w:val="16"/>
                <w:lang w:val="en-GB" w:eastAsia="en-US"/>
              </w:rPr>
              <w:t xml:space="preserve">Disaster </w:t>
            </w:r>
            <w:r w:rsidR="00153ED8">
              <w:rPr>
                <w:rFonts w:ascii="Times New Roman" w:hAnsi="Times New Roman" w:cs="Times New Roman"/>
                <w:color w:val="auto"/>
                <w:sz w:val="16"/>
                <w:szCs w:val="16"/>
                <w:lang w:val="en-GB" w:eastAsia="en-US"/>
              </w:rPr>
              <w:t>r</w:t>
            </w:r>
            <w:r w:rsidRPr="00E8394D">
              <w:rPr>
                <w:rFonts w:ascii="Times New Roman" w:hAnsi="Times New Roman" w:cs="Times New Roman"/>
                <w:color w:val="auto"/>
                <w:sz w:val="16"/>
                <w:szCs w:val="16"/>
                <w:lang w:val="en-GB" w:eastAsia="en-US"/>
              </w:rPr>
              <w:t xml:space="preserve">ecovery funding incorporated into </w:t>
            </w:r>
            <w:r w:rsidR="00153ED8">
              <w:rPr>
                <w:rFonts w:ascii="Times New Roman" w:hAnsi="Times New Roman" w:cs="Times New Roman"/>
                <w:color w:val="auto"/>
                <w:sz w:val="16"/>
                <w:szCs w:val="16"/>
                <w:lang w:val="en-GB" w:eastAsia="en-US"/>
              </w:rPr>
              <w:t xml:space="preserve">the </w:t>
            </w:r>
            <w:r w:rsidRPr="00E8394D">
              <w:rPr>
                <w:rFonts w:ascii="Times New Roman" w:hAnsi="Times New Roman" w:cs="Times New Roman"/>
                <w:color w:val="auto"/>
                <w:sz w:val="16"/>
                <w:szCs w:val="16"/>
                <w:lang w:val="en-GB" w:eastAsia="en-US"/>
              </w:rPr>
              <w:t xml:space="preserve">Government’s disaster financing approach </w:t>
            </w:r>
          </w:p>
          <w:p w14:paraId="0917640F" w14:textId="77777777" w:rsidR="006976D0" w:rsidRPr="00E8394D" w:rsidRDefault="006976D0" w:rsidP="006976D0">
            <w:pPr>
              <w:pStyle w:val="Default"/>
              <w:rPr>
                <w:rFonts w:ascii="Times New Roman" w:hAnsi="Times New Roman" w:cs="Times New Roman"/>
                <w:color w:val="auto"/>
                <w:sz w:val="16"/>
                <w:szCs w:val="16"/>
                <w:lang w:val="en-GB"/>
              </w:rPr>
            </w:pPr>
            <w:r w:rsidRPr="00E8394D">
              <w:rPr>
                <w:rFonts w:ascii="Times New Roman" w:hAnsi="Times New Roman" w:cs="Times New Roman"/>
                <w:b/>
                <w:color w:val="auto"/>
                <w:sz w:val="16"/>
                <w:szCs w:val="16"/>
                <w:lang w:val="en-GB" w:eastAsia="en-US"/>
              </w:rPr>
              <w:t>Baseline:</w:t>
            </w:r>
            <w:r w:rsidRPr="00E8394D">
              <w:rPr>
                <w:rFonts w:ascii="Times New Roman" w:hAnsi="Times New Roman" w:cs="Times New Roman"/>
                <w:color w:val="auto"/>
                <w:sz w:val="16"/>
                <w:szCs w:val="16"/>
                <w:lang w:val="en-GB"/>
              </w:rPr>
              <w:t xml:space="preserve"> </w:t>
            </w:r>
            <w:r w:rsidRPr="00E8394D">
              <w:rPr>
                <w:rFonts w:ascii="Times New Roman" w:hAnsi="Times New Roman" w:cs="Times New Roman"/>
                <w:color w:val="auto"/>
                <w:sz w:val="16"/>
                <w:szCs w:val="16"/>
                <w:lang w:val="en-GB" w:eastAsia="en-US"/>
              </w:rPr>
              <w:t>0 (2017)</w:t>
            </w:r>
          </w:p>
          <w:p w14:paraId="6166584E" w14:textId="77777777" w:rsidR="006976D0" w:rsidRPr="00E8394D" w:rsidRDefault="006976D0" w:rsidP="006976D0">
            <w:pPr>
              <w:pStyle w:val="Default"/>
              <w:rPr>
                <w:rFonts w:ascii="Times New Roman" w:hAnsi="Times New Roman" w:cs="Times New Roman"/>
                <w:color w:val="auto"/>
                <w:sz w:val="16"/>
                <w:szCs w:val="16"/>
                <w:lang w:val="en-GB" w:eastAsia="en-US"/>
              </w:rPr>
            </w:pPr>
            <w:r w:rsidRPr="00E8394D">
              <w:rPr>
                <w:rFonts w:ascii="Times New Roman" w:hAnsi="Times New Roman" w:cs="Times New Roman"/>
                <w:b/>
                <w:color w:val="auto"/>
                <w:sz w:val="16"/>
                <w:szCs w:val="16"/>
                <w:lang w:val="en-GB" w:eastAsia="en-US"/>
              </w:rPr>
              <w:t xml:space="preserve">Target: </w:t>
            </w:r>
            <w:r w:rsidR="00BF7AED" w:rsidRPr="00E8394D">
              <w:rPr>
                <w:rFonts w:ascii="Times New Roman" w:hAnsi="Times New Roman" w:cs="Times New Roman"/>
                <w:color w:val="auto"/>
                <w:sz w:val="16"/>
                <w:szCs w:val="16"/>
                <w:lang w:val="en-GB" w:eastAsia="en-US"/>
              </w:rPr>
              <w:t>1</w:t>
            </w:r>
          </w:p>
          <w:p w14:paraId="2E56A5C4" w14:textId="77777777" w:rsidR="006976D0" w:rsidRPr="00E8394D" w:rsidRDefault="006976D0" w:rsidP="00B273F2">
            <w:pPr>
              <w:tabs>
                <w:tab w:val="left" w:pos="958"/>
              </w:tabs>
              <w:rPr>
                <w:sz w:val="16"/>
                <w:szCs w:val="16"/>
                <w:lang w:val="en-GB"/>
              </w:rPr>
            </w:pPr>
            <w:r w:rsidRPr="00E8394D">
              <w:rPr>
                <w:b/>
                <w:sz w:val="16"/>
                <w:szCs w:val="16"/>
                <w:lang w:val="en-GB"/>
              </w:rPr>
              <w:t xml:space="preserve">Source: </w:t>
            </w:r>
            <w:r w:rsidRPr="00E8394D">
              <w:rPr>
                <w:sz w:val="16"/>
                <w:szCs w:val="16"/>
                <w:lang w:val="en-GB"/>
              </w:rPr>
              <w:t>Government report, annual</w:t>
            </w:r>
          </w:p>
        </w:tc>
        <w:tc>
          <w:tcPr>
            <w:tcW w:w="894" w:type="pct"/>
            <w:shd w:val="clear" w:color="auto" w:fill="auto"/>
          </w:tcPr>
          <w:p w14:paraId="4D222C97" w14:textId="77777777" w:rsidR="00A674CA" w:rsidRPr="00E8394D" w:rsidRDefault="00A674CA" w:rsidP="00F0280F">
            <w:pPr>
              <w:ind w:left="169"/>
              <w:rPr>
                <w:rFonts w:eastAsiaTheme="minorHAnsi"/>
                <w:sz w:val="16"/>
                <w:szCs w:val="16"/>
                <w:lang w:val="en-GB"/>
              </w:rPr>
            </w:pPr>
            <w:r w:rsidRPr="00E8394D">
              <w:rPr>
                <w:iCs/>
                <w:sz w:val="16"/>
                <w:szCs w:val="16"/>
                <w:lang w:val="en-GB"/>
              </w:rPr>
              <w:lastRenderedPageBreak/>
              <w:t>Climate Change Development Authority (CCDA), World Bank,</w:t>
            </w:r>
            <w:r w:rsidR="00906CBC" w:rsidRPr="00E8394D">
              <w:rPr>
                <w:iCs/>
                <w:sz w:val="16"/>
                <w:szCs w:val="16"/>
                <w:lang w:val="en-GB"/>
              </w:rPr>
              <w:t xml:space="preserve"> Asian Development Bank,</w:t>
            </w:r>
            <w:r w:rsidRPr="00E8394D">
              <w:rPr>
                <w:iCs/>
                <w:sz w:val="16"/>
                <w:szCs w:val="16"/>
                <w:lang w:val="en-GB"/>
              </w:rPr>
              <w:t xml:space="preserve"> NGO Eco-Forestry Forum, </w:t>
            </w:r>
            <w:r w:rsidRPr="00E8394D">
              <w:rPr>
                <w:iCs/>
                <w:sz w:val="16"/>
                <w:szCs w:val="16"/>
                <w:lang w:val="en-GB"/>
              </w:rPr>
              <w:lastRenderedPageBreak/>
              <w:t>Global Environment Facility</w:t>
            </w:r>
            <w:r w:rsidR="00C7785A">
              <w:rPr>
                <w:iCs/>
                <w:sz w:val="16"/>
                <w:szCs w:val="16"/>
                <w:lang w:val="en-GB"/>
              </w:rPr>
              <w:t xml:space="preserve"> (GEF)</w:t>
            </w:r>
            <w:r w:rsidRPr="00E8394D">
              <w:rPr>
                <w:iCs/>
                <w:sz w:val="16"/>
                <w:szCs w:val="16"/>
                <w:lang w:val="en-GB"/>
              </w:rPr>
              <w:t xml:space="preserve">, Conservation Environment Protection Authority, NGOs (Tenkile Conservation Alliance, Woodland Park Zoo, Tree Kangaroo Conservation Programme), National Disaster Centre, </w:t>
            </w:r>
            <w:r w:rsidR="00927EE6">
              <w:rPr>
                <w:iCs/>
                <w:sz w:val="16"/>
                <w:szCs w:val="16"/>
                <w:lang w:val="en-GB"/>
              </w:rPr>
              <w:t>United Nations Environment Programme (</w:t>
            </w:r>
            <w:r w:rsidRPr="00E8394D">
              <w:rPr>
                <w:iCs/>
                <w:sz w:val="16"/>
                <w:szCs w:val="16"/>
                <w:lang w:val="en-GB"/>
              </w:rPr>
              <w:t>UNEP</w:t>
            </w:r>
            <w:r w:rsidR="00927EE6">
              <w:rPr>
                <w:iCs/>
                <w:sz w:val="16"/>
                <w:szCs w:val="16"/>
                <w:lang w:val="en-GB"/>
              </w:rPr>
              <w:t>)</w:t>
            </w:r>
            <w:r w:rsidRPr="00E8394D">
              <w:rPr>
                <w:iCs/>
                <w:sz w:val="16"/>
                <w:szCs w:val="16"/>
                <w:lang w:val="en-GB"/>
              </w:rPr>
              <w:t xml:space="preserve">, </w:t>
            </w:r>
            <w:r w:rsidR="00927EE6">
              <w:rPr>
                <w:iCs/>
                <w:sz w:val="16"/>
                <w:szCs w:val="16"/>
                <w:lang w:val="en-GB"/>
              </w:rPr>
              <w:t>Food and Agriculture Organization of the United Nations (</w:t>
            </w:r>
            <w:r w:rsidRPr="00E8394D">
              <w:rPr>
                <w:iCs/>
                <w:sz w:val="16"/>
                <w:szCs w:val="16"/>
                <w:lang w:val="en-GB"/>
              </w:rPr>
              <w:t>FAO</w:t>
            </w:r>
            <w:r w:rsidR="00927EE6">
              <w:rPr>
                <w:iCs/>
                <w:sz w:val="16"/>
                <w:szCs w:val="16"/>
                <w:lang w:val="en-GB"/>
              </w:rPr>
              <w:t>), International Organization of Migration (</w:t>
            </w:r>
            <w:r w:rsidRPr="00E8394D">
              <w:rPr>
                <w:iCs/>
                <w:sz w:val="16"/>
                <w:szCs w:val="16"/>
                <w:lang w:val="en-GB"/>
              </w:rPr>
              <w:t>IOM</w:t>
            </w:r>
            <w:r w:rsidR="00927EE6">
              <w:rPr>
                <w:iCs/>
                <w:sz w:val="16"/>
                <w:szCs w:val="16"/>
                <w:lang w:val="en-GB"/>
              </w:rPr>
              <w:t>)</w:t>
            </w:r>
          </w:p>
        </w:tc>
        <w:tc>
          <w:tcPr>
            <w:tcW w:w="738" w:type="pct"/>
            <w:gridSpan w:val="2"/>
            <w:shd w:val="clear" w:color="auto" w:fill="auto"/>
            <w:tcMar>
              <w:top w:w="15" w:type="dxa"/>
              <w:left w:w="108" w:type="dxa"/>
              <w:bottom w:w="0" w:type="dxa"/>
              <w:right w:w="108" w:type="dxa"/>
            </w:tcMar>
          </w:tcPr>
          <w:p w14:paraId="33157546" w14:textId="77777777" w:rsidR="00A674CA" w:rsidRPr="00E8394D" w:rsidRDefault="00A674CA" w:rsidP="00BC1D6E">
            <w:pPr>
              <w:rPr>
                <w:iCs/>
                <w:sz w:val="16"/>
                <w:szCs w:val="16"/>
                <w:lang w:val="en-GB"/>
              </w:rPr>
            </w:pPr>
            <w:r w:rsidRPr="00E8394D">
              <w:rPr>
                <w:b/>
                <w:iCs/>
                <w:sz w:val="16"/>
                <w:szCs w:val="16"/>
                <w:lang w:val="en-GB"/>
              </w:rPr>
              <w:lastRenderedPageBreak/>
              <w:t>Regular:</w:t>
            </w:r>
            <w:r w:rsidR="008674FD" w:rsidRPr="00E8394D">
              <w:rPr>
                <w:iCs/>
                <w:sz w:val="16"/>
                <w:szCs w:val="16"/>
                <w:lang w:val="en-GB"/>
              </w:rPr>
              <w:t xml:space="preserve"> </w:t>
            </w:r>
            <w:r w:rsidRPr="00E8394D">
              <w:rPr>
                <w:iCs/>
                <w:sz w:val="16"/>
                <w:szCs w:val="16"/>
                <w:lang w:val="en-GB"/>
              </w:rPr>
              <w:t>1,135,000</w:t>
            </w:r>
          </w:p>
          <w:p w14:paraId="5940BECB" w14:textId="77777777" w:rsidR="00A674CA" w:rsidRPr="00E8394D" w:rsidRDefault="00A674CA" w:rsidP="00BC1D6E">
            <w:pPr>
              <w:rPr>
                <w:iCs/>
                <w:sz w:val="16"/>
                <w:szCs w:val="16"/>
                <w:lang w:val="en-GB"/>
              </w:rPr>
            </w:pPr>
            <w:r w:rsidRPr="00E8394D">
              <w:rPr>
                <w:b/>
                <w:iCs/>
                <w:sz w:val="16"/>
                <w:szCs w:val="16"/>
                <w:lang w:val="en-GB"/>
              </w:rPr>
              <w:t xml:space="preserve">World Bank: </w:t>
            </w:r>
            <w:r w:rsidRPr="00E8394D">
              <w:rPr>
                <w:iCs/>
                <w:sz w:val="16"/>
                <w:szCs w:val="16"/>
                <w:lang w:val="en-GB"/>
              </w:rPr>
              <w:t>5,600,000</w:t>
            </w:r>
          </w:p>
          <w:p w14:paraId="23E44CB6" w14:textId="77777777" w:rsidR="00A674CA" w:rsidRPr="00E8394D" w:rsidRDefault="00A674CA" w:rsidP="00BC1D6E">
            <w:pPr>
              <w:rPr>
                <w:b/>
                <w:sz w:val="16"/>
                <w:szCs w:val="16"/>
                <w:lang w:val="en-GB"/>
              </w:rPr>
            </w:pPr>
            <w:r w:rsidRPr="00E8394D">
              <w:rPr>
                <w:b/>
                <w:iCs/>
                <w:sz w:val="16"/>
                <w:szCs w:val="16"/>
                <w:lang w:val="en-GB"/>
              </w:rPr>
              <w:t xml:space="preserve">Adaptation </w:t>
            </w:r>
            <w:r w:rsidR="00927EE6">
              <w:rPr>
                <w:b/>
                <w:iCs/>
                <w:sz w:val="16"/>
                <w:szCs w:val="16"/>
                <w:lang w:val="en-GB"/>
              </w:rPr>
              <w:t>f</w:t>
            </w:r>
            <w:r w:rsidRPr="00E8394D">
              <w:rPr>
                <w:b/>
                <w:iCs/>
                <w:sz w:val="16"/>
                <w:szCs w:val="16"/>
                <w:lang w:val="en-GB"/>
              </w:rPr>
              <w:t>und</w:t>
            </w:r>
            <w:r w:rsidR="00927EE6">
              <w:rPr>
                <w:b/>
                <w:iCs/>
                <w:sz w:val="16"/>
                <w:szCs w:val="16"/>
                <w:lang w:val="en-GB"/>
              </w:rPr>
              <w:t>s</w:t>
            </w:r>
            <w:r w:rsidRPr="00E8394D">
              <w:rPr>
                <w:b/>
                <w:iCs/>
                <w:sz w:val="16"/>
                <w:szCs w:val="16"/>
                <w:lang w:val="en-GB"/>
              </w:rPr>
              <w:t>:</w:t>
            </w:r>
            <w:r w:rsidRPr="00E8394D">
              <w:rPr>
                <w:iCs/>
                <w:sz w:val="16"/>
                <w:szCs w:val="16"/>
                <w:lang w:val="en-GB"/>
              </w:rPr>
              <w:t xml:space="preserve"> 1,100,000</w:t>
            </w:r>
            <w:r w:rsidRPr="00E8394D">
              <w:rPr>
                <w:b/>
                <w:sz w:val="16"/>
                <w:szCs w:val="16"/>
                <w:lang w:val="en-GB"/>
              </w:rPr>
              <w:t xml:space="preserve"> </w:t>
            </w:r>
          </w:p>
          <w:p w14:paraId="085FA93A" w14:textId="77777777" w:rsidR="00A674CA" w:rsidRPr="00E8394D" w:rsidRDefault="005D6D37" w:rsidP="00BC1D6E">
            <w:pPr>
              <w:rPr>
                <w:b/>
                <w:sz w:val="16"/>
                <w:szCs w:val="16"/>
                <w:lang w:val="en-GB"/>
              </w:rPr>
            </w:pPr>
            <w:r w:rsidRPr="00E8394D">
              <w:rPr>
                <w:b/>
                <w:sz w:val="16"/>
                <w:szCs w:val="16"/>
                <w:lang w:val="en-GB"/>
              </w:rPr>
              <w:lastRenderedPageBreak/>
              <w:t>D</w:t>
            </w:r>
            <w:r>
              <w:rPr>
                <w:b/>
                <w:sz w:val="16"/>
                <w:szCs w:val="16"/>
                <w:lang w:val="en-GB"/>
              </w:rPr>
              <w:t>epartment of Foreign Affairs and Trade</w:t>
            </w:r>
            <w:r w:rsidR="00A674CA" w:rsidRPr="00E8394D">
              <w:rPr>
                <w:b/>
                <w:sz w:val="16"/>
                <w:szCs w:val="16"/>
                <w:lang w:val="en-GB"/>
              </w:rPr>
              <w:t xml:space="preserve">: </w:t>
            </w:r>
            <w:r w:rsidR="00A674CA" w:rsidRPr="00E8394D">
              <w:rPr>
                <w:iCs/>
                <w:sz w:val="16"/>
                <w:szCs w:val="16"/>
                <w:lang w:val="en-GB"/>
              </w:rPr>
              <w:t>3,000,000</w:t>
            </w:r>
          </w:p>
          <w:p w14:paraId="58EBD802" w14:textId="77777777" w:rsidR="00A674CA" w:rsidRPr="00E8394D" w:rsidRDefault="00A674CA" w:rsidP="00BC1D6E">
            <w:pPr>
              <w:rPr>
                <w:sz w:val="16"/>
                <w:szCs w:val="16"/>
                <w:lang w:val="en-GB"/>
              </w:rPr>
            </w:pPr>
            <w:r w:rsidRPr="00E8394D">
              <w:rPr>
                <w:b/>
                <w:iCs/>
                <w:sz w:val="16"/>
                <w:szCs w:val="16"/>
                <w:lang w:val="en-GB"/>
              </w:rPr>
              <w:t>GEF:</w:t>
            </w:r>
            <w:r w:rsidR="008674FD" w:rsidRPr="00E8394D">
              <w:rPr>
                <w:iCs/>
                <w:sz w:val="16"/>
                <w:szCs w:val="16"/>
                <w:lang w:val="en-GB"/>
              </w:rPr>
              <w:t xml:space="preserve"> </w:t>
            </w:r>
            <w:r w:rsidRPr="00E8394D">
              <w:rPr>
                <w:iCs/>
                <w:sz w:val="16"/>
                <w:szCs w:val="16"/>
                <w:lang w:val="en-GB"/>
              </w:rPr>
              <w:t>15,500,000</w:t>
            </w:r>
          </w:p>
          <w:p w14:paraId="6ACA9892" w14:textId="77777777" w:rsidR="00A674CA" w:rsidRPr="00E8394D" w:rsidRDefault="00F0280F" w:rsidP="00BC1D6E">
            <w:pPr>
              <w:rPr>
                <w:sz w:val="16"/>
                <w:szCs w:val="16"/>
                <w:lang w:val="en-GB"/>
              </w:rPr>
            </w:pPr>
            <w:r>
              <w:rPr>
                <w:b/>
                <w:sz w:val="16"/>
                <w:szCs w:val="16"/>
                <w:lang w:val="en-GB"/>
              </w:rPr>
              <w:t>Green Climate Fund</w:t>
            </w:r>
            <w:r w:rsidRPr="00E8394D">
              <w:rPr>
                <w:b/>
                <w:sz w:val="16"/>
                <w:szCs w:val="16"/>
                <w:lang w:val="en-GB"/>
              </w:rPr>
              <w:t xml:space="preserve"> </w:t>
            </w:r>
            <w:r w:rsidR="00A674CA" w:rsidRPr="00E8394D">
              <w:rPr>
                <w:b/>
                <w:sz w:val="16"/>
                <w:szCs w:val="16"/>
                <w:lang w:val="en-GB"/>
              </w:rPr>
              <w:t xml:space="preserve">(pipeline): </w:t>
            </w:r>
            <w:r w:rsidR="00A674CA" w:rsidRPr="00E8394D">
              <w:rPr>
                <w:iCs/>
                <w:sz w:val="16"/>
                <w:szCs w:val="16"/>
                <w:lang w:val="en-GB"/>
              </w:rPr>
              <w:t>30,000,000</w:t>
            </w:r>
          </w:p>
          <w:p w14:paraId="794BFCB1" w14:textId="77777777" w:rsidR="00A674CA" w:rsidRPr="00E8394D" w:rsidRDefault="00A674CA" w:rsidP="00BC1D6E">
            <w:pPr>
              <w:rPr>
                <w:sz w:val="16"/>
                <w:szCs w:val="16"/>
                <w:lang w:val="en-GB"/>
              </w:rPr>
            </w:pPr>
            <w:r w:rsidRPr="00E8394D">
              <w:rPr>
                <w:b/>
                <w:sz w:val="16"/>
                <w:szCs w:val="16"/>
                <w:lang w:val="en-GB"/>
              </w:rPr>
              <w:t>Total</w:t>
            </w:r>
            <w:r w:rsidR="008674FD" w:rsidRPr="00E8394D">
              <w:rPr>
                <w:sz w:val="16"/>
                <w:szCs w:val="16"/>
                <w:lang w:val="en-GB"/>
              </w:rPr>
              <w:t xml:space="preserve">: </w:t>
            </w:r>
            <w:r w:rsidRPr="00E8394D">
              <w:rPr>
                <w:sz w:val="16"/>
                <w:szCs w:val="16"/>
                <w:lang w:val="en-GB"/>
              </w:rPr>
              <w:t>56,335,000</w:t>
            </w:r>
          </w:p>
          <w:p w14:paraId="732A029E" w14:textId="77777777" w:rsidR="00A674CA" w:rsidRPr="00E8394D" w:rsidRDefault="00A674CA" w:rsidP="00BC1D6E">
            <w:pPr>
              <w:rPr>
                <w:b/>
                <w:sz w:val="16"/>
                <w:szCs w:val="16"/>
                <w:lang w:val="en-GB"/>
              </w:rPr>
            </w:pPr>
          </w:p>
        </w:tc>
      </w:tr>
    </w:tbl>
    <w:p w14:paraId="52788048" w14:textId="77777777" w:rsidR="007E5AB9" w:rsidRPr="00E8394D" w:rsidRDefault="007E5AB9" w:rsidP="0066124F">
      <w:pPr>
        <w:pStyle w:val="ListParagraph"/>
        <w:ind w:left="0"/>
        <w:jc w:val="both"/>
        <w:rPr>
          <w:lang w:val="en-GB"/>
        </w:rPr>
      </w:pPr>
    </w:p>
    <w:p w14:paraId="73DE3EE4" w14:textId="77777777" w:rsidR="00B273F2" w:rsidRPr="00E8394D" w:rsidRDefault="00B273F2" w:rsidP="00B273F2">
      <w:pPr>
        <w:autoSpaceDE w:val="0"/>
        <w:autoSpaceDN w:val="0"/>
        <w:adjustRightInd w:val="0"/>
        <w:ind w:left="10800"/>
        <w:rPr>
          <w:b/>
          <w:sz w:val="18"/>
          <w:szCs w:val="16"/>
          <w:lang w:val="en-GB" w:eastAsia="en-GB"/>
        </w:rPr>
      </w:pPr>
      <w:r w:rsidRPr="00E8394D">
        <w:rPr>
          <w:b/>
          <w:sz w:val="18"/>
          <w:szCs w:val="16"/>
          <w:lang w:val="en-GB" w:eastAsia="en-GB"/>
        </w:rPr>
        <w:t>Resources for 2018-2022:</w:t>
      </w:r>
    </w:p>
    <w:p w14:paraId="301FB0E2" w14:textId="77777777" w:rsidR="00B273F2" w:rsidRPr="0043128F" w:rsidRDefault="00B6080F" w:rsidP="00B273F2">
      <w:pPr>
        <w:autoSpaceDE w:val="0"/>
        <w:autoSpaceDN w:val="0"/>
        <w:adjustRightInd w:val="0"/>
        <w:ind w:left="10800"/>
        <w:rPr>
          <w:i/>
          <w:sz w:val="18"/>
          <w:szCs w:val="16"/>
          <w:lang w:val="en-GB" w:eastAsia="en-GB"/>
        </w:rPr>
      </w:pPr>
      <w:r>
        <w:rPr>
          <w:i/>
          <w:sz w:val="18"/>
          <w:szCs w:val="16"/>
          <w:lang w:val="en-GB" w:eastAsia="en-GB"/>
        </w:rPr>
        <w:t>Regular: 4,784</w:t>
      </w:r>
      <w:r w:rsidR="00B273F2" w:rsidRPr="0043128F">
        <w:rPr>
          <w:i/>
          <w:sz w:val="18"/>
          <w:szCs w:val="16"/>
          <w:lang w:val="en-GB" w:eastAsia="en-GB"/>
        </w:rPr>
        <w:t>,000</w:t>
      </w:r>
    </w:p>
    <w:p w14:paraId="4AD191E9" w14:textId="77777777" w:rsidR="00B273F2" w:rsidRPr="0043128F" w:rsidRDefault="008674FD" w:rsidP="00B273F2">
      <w:pPr>
        <w:autoSpaceDE w:val="0"/>
        <w:autoSpaceDN w:val="0"/>
        <w:adjustRightInd w:val="0"/>
        <w:ind w:left="10800"/>
        <w:rPr>
          <w:i/>
          <w:sz w:val="18"/>
          <w:szCs w:val="16"/>
          <w:lang w:val="en-GB" w:eastAsia="en-GB"/>
        </w:rPr>
      </w:pPr>
      <w:r w:rsidRPr="0043128F">
        <w:rPr>
          <w:i/>
          <w:sz w:val="18"/>
          <w:szCs w:val="16"/>
          <w:lang w:val="en-GB" w:eastAsia="en-GB"/>
        </w:rPr>
        <w:t xml:space="preserve">Other: </w:t>
      </w:r>
      <w:r w:rsidR="00B273F2" w:rsidRPr="0043128F">
        <w:rPr>
          <w:i/>
          <w:sz w:val="18"/>
          <w:szCs w:val="16"/>
          <w:lang w:val="en-GB" w:eastAsia="en-GB"/>
        </w:rPr>
        <w:t>87,100,000</w:t>
      </w:r>
    </w:p>
    <w:p w14:paraId="64D7803E" w14:textId="77777777" w:rsidR="00B273F2" w:rsidRPr="00E8394D" w:rsidRDefault="00B6080F" w:rsidP="00B273F2">
      <w:pPr>
        <w:ind w:left="10800"/>
        <w:rPr>
          <w:b/>
          <w:sz w:val="18"/>
          <w:szCs w:val="16"/>
          <w:lang w:val="en-GB"/>
        </w:rPr>
      </w:pPr>
      <w:r>
        <w:rPr>
          <w:b/>
          <w:sz w:val="18"/>
          <w:szCs w:val="16"/>
          <w:lang w:val="en-GB" w:eastAsia="en-GB"/>
        </w:rPr>
        <w:t>TOTAL: 91,884</w:t>
      </w:r>
      <w:r w:rsidR="00B273F2" w:rsidRPr="00E8394D">
        <w:rPr>
          <w:b/>
          <w:sz w:val="18"/>
          <w:szCs w:val="16"/>
          <w:lang w:val="en-GB" w:eastAsia="en-GB"/>
        </w:rPr>
        <w:t>,000</w:t>
      </w:r>
    </w:p>
    <w:p w14:paraId="3A5FBA3E" w14:textId="77777777" w:rsidR="003C4969" w:rsidRPr="00E8394D" w:rsidRDefault="00304B27" w:rsidP="00304B27">
      <w:pPr>
        <w:pStyle w:val="ListParagraph"/>
        <w:ind w:left="0"/>
        <w:jc w:val="center"/>
        <w:rPr>
          <w:lang w:val="en-GB"/>
        </w:rPr>
      </w:pPr>
      <w:r w:rsidRPr="00E8394D">
        <w:rPr>
          <w:noProof/>
          <w:color w:val="000000"/>
          <w:sz w:val="16"/>
          <w:szCs w:val="16"/>
        </w:rPr>
        <w:drawing>
          <wp:inline distT="0" distB="0" distL="0" distR="0" wp14:anchorId="0578AFB3" wp14:editId="01F90AF9">
            <wp:extent cx="942975" cy="28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28575"/>
                    </a:xfrm>
                    <a:prstGeom prst="rect">
                      <a:avLst/>
                    </a:prstGeom>
                    <a:noFill/>
                    <a:ln>
                      <a:noFill/>
                    </a:ln>
                  </pic:spPr>
                </pic:pic>
              </a:graphicData>
            </a:graphic>
          </wp:inline>
        </w:drawing>
      </w:r>
    </w:p>
    <w:sectPr w:rsidR="003C4969" w:rsidRPr="00E8394D" w:rsidSect="00FA1CAC">
      <w:headerReference w:type="even" r:id="rId18"/>
      <w:headerReference w:type="default" r:id="rId19"/>
      <w:pgSz w:w="15840" w:h="12240" w:orient="landscape"/>
      <w:pgMar w:top="1440" w:right="1151" w:bottom="1440" w:left="115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1C444" w14:textId="77777777" w:rsidR="00960D17" w:rsidRDefault="00960D17" w:rsidP="00441061">
      <w:r>
        <w:separator/>
      </w:r>
    </w:p>
  </w:endnote>
  <w:endnote w:type="continuationSeparator" w:id="0">
    <w:p w14:paraId="5F2F72D2" w14:textId="77777777" w:rsidR="00960D17" w:rsidRDefault="00960D17" w:rsidP="0044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921099"/>
      <w:docPartObj>
        <w:docPartGallery w:val="Page Numbers (Bottom of Page)"/>
        <w:docPartUnique/>
      </w:docPartObj>
    </w:sdtPr>
    <w:sdtEndPr>
      <w:rPr>
        <w:b/>
        <w:noProof/>
        <w:sz w:val="17"/>
        <w:szCs w:val="17"/>
      </w:rPr>
    </w:sdtEndPr>
    <w:sdtContent>
      <w:p w14:paraId="73A57A5B" w14:textId="4F0A278B" w:rsidR="0043128F" w:rsidRPr="004F083C" w:rsidRDefault="0043128F" w:rsidP="00106855">
        <w:pPr>
          <w:pStyle w:val="Footer"/>
          <w:ind w:left="-360"/>
          <w:rPr>
            <w:b/>
            <w:sz w:val="17"/>
            <w:szCs w:val="17"/>
          </w:rPr>
        </w:pPr>
        <w:r w:rsidRPr="004F083C">
          <w:rPr>
            <w:b/>
            <w:sz w:val="17"/>
            <w:szCs w:val="17"/>
          </w:rPr>
          <w:fldChar w:fldCharType="begin"/>
        </w:r>
        <w:r w:rsidRPr="004F083C">
          <w:rPr>
            <w:b/>
            <w:sz w:val="17"/>
            <w:szCs w:val="17"/>
          </w:rPr>
          <w:instrText xml:space="preserve"> PAGE   \* MERGEFORMAT </w:instrText>
        </w:r>
        <w:r w:rsidRPr="004F083C">
          <w:rPr>
            <w:b/>
            <w:sz w:val="17"/>
            <w:szCs w:val="17"/>
          </w:rPr>
          <w:fldChar w:fldCharType="separate"/>
        </w:r>
        <w:r w:rsidR="005A3900">
          <w:rPr>
            <w:b/>
            <w:noProof/>
            <w:sz w:val="17"/>
            <w:szCs w:val="17"/>
          </w:rPr>
          <w:t>12</w:t>
        </w:r>
        <w:r w:rsidRPr="004F083C">
          <w:rPr>
            <w:b/>
            <w:noProof/>
            <w:sz w:val="17"/>
            <w:szCs w:val="17"/>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677353"/>
      <w:docPartObj>
        <w:docPartGallery w:val="Page Numbers (Bottom of Page)"/>
        <w:docPartUnique/>
      </w:docPartObj>
    </w:sdtPr>
    <w:sdtEndPr>
      <w:rPr>
        <w:b/>
        <w:noProof/>
        <w:sz w:val="17"/>
        <w:szCs w:val="17"/>
      </w:rPr>
    </w:sdtEndPr>
    <w:sdtContent>
      <w:p w14:paraId="649BEC9B" w14:textId="659B1957" w:rsidR="0043128F" w:rsidRPr="00106855" w:rsidRDefault="0043128F" w:rsidP="00106855">
        <w:pPr>
          <w:pStyle w:val="Footer"/>
          <w:ind w:right="-270"/>
          <w:jc w:val="right"/>
          <w:rPr>
            <w:b/>
            <w:sz w:val="17"/>
            <w:szCs w:val="17"/>
          </w:rPr>
        </w:pPr>
        <w:r w:rsidRPr="00106855">
          <w:rPr>
            <w:b/>
            <w:sz w:val="17"/>
            <w:szCs w:val="17"/>
          </w:rPr>
          <w:fldChar w:fldCharType="begin"/>
        </w:r>
        <w:r w:rsidRPr="00106855">
          <w:rPr>
            <w:b/>
            <w:sz w:val="17"/>
            <w:szCs w:val="17"/>
          </w:rPr>
          <w:instrText xml:space="preserve"> PAGE   \* MERGEFORMAT </w:instrText>
        </w:r>
        <w:r w:rsidRPr="00106855">
          <w:rPr>
            <w:b/>
            <w:sz w:val="17"/>
            <w:szCs w:val="17"/>
          </w:rPr>
          <w:fldChar w:fldCharType="separate"/>
        </w:r>
        <w:r w:rsidR="005A3900">
          <w:rPr>
            <w:b/>
            <w:noProof/>
            <w:sz w:val="17"/>
            <w:szCs w:val="17"/>
          </w:rPr>
          <w:t>13</w:t>
        </w:r>
        <w:r w:rsidRPr="00106855">
          <w:rPr>
            <w:b/>
            <w:noProof/>
            <w:sz w:val="17"/>
            <w:szCs w:val="17"/>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7F4FF" w14:textId="77777777" w:rsidR="00960D17" w:rsidRDefault="00960D17" w:rsidP="00441061">
      <w:r>
        <w:separator/>
      </w:r>
    </w:p>
  </w:footnote>
  <w:footnote w:type="continuationSeparator" w:id="0">
    <w:p w14:paraId="52A75DEB" w14:textId="77777777" w:rsidR="00960D17" w:rsidRDefault="00960D17" w:rsidP="00441061">
      <w:r>
        <w:continuationSeparator/>
      </w:r>
    </w:p>
  </w:footnote>
  <w:footnote w:id="1">
    <w:p w14:paraId="2D6D5E64" w14:textId="77777777" w:rsidR="0043128F" w:rsidRPr="001D690E" w:rsidRDefault="0043128F" w:rsidP="009307D4">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w:t>
      </w:r>
      <w:r w:rsidRPr="001D690E">
        <w:rPr>
          <w:rFonts w:ascii="Times New Roman" w:hAnsi="Times New Roman"/>
          <w:noProof/>
          <w:sz w:val="16"/>
          <w:szCs w:val="16"/>
        </w:rPr>
        <w:t>National Statistical Office, April 2012.</w:t>
      </w:r>
    </w:p>
  </w:footnote>
  <w:footnote w:id="2">
    <w:p w14:paraId="57CAFDAA" w14:textId="77777777" w:rsidR="0043128F" w:rsidRPr="001D690E" w:rsidRDefault="0043128F">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The C</w:t>
      </w:r>
      <w:r w:rsidRPr="001D690E">
        <w:rPr>
          <w:rFonts w:ascii="Times New Roman" w:hAnsi="Times New Roman"/>
          <w:color w:val="2E2F30"/>
          <w:sz w:val="16"/>
          <w:szCs w:val="16"/>
        </w:rPr>
        <w:t>ommonwealth Organization, 2015.</w:t>
      </w:r>
    </w:p>
  </w:footnote>
  <w:footnote w:id="3">
    <w:p w14:paraId="21724CB5" w14:textId="77777777" w:rsidR="0043128F" w:rsidRPr="001D690E" w:rsidRDefault="0043128F">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w:t>
      </w:r>
      <w:r w:rsidRPr="001D690E">
        <w:rPr>
          <w:rFonts w:ascii="Times New Roman" w:hAnsi="Times New Roman"/>
          <w:color w:val="000000"/>
          <w:kern w:val="36"/>
          <w:sz w:val="16"/>
          <w:szCs w:val="16"/>
        </w:rPr>
        <w:t>Papua New Guinea: Rural service delivery and local governance program, World Bank, 2015.</w:t>
      </w:r>
    </w:p>
  </w:footnote>
  <w:footnote w:id="4">
    <w:p w14:paraId="38F58F73" w14:textId="77777777" w:rsidR="0043128F" w:rsidRPr="001D690E" w:rsidRDefault="0043128F" w:rsidP="009307D4">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w:t>
      </w:r>
      <w:r w:rsidRPr="001D690E">
        <w:rPr>
          <w:rFonts w:ascii="Times New Roman" w:hAnsi="Times New Roman"/>
          <w:noProof/>
          <w:sz w:val="16"/>
          <w:szCs w:val="16"/>
        </w:rPr>
        <w:t>National Statistical Office, April 2012.</w:t>
      </w:r>
    </w:p>
  </w:footnote>
  <w:footnote w:id="5">
    <w:p w14:paraId="3F8D047F" w14:textId="77777777" w:rsidR="0043128F" w:rsidRPr="001D690E" w:rsidRDefault="0043128F" w:rsidP="00CF0974">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Department of National Planning and Monitoring, Papua New Guinea summary report of MDGs, 2015, p.44.</w:t>
      </w:r>
    </w:p>
  </w:footnote>
  <w:footnote w:id="6">
    <w:p w14:paraId="1FF24E2F" w14:textId="77777777" w:rsidR="0043128F" w:rsidRPr="001D690E" w:rsidRDefault="0043128F" w:rsidP="00EB5571">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UNICEF situation analysis of women and children in Papua New Guinea, 2016.</w:t>
      </w:r>
    </w:p>
  </w:footnote>
  <w:footnote w:id="7">
    <w:p w14:paraId="2DAE36F2" w14:textId="77777777" w:rsidR="0043128F" w:rsidRPr="001D690E" w:rsidRDefault="0043128F" w:rsidP="0045055C">
      <w:pPr>
        <w:pStyle w:val="FootnoteText"/>
        <w:rPr>
          <w:rFonts w:ascii="Times New Roman" w:hAnsi="Times New Roman"/>
          <w:sz w:val="16"/>
          <w:szCs w:val="16"/>
          <w:lang w:val="en-AU"/>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w:t>
      </w:r>
      <w:r w:rsidRPr="00277436">
        <w:rPr>
          <w:rFonts w:ascii="Times New Roman" w:hAnsi="Times New Roman"/>
          <w:sz w:val="16"/>
          <w:szCs w:val="16"/>
        </w:rPr>
        <w:t>PCAB Newsletter</w:t>
      </w:r>
      <w:r w:rsidRPr="001D690E">
        <w:rPr>
          <w:rFonts w:ascii="Times New Roman" w:hAnsi="Times New Roman"/>
          <w:sz w:val="16"/>
          <w:szCs w:val="16"/>
        </w:rPr>
        <w:t>, Issue 8, 1 May 2016. (</w:t>
      </w:r>
      <w:hyperlink r:id="rId1" w:history="1">
        <w:r w:rsidRPr="001D690E">
          <w:rPr>
            <w:rStyle w:val="Hyperlink"/>
            <w:rFonts w:ascii="Times New Roman" w:hAnsi="Times New Roman"/>
            <w:sz w:val="16"/>
            <w:szCs w:val="16"/>
          </w:rPr>
          <w:t>link</w:t>
        </w:r>
      </w:hyperlink>
      <w:r w:rsidRPr="001D690E">
        <w:rPr>
          <w:rFonts w:ascii="Times New Roman" w:hAnsi="Times New Roman"/>
          <w:sz w:val="16"/>
          <w:szCs w:val="16"/>
        </w:rPr>
        <w:t>)</w:t>
      </w:r>
    </w:p>
  </w:footnote>
  <w:footnote w:id="8">
    <w:p w14:paraId="0F7E9B8A" w14:textId="77777777" w:rsidR="0043128F" w:rsidRPr="001D690E" w:rsidRDefault="0043128F" w:rsidP="003E7F05">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Papua New Guinea was winner of the 2013 Excellence in Anti-Corruption Reporting Media Award, Australian National University.</w:t>
      </w:r>
    </w:p>
  </w:footnote>
  <w:footnote w:id="9">
    <w:p w14:paraId="0721A466" w14:textId="77777777" w:rsidR="0043128F" w:rsidRPr="001D690E" w:rsidRDefault="0043128F" w:rsidP="00450EC5">
      <w:pPr>
        <w:pStyle w:val="FootnoteText"/>
        <w:rPr>
          <w:rFonts w:ascii="Times New Roman" w:hAnsi="Times New Roman"/>
          <w:sz w:val="16"/>
          <w:szCs w:val="16"/>
          <w:lang w:val="en-AU"/>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Committee of the Convention on the Elimination of All Forms of Discrimin</w:t>
      </w:r>
      <w:r w:rsidR="00277436">
        <w:rPr>
          <w:rFonts w:ascii="Times New Roman" w:hAnsi="Times New Roman"/>
          <w:sz w:val="16"/>
          <w:szCs w:val="16"/>
        </w:rPr>
        <w:t xml:space="preserve">ation Against Women, concluding </w:t>
      </w:r>
      <w:r w:rsidRPr="001D690E">
        <w:rPr>
          <w:rFonts w:ascii="Times New Roman" w:hAnsi="Times New Roman"/>
          <w:sz w:val="16"/>
          <w:szCs w:val="16"/>
        </w:rPr>
        <w:t>recommendations to Papua New Guinea, 2010, page 8, paragraph 33.</w:t>
      </w:r>
    </w:p>
  </w:footnote>
  <w:footnote w:id="10">
    <w:p w14:paraId="30AC976D" w14:textId="77777777" w:rsidR="0043128F" w:rsidRPr="001D690E" w:rsidRDefault="0043128F" w:rsidP="003E7F05">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Commonwealth Secretariat, Report of the Commonwealth Observer Group, Papua New Guinea national elections, June-July 2012, p.15.</w:t>
      </w:r>
    </w:p>
  </w:footnote>
  <w:footnote w:id="11">
    <w:p w14:paraId="6839F72E" w14:textId="77777777" w:rsidR="0043128F" w:rsidRPr="001D690E" w:rsidRDefault="0043128F" w:rsidP="004D7EEF">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Style w:val="FootnoteReference"/>
          <w:rFonts w:ascii="Times New Roman" w:hAnsi="Times New Roman"/>
          <w:sz w:val="16"/>
          <w:szCs w:val="16"/>
        </w:rPr>
        <w:t xml:space="preserve"> </w:t>
      </w:r>
      <w:r w:rsidRPr="001D690E">
        <w:rPr>
          <w:rFonts w:ascii="Times New Roman" w:hAnsi="Times New Roman"/>
          <w:sz w:val="16"/>
          <w:szCs w:val="16"/>
        </w:rPr>
        <w:t xml:space="preserve">UNDP, </w:t>
      </w:r>
      <w:hyperlink r:id="rId2" w:history="1">
        <w:r w:rsidRPr="001D690E">
          <w:rPr>
            <w:rStyle w:val="Hyperlink"/>
            <w:rFonts w:ascii="Times New Roman" w:hAnsi="Times New Roman"/>
            <w:color w:val="auto"/>
            <w:sz w:val="16"/>
            <w:szCs w:val="16"/>
          </w:rPr>
          <w:t>g</w:t>
        </w:r>
        <w:r w:rsidRPr="0043128F">
          <w:rPr>
            <w:rStyle w:val="Hyperlink"/>
            <w:rFonts w:ascii="Times New Roman" w:hAnsi="Times New Roman"/>
            <w:color w:val="auto"/>
            <w:sz w:val="16"/>
            <w:szCs w:val="16"/>
          </w:rPr>
          <w:t xml:space="preserve">ender </w:t>
        </w:r>
        <w:r w:rsidRPr="001D690E">
          <w:rPr>
            <w:rStyle w:val="Hyperlink"/>
            <w:rFonts w:ascii="Times New Roman" w:hAnsi="Times New Roman"/>
            <w:color w:val="auto"/>
            <w:sz w:val="16"/>
            <w:szCs w:val="16"/>
          </w:rPr>
          <w:t>i</w:t>
        </w:r>
        <w:r w:rsidRPr="0043128F">
          <w:rPr>
            <w:rStyle w:val="Hyperlink"/>
            <w:rFonts w:ascii="Times New Roman" w:hAnsi="Times New Roman"/>
            <w:color w:val="auto"/>
            <w:sz w:val="16"/>
            <w:szCs w:val="16"/>
          </w:rPr>
          <w:t xml:space="preserve">nequality </w:t>
        </w:r>
        <w:r w:rsidRPr="001D690E">
          <w:rPr>
            <w:rStyle w:val="Hyperlink"/>
            <w:rFonts w:ascii="Times New Roman" w:hAnsi="Times New Roman"/>
            <w:color w:val="auto"/>
            <w:sz w:val="16"/>
            <w:szCs w:val="16"/>
          </w:rPr>
          <w:t>i</w:t>
        </w:r>
        <w:r w:rsidRPr="0043128F">
          <w:rPr>
            <w:rStyle w:val="Hyperlink"/>
            <w:rFonts w:ascii="Times New Roman" w:hAnsi="Times New Roman"/>
            <w:color w:val="auto"/>
            <w:sz w:val="16"/>
            <w:szCs w:val="16"/>
          </w:rPr>
          <w:t>ndex</w:t>
        </w:r>
      </w:hyperlink>
      <w:r w:rsidR="00BA1C74">
        <w:rPr>
          <w:rStyle w:val="Hyperlink"/>
          <w:rFonts w:ascii="Times New Roman" w:hAnsi="Times New Roman"/>
          <w:color w:val="auto"/>
          <w:sz w:val="16"/>
          <w:szCs w:val="16"/>
        </w:rPr>
        <w:t xml:space="preserve"> 2015</w:t>
      </w:r>
      <w:r w:rsidRPr="001D690E">
        <w:rPr>
          <w:rStyle w:val="Hyperlink"/>
          <w:rFonts w:ascii="Times New Roman" w:hAnsi="Times New Roman"/>
          <w:color w:val="auto"/>
          <w:sz w:val="16"/>
          <w:szCs w:val="16"/>
        </w:rPr>
        <w:t>.</w:t>
      </w:r>
    </w:p>
  </w:footnote>
  <w:footnote w:id="12">
    <w:p w14:paraId="12CC7D99" w14:textId="77777777" w:rsidR="0043128F" w:rsidRPr="001D690E" w:rsidRDefault="0043128F" w:rsidP="004D7EEF">
      <w:pPr>
        <w:pStyle w:val="CommentText"/>
        <w:rPr>
          <w:sz w:val="16"/>
          <w:szCs w:val="16"/>
        </w:rPr>
      </w:pPr>
      <w:r w:rsidRPr="001D690E">
        <w:rPr>
          <w:rStyle w:val="FootnoteReference"/>
          <w:sz w:val="16"/>
          <w:szCs w:val="16"/>
        </w:rPr>
        <w:footnoteRef/>
      </w:r>
      <w:r w:rsidRPr="001D690E">
        <w:rPr>
          <w:sz w:val="16"/>
          <w:szCs w:val="16"/>
        </w:rPr>
        <w:t xml:space="preserve"> Darko, E., Smith, W. and Walker, D., “</w:t>
      </w:r>
      <w:hyperlink r:id="rId3" w:history="1">
        <w:r w:rsidRPr="001D690E">
          <w:rPr>
            <w:rStyle w:val="Hyperlink"/>
            <w:color w:val="auto"/>
            <w:sz w:val="16"/>
            <w:szCs w:val="16"/>
          </w:rPr>
          <w:t>Gender violence in Papua New Guinea: the cost to business</w:t>
        </w:r>
      </w:hyperlink>
      <w:r w:rsidRPr="001D690E">
        <w:rPr>
          <w:rStyle w:val="Hyperlink"/>
          <w:color w:val="auto"/>
          <w:sz w:val="16"/>
          <w:szCs w:val="16"/>
        </w:rPr>
        <w:t>”</w:t>
      </w:r>
      <w:r w:rsidRPr="001D690E">
        <w:rPr>
          <w:sz w:val="16"/>
          <w:szCs w:val="16"/>
        </w:rPr>
        <w:t xml:space="preserve">, Overseas Development Institute, 2015. </w:t>
      </w:r>
    </w:p>
  </w:footnote>
  <w:footnote w:id="13">
    <w:p w14:paraId="49FB20E9" w14:textId="77777777" w:rsidR="0043128F" w:rsidRPr="001D690E" w:rsidRDefault="0043128F">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Heritage Organization, index of economic freedom, 2017.</w:t>
      </w:r>
    </w:p>
  </w:footnote>
  <w:footnote w:id="14">
    <w:p w14:paraId="422A6BAD" w14:textId="77777777" w:rsidR="0043128F" w:rsidRPr="001D690E" w:rsidRDefault="0043128F" w:rsidP="00E2241F">
      <w:pPr>
        <w:pStyle w:val="FootnoteText"/>
        <w:rPr>
          <w:rFonts w:ascii="Times New Roman" w:hAnsi="Times New Roman"/>
          <w:sz w:val="16"/>
          <w:szCs w:val="16"/>
        </w:rPr>
      </w:pPr>
      <w:r w:rsidRPr="0043128F">
        <w:rPr>
          <w:rStyle w:val="FootnoteReference"/>
          <w:rFonts w:ascii="Times New Roman" w:hAnsi="Times New Roman"/>
          <w:sz w:val="16"/>
          <w:szCs w:val="16"/>
        </w:rPr>
        <w:footnoteRef/>
      </w:r>
      <w:r w:rsidRPr="001D690E">
        <w:rPr>
          <w:rFonts w:ascii="Times New Roman" w:hAnsi="Times New Roman"/>
          <w:sz w:val="16"/>
          <w:szCs w:val="16"/>
        </w:rPr>
        <w:t>Papua New Guinea poverty profile, based on the Household Income and Expenditure Survey, 2012.</w:t>
      </w:r>
    </w:p>
  </w:footnote>
  <w:footnote w:id="15">
    <w:p w14:paraId="7071AE4D" w14:textId="77777777" w:rsidR="0043128F" w:rsidRPr="001D690E" w:rsidRDefault="0043128F">
      <w:pPr>
        <w:pStyle w:val="FootnoteText"/>
        <w:rPr>
          <w:rFonts w:ascii="Times New Roman" w:hAnsi="Times New Roman"/>
          <w:sz w:val="16"/>
          <w:szCs w:val="16"/>
        </w:rPr>
      </w:pPr>
      <w:r w:rsidRPr="0043128F">
        <w:rPr>
          <w:rStyle w:val="FootnoteReference"/>
          <w:rFonts w:ascii="Times New Roman" w:hAnsi="Times New Roman"/>
          <w:sz w:val="16"/>
          <w:szCs w:val="16"/>
        </w:rPr>
        <w:footnoteRef/>
      </w:r>
      <w:r w:rsidRPr="001D690E">
        <w:rPr>
          <w:rFonts w:ascii="Times New Roman" w:hAnsi="Times New Roman"/>
          <w:sz w:val="16"/>
          <w:szCs w:val="16"/>
        </w:rPr>
        <w:t>Upper poverty, defined as food and non-food consumption.</w:t>
      </w:r>
    </w:p>
  </w:footnote>
  <w:footnote w:id="16">
    <w:p w14:paraId="5438B3BC" w14:textId="77777777" w:rsidR="0043128F" w:rsidRPr="001D690E" w:rsidRDefault="0043128F">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The national human development report, 2014, p.39.</w:t>
      </w:r>
    </w:p>
  </w:footnote>
  <w:footnote w:id="17">
    <w:p w14:paraId="1E542591" w14:textId="77777777" w:rsidR="0043128F" w:rsidRPr="001D690E" w:rsidRDefault="0043128F" w:rsidP="00BB7C7E">
      <w:pPr>
        <w:pStyle w:val="FootnoteText"/>
        <w:contextualSpacing/>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World Bank national accounts data, 2016.</w:t>
      </w:r>
    </w:p>
  </w:footnote>
  <w:footnote w:id="18">
    <w:p w14:paraId="1D31DF3B" w14:textId="77777777" w:rsidR="0043128F" w:rsidRPr="001D690E" w:rsidRDefault="0043128F" w:rsidP="00BB7C7E">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Asian Development bank, Asian Development Outlook, 2016.</w:t>
      </w:r>
    </w:p>
  </w:footnote>
  <w:footnote w:id="19">
    <w:p w14:paraId="1D4D8CB7" w14:textId="77777777" w:rsidR="0043128F" w:rsidRPr="001D690E" w:rsidRDefault="0043128F" w:rsidP="00BB7C7E">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w:t>
      </w:r>
      <w:hyperlink r:id="rId4" w:history="1">
        <w:r w:rsidRPr="001D690E">
          <w:rPr>
            <w:rStyle w:val="Hyperlink"/>
            <w:rFonts w:ascii="Times New Roman" w:hAnsi="Times New Roman"/>
            <w:color w:val="auto"/>
            <w:sz w:val="16"/>
            <w:szCs w:val="16"/>
          </w:rPr>
          <w:t>Papua New Guinea, Vision 2050</w:t>
        </w:r>
      </w:hyperlink>
      <w:r w:rsidRPr="001D690E">
        <w:rPr>
          <w:rFonts w:ascii="Times New Roman" w:hAnsi="Times New Roman"/>
          <w:sz w:val="16"/>
          <w:szCs w:val="16"/>
        </w:rPr>
        <w:t>, 2009.</w:t>
      </w:r>
    </w:p>
  </w:footnote>
  <w:footnote w:id="20">
    <w:p w14:paraId="431BF763" w14:textId="77777777" w:rsidR="0043128F" w:rsidRPr="001D690E" w:rsidRDefault="0043128F" w:rsidP="009B1C8B">
      <w:pPr>
        <w:rPr>
          <w:sz w:val="16"/>
          <w:szCs w:val="16"/>
        </w:rPr>
      </w:pPr>
      <w:r w:rsidRPr="001D690E">
        <w:rPr>
          <w:rStyle w:val="FootnoteReference"/>
          <w:sz w:val="16"/>
          <w:szCs w:val="16"/>
        </w:rPr>
        <w:footnoteRef/>
      </w:r>
      <w:r w:rsidRPr="001D690E">
        <w:rPr>
          <w:sz w:val="16"/>
          <w:szCs w:val="16"/>
        </w:rPr>
        <w:t xml:space="preserve"> </w:t>
      </w:r>
      <w:r w:rsidRPr="001D690E">
        <w:rPr>
          <w:sz w:val="16"/>
          <w:szCs w:val="16"/>
          <w:lang w:val="en-AU"/>
        </w:rPr>
        <w:t>“</w:t>
      </w:r>
      <w:r w:rsidRPr="001D690E">
        <w:rPr>
          <w:iCs/>
          <w:sz w:val="16"/>
          <w:szCs w:val="16"/>
          <w:lang w:val="en-AU"/>
        </w:rPr>
        <w:t>Kumul game changers business plan competition project review report”, 5 May 2016.</w:t>
      </w:r>
    </w:p>
  </w:footnote>
  <w:footnote w:id="21">
    <w:p w14:paraId="22EE5F91" w14:textId="77777777" w:rsidR="0043128F" w:rsidRPr="00277436" w:rsidRDefault="0043128F" w:rsidP="005E5C94">
      <w:pPr>
        <w:pStyle w:val="FootnoteText"/>
        <w:rPr>
          <w:rFonts w:ascii="Times New Roman" w:hAnsi="Times New Roman"/>
          <w:sz w:val="16"/>
          <w:szCs w:val="16"/>
          <w:lang w:val="en-AU"/>
        </w:rPr>
      </w:pPr>
      <w:r w:rsidRPr="00277436">
        <w:rPr>
          <w:rStyle w:val="FootnoteReference"/>
          <w:rFonts w:ascii="Times New Roman" w:hAnsi="Times New Roman"/>
          <w:sz w:val="16"/>
          <w:szCs w:val="16"/>
        </w:rPr>
        <w:footnoteRef/>
      </w:r>
      <w:r w:rsidRPr="00277436">
        <w:rPr>
          <w:rFonts w:ascii="Times New Roman" w:hAnsi="Times New Roman"/>
          <w:sz w:val="16"/>
          <w:szCs w:val="16"/>
        </w:rPr>
        <w:t xml:space="preserve"> Papua New Guinea second national communication to the United Nations Framework Convention on Climate Change</w:t>
      </w:r>
      <w:r w:rsidRPr="00277436">
        <w:rPr>
          <w:rStyle w:val="Hyperlink"/>
          <w:rFonts w:ascii="Times New Roman" w:hAnsi="Times New Roman"/>
          <w:color w:val="auto"/>
          <w:sz w:val="16"/>
          <w:szCs w:val="16"/>
        </w:rPr>
        <w:t>.</w:t>
      </w:r>
    </w:p>
  </w:footnote>
  <w:footnote w:id="22">
    <w:p w14:paraId="2DD505E8" w14:textId="77777777" w:rsidR="0043128F" w:rsidRPr="001D690E" w:rsidRDefault="0043128F" w:rsidP="00E64495">
      <w:pPr>
        <w:rPr>
          <w:sz w:val="16"/>
          <w:szCs w:val="16"/>
        </w:rPr>
      </w:pPr>
      <w:r w:rsidRPr="001D690E">
        <w:rPr>
          <w:rStyle w:val="FootnoteReference"/>
          <w:sz w:val="16"/>
          <w:szCs w:val="16"/>
        </w:rPr>
        <w:footnoteRef/>
      </w:r>
      <w:r w:rsidRPr="001D690E">
        <w:rPr>
          <w:sz w:val="16"/>
          <w:szCs w:val="16"/>
        </w:rPr>
        <w:t xml:space="preserve"> Mittermeier, R. A., "Biodiversity hotspots and major tropical wilderness areas: approaches to setting conservation priorities”, </w:t>
      </w:r>
      <w:hyperlink r:id="rId5" w:tooltip="Conservation Biology (journal)" w:history="1">
        <w:r w:rsidRPr="001D690E">
          <w:rPr>
            <w:sz w:val="16"/>
            <w:szCs w:val="16"/>
          </w:rPr>
          <w:t>Conservation Biology</w:t>
        </w:r>
      </w:hyperlink>
      <w:r w:rsidRPr="001D690E">
        <w:rPr>
          <w:sz w:val="16"/>
          <w:szCs w:val="16"/>
        </w:rPr>
        <w:t xml:space="preserve">, </w:t>
      </w:r>
      <w:hyperlink r:id="rId6" w:tooltip="Society for Conservation Biology" w:history="1">
        <w:r w:rsidRPr="001D690E">
          <w:rPr>
            <w:sz w:val="16"/>
            <w:szCs w:val="16"/>
          </w:rPr>
          <w:t>Society for Conservation Biology</w:t>
        </w:r>
      </w:hyperlink>
      <w:r w:rsidRPr="001D690E">
        <w:rPr>
          <w:sz w:val="16"/>
          <w:szCs w:val="16"/>
        </w:rPr>
        <w:t xml:space="preserve">, 1998. </w:t>
      </w:r>
    </w:p>
  </w:footnote>
  <w:footnote w:id="23">
    <w:p w14:paraId="60507304" w14:textId="77777777" w:rsidR="0043128F" w:rsidRPr="001D690E" w:rsidRDefault="0043128F" w:rsidP="00E64495">
      <w:pPr>
        <w:pStyle w:val="FootnoteText"/>
        <w:rPr>
          <w:rFonts w:ascii="Times New Roman" w:hAnsi="Times New Roman"/>
          <w:sz w:val="16"/>
          <w:szCs w:val="16"/>
        </w:rPr>
      </w:pPr>
      <w:r w:rsidRPr="001D690E">
        <w:rPr>
          <w:rStyle w:val="FootnoteReference"/>
          <w:rFonts w:ascii="Times New Roman" w:hAnsi="Times New Roman"/>
          <w:sz w:val="16"/>
          <w:szCs w:val="16"/>
        </w:rPr>
        <w:footnoteRef/>
      </w:r>
      <w:r w:rsidRPr="001D690E">
        <w:rPr>
          <w:rFonts w:ascii="Times New Roman" w:hAnsi="Times New Roman"/>
          <w:sz w:val="16"/>
          <w:szCs w:val="16"/>
        </w:rPr>
        <w:t xml:space="preserve"> Australian Agency for International Development, Australian Government Overseas Aid, 2005.</w:t>
      </w:r>
    </w:p>
  </w:footnote>
  <w:footnote w:id="24">
    <w:p w14:paraId="09594336" w14:textId="77777777" w:rsidR="0043128F" w:rsidRPr="001D690E" w:rsidRDefault="0043128F" w:rsidP="002F12AE">
      <w:pPr>
        <w:pStyle w:val="FootnoteText"/>
        <w:rPr>
          <w:rFonts w:ascii="Times New Roman" w:hAnsi="Times New Roman"/>
          <w:sz w:val="16"/>
          <w:szCs w:val="16"/>
        </w:rPr>
      </w:pPr>
      <w:r w:rsidRPr="001D690E">
        <w:rPr>
          <w:rFonts w:ascii="Times New Roman" w:hAnsi="Times New Roman"/>
          <w:sz w:val="16"/>
          <w:szCs w:val="16"/>
          <w:vertAlign w:val="superscript"/>
        </w:rPr>
        <w:footnoteRef/>
      </w:r>
      <w:r w:rsidRPr="001D690E">
        <w:rPr>
          <w:rFonts w:ascii="Times New Roman" w:hAnsi="Times New Roman"/>
          <w:sz w:val="16"/>
          <w:szCs w:val="16"/>
        </w:rPr>
        <w:t xml:space="preserve"> Framework for resilient development in the Pacific: an integrated approach to address climate change and disaster risk management, 2017-2030. </w:t>
      </w:r>
    </w:p>
  </w:footnote>
  <w:footnote w:id="25">
    <w:p w14:paraId="40743187" w14:textId="77777777" w:rsidR="0043128F" w:rsidRPr="0043128F" w:rsidRDefault="0043128F" w:rsidP="00A674CA">
      <w:pPr>
        <w:pStyle w:val="FootnoteText"/>
        <w:rPr>
          <w:rFonts w:ascii="Times New Roman" w:hAnsi="Times New Roman"/>
          <w:sz w:val="16"/>
          <w:szCs w:val="16"/>
          <w:lang w:val="en-AU"/>
        </w:rPr>
      </w:pPr>
      <w:r w:rsidRPr="0043128F">
        <w:rPr>
          <w:rStyle w:val="FootnoteReference"/>
          <w:rFonts w:ascii="Times New Roman" w:hAnsi="Times New Roman"/>
          <w:sz w:val="16"/>
          <w:szCs w:val="16"/>
        </w:rPr>
        <w:footnoteRef/>
      </w:r>
      <w:r w:rsidRPr="0043128F">
        <w:rPr>
          <w:rFonts w:ascii="Times New Roman" w:hAnsi="Times New Roman"/>
          <w:sz w:val="16"/>
          <w:szCs w:val="16"/>
        </w:rPr>
        <w:t xml:space="preserve"> Number not previously disaggregated.</w:t>
      </w:r>
    </w:p>
  </w:footnote>
  <w:footnote w:id="26">
    <w:p w14:paraId="449CE9C0" w14:textId="77777777" w:rsidR="0043128F" w:rsidRPr="001D690E" w:rsidRDefault="0043128F" w:rsidP="00A674CA">
      <w:pPr>
        <w:pStyle w:val="Default"/>
        <w:rPr>
          <w:rFonts w:ascii="Times New Roman" w:hAnsi="Times New Roman" w:cs="Times New Roman"/>
          <w:i/>
          <w:color w:val="auto"/>
          <w:sz w:val="16"/>
          <w:szCs w:val="16"/>
          <w:lang w:eastAsia="en-US"/>
        </w:rPr>
      </w:pPr>
      <w:r w:rsidRPr="0043128F">
        <w:rPr>
          <w:rStyle w:val="FootnoteReference"/>
          <w:rFonts w:ascii="Times New Roman" w:hAnsi="Times New Roman"/>
          <w:sz w:val="16"/>
          <w:szCs w:val="16"/>
        </w:rPr>
        <w:footnoteRef/>
      </w:r>
      <w:r w:rsidRPr="0043128F">
        <w:rPr>
          <w:rFonts w:ascii="Times New Roman" w:hAnsi="Times New Roman" w:cs="Times New Roman"/>
          <w:sz w:val="16"/>
          <w:szCs w:val="16"/>
        </w:rPr>
        <w:t xml:space="preserve"> </w:t>
      </w:r>
      <w:r w:rsidRPr="0043128F">
        <w:rPr>
          <w:rFonts w:ascii="Times New Roman" w:hAnsi="Times New Roman" w:cs="Times New Roman"/>
          <w:color w:val="auto"/>
          <w:sz w:val="16"/>
          <w:szCs w:val="16"/>
          <w:lang w:eastAsia="en-US"/>
        </w:rPr>
        <w:t>Based on emergency response preparedness approach.</w:t>
      </w:r>
    </w:p>
    <w:p w14:paraId="52C03F32" w14:textId="77777777" w:rsidR="0043128F" w:rsidRPr="0043128F" w:rsidRDefault="0043128F" w:rsidP="00A674CA">
      <w:pPr>
        <w:pStyle w:val="FootnoteText"/>
        <w:rPr>
          <w:rFonts w:ascii="Times New Roman" w:hAnsi="Times New Roman"/>
          <w:sz w:val="16"/>
          <w:szCs w:val="16"/>
          <w:lang w:val="en-AU"/>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71" w:type="dxa"/>
      <w:tblInd w:w="-968"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33"/>
    </w:tblGrid>
    <w:tr w:rsidR="0043128F" w:rsidRPr="004F083C" w14:paraId="7BF85DC3" w14:textId="77777777" w:rsidTr="004F083C">
      <w:trPr>
        <w:trHeight w:hRule="exact" w:val="864"/>
      </w:trPr>
      <w:tc>
        <w:tcPr>
          <w:tcW w:w="4838" w:type="dxa"/>
          <w:shd w:val="clear" w:color="auto" w:fill="auto"/>
          <w:vAlign w:val="bottom"/>
        </w:tcPr>
        <w:p w14:paraId="6ED2EBCB" w14:textId="77777777" w:rsidR="0043128F" w:rsidRPr="004F083C" w:rsidRDefault="0043128F" w:rsidP="004F083C">
          <w:pPr>
            <w:tabs>
              <w:tab w:val="center" w:pos="4320"/>
              <w:tab w:val="right" w:pos="8640"/>
            </w:tabs>
            <w:spacing w:after="80"/>
            <w:rPr>
              <w:b/>
              <w:noProof/>
              <w:sz w:val="17"/>
            </w:rPr>
          </w:pPr>
          <w:r w:rsidRPr="004F083C">
            <w:rPr>
              <w:b/>
              <w:noProof/>
              <w:sz w:val="17"/>
            </w:rPr>
            <w:t>DP/DCP/</w:t>
          </w:r>
          <w:r>
            <w:rPr>
              <w:b/>
              <w:noProof/>
              <w:sz w:val="17"/>
            </w:rPr>
            <w:t>PNG</w:t>
          </w:r>
          <w:r w:rsidRPr="004F083C">
            <w:rPr>
              <w:b/>
              <w:noProof/>
              <w:sz w:val="17"/>
            </w:rPr>
            <w:t>/</w:t>
          </w:r>
          <w:r>
            <w:rPr>
              <w:b/>
              <w:noProof/>
              <w:sz w:val="17"/>
            </w:rPr>
            <w:t>2</w:t>
          </w:r>
        </w:p>
      </w:tc>
      <w:tc>
        <w:tcPr>
          <w:tcW w:w="5033" w:type="dxa"/>
          <w:shd w:val="clear" w:color="auto" w:fill="auto"/>
          <w:vAlign w:val="bottom"/>
        </w:tcPr>
        <w:p w14:paraId="2CACCB1A" w14:textId="77777777" w:rsidR="0043128F" w:rsidRPr="004F083C" w:rsidRDefault="0043128F" w:rsidP="004F083C">
          <w:pPr>
            <w:tabs>
              <w:tab w:val="center" w:pos="4320"/>
              <w:tab w:val="right" w:pos="8640"/>
            </w:tabs>
            <w:jc w:val="right"/>
            <w:rPr>
              <w:noProof/>
              <w:sz w:val="17"/>
            </w:rPr>
          </w:pPr>
        </w:p>
      </w:tc>
    </w:tr>
  </w:tbl>
  <w:p w14:paraId="02320053" w14:textId="77777777" w:rsidR="0043128F" w:rsidRDefault="004312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85" w:type="dxa"/>
      <w:tblInd w:w="-975"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5047"/>
    </w:tblGrid>
    <w:tr w:rsidR="0043128F" w:rsidRPr="00106855" w14:paraId="43D9857D" w14:textId="77777777" w:rsidTr="00106855">
      <w:trPr>
        <w:trHeight w:hRule="exact" w:val="864"/>
      </w:trPr>
      <w:tc>
        <w:tcPr>
          <w:tcW w:w="4838" w:type="dxa"/>
          <w:tcBorders>
            <w:bottom w:val="single" w:sz="4" w:space="0" w:color="auto"/>
          </w:tcBorders>
          <w:vAlign w:val="bottom"/>
        </w:tcPr>
        <w:p w14:paraId="4F7BC307" w14:textId="77777777" w:rsidR="0043128F" w:rsidRPr="00106855" w:rsidRDefault="0043128F" w:rsidP="00106855">
          <w:pPr>
            <w:widowControl w:val="0"/>
            <w:tabs>
              <w:tab w:val="center" w:pos="4320"/>
              <w:tab w:val="right" w:pos="8640"/>
            </w:tabs>
            <w:spacing w:after="80"/>
            <w:rPr>
              <w:b/>
              <w:sz w:val="17"/>
              <w:szCs w:val="17"/>
              <w:lang w:val="en-GB"/>
            </w:rPr>
          </w:pPr>
        </w:p>
      </w:tc>
      <w:tc>
        <w:tcPr>
          <w:tcW w:w="5047" w:type="dxa"/>
          <w:tcBorders>
            <w:bottom w:val="single" w:sz="4" w:space="0" w:color="auto"/>
          </w:tcBorders>
          <w:vAlign w:val="bottom"/>
        </w:tcPr>
        <w:p w14:paraId="59F5C027" w14:textId="77777777" w:rsidR="0043128F" w:rsidRPr="00106855" w:rsidRDefault="0043128F" w:rsidP="00106855">
          <w:pPr>
            <w:widowControl w:val="0"/>
            <w:tabs>
              <w:tab w:val="center" w:pos="4320"/>
              <w:tab w:val="right" w:pos="8640"/>
            </w:tabs>
            <w:jc w:val="right"/>
            <w:rPr>
              <w:sz w:val="17"/>
              <w:szCs w:val="17"/>
              <w:lang w:val="en-GB"/>
            </w:rPr>
          </w:pPr>
          <w:r w:rsidRPr="00106855">
            <w:rPr>
              <w:b/>
              <w:sz w:val="17"/>
              <w:szCs w:val="17"/>
              <w:lang w:val="en-GB"/>
            </w:rPr>
            <w:t>DP/DCP/</w:t>
          </w:r>
          <w:r>
            <w:rPr>
              <w:b/>
              <w:sz w:val="17"/>
              <w:szCs w:val="17"/>
              <w:lang w:val="en-GB"/>
            </w:rPr>
            <w:t>PNG</w:t>
          </w:r>
          <w:r w:rsidRPr="00106855">
            <w:rPr>
              <w:b/>
              <w:sz w:val="17"/>
              <w:szCs w:val="17"/>
              <w:lang w:val="en-GB"/>
            </w:rPr>
            <w:t>/</w:t>
          </w:r>
          <w:r>
            <w:rPr>
              <w:b/>
              <w:sz w:val="17"/>
              <w:szCs w:val="17"/>
              <w:lang w:val="en-GB"/>
            </w:rPr>
            <w:t>2</w:t>
          </w:r>
        </w:p>
      </w:tc>
    </w:tr>
  </w:tbl>
  <w:p w14:paraId="0AE2E6C7" w14:textId="77777777" w:rsidR="0043128F" w:rsidRPr="004F083C" w:rsidRDefault="0043128F">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7" w:type="dxa"/>
      <w:tblInd w:w="-983"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140"/>
      <w:gridCol w:w="28"/>
    </w:tblGrid>
    <w:tr w:rsidR="0043128F" w:rsidRPr="004F083C" w14:paraId="3B312295" w14:textId="77777777" w:rsidTr="004F083C">
      <w:trPr>
        <w:trHeight w:hRule="exact" w:val="864"/>
      </w:trPr>
      <w:tc>
        <w:tcPr>
          <w:tcW w:w="1267" w:type="dxa"/>
          <w:tcBorders>
            <w:bottom w:val="single" w:sz="4" w:space="0" w:color="auto"/>
          </w:tcBorders>
          <w:shd w:val="clear" w:color="auto" w:fill="auto"/>
          <w:vAlign w:val="bottom"/>
        </w:tcPr>
        <w:p w14:paraId="02272F79" w14:textId="77777777" w:rsidR="0043128F" w:rsidRPr="004F083C" w:rsidRDefault="0043128F" w:rsidP="004F083C">
          <w:pPr>
            <w:tabs>
              <w:tab w:val="center" w:pos="4320"/>
              <w:tab w:val="right" w:pos="8640"/>
            </w:tabs>
            <w:spacing w:after="120"/>
            <w:rPr>
              <w:noProof/>
              <w:sz w:val="17"/>
            </w:rPr>
          </w:pPr>
        </w:p>
      </w:tc>
      <w:tc>
        <w:tcPr>
          <w:tcW w:w="1872" w:type="dxa"/>
          <w:tcBorders>
            <w:bottom w:val="single" w:sz="4" w:space="0" w:color="auto"/>
          </w:tcBorders>
          <w:shd w:val="clear" w:color="auto" w:fill="auto"/>
          <w:vAlign w:val="bottom"/>
        </w:tcPr>
        <w:p w14:paraId="3454DB52" w14:textId="77777777" w:rsidR="0043128F" w:rsidRPr="004F083C" w:rsidRDefault="0043128F" w:rsidP="004F083C">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80" w:line="300" w:lineRule="exact"/>
            <w:outlineLvl w:val="0"/>
            <w:rPr>
              <w:spacing w:val="2"/>
              <w:w w:val="96"/>
              <w:kern w:val="14"/>
              <w:sz w:val="28"/>
              <w:lang w:val="en-GB"/>
            </w:rPr>
          </w:pPr>
          <w:r w:rsidRPr="004F083C">
            <w:rPr>
              <w:spacing w:val="2"/>
              <w:w w:val="96"/>
              <w:kern w:val="14"/>
              <w:sz w:val="28"/>
              <w:lang w:val="en-GB"/>
            </w:rPr>
            <w:t>United Nations</w:t>
          </w:r>
        </w:p>
      </w:tc>
      <w:tc>
        <w:tcPr>
          <w:tcW w:w="245" w:type="dxa"/>
          <w:tcBorders>
            <w:bottom w:val="single" w:sz="4" w:space="0" w:color="auto"/>
          </w:tcBorders>
          <w:shd w:val="clear" w:color="auto" w:fill="auto"/>
          <w:vAlign w:val="bottom"/>
        </w:tcPr>
        <w:p w14:paraId="366EB2A2" w14:textId="77777777" w:rsidR="0043128F" w:rsidRPr="004F083C" w:rsidRDefault="0043128F" w:rsidP="004F083C">
          <w:pPr>
            <w:tabs>
              <w:tab w:val="center" w:pos="4320"/>
              <w:tab w:val="right" w:pos="8640"/>
            </w:tabs>
            <w:spacing w:after="120"/>
            <w:rPr>
              <w:noProof/>
              <w:sz w:val="17"/>
            </w:rPr>
          </w:pPr>
        </w:p>
      </w:tc>
      <w:tc>
        <w:tcPr>
          <w:tcW w:w="6523" w:type="dxa"/>
          <w:gridSpan w:val="4"/>
          <w:tcBorders>
            <w:bottom w:val="single" w:sz="4" w:space="0" w:color="auto"/>
          </w:tcBorders>
          <w:shd w:val="clear" w:color="auto" w:fill="auto"/>
          <w:vAlign w:val="bottom"/>
        </w:tcPr>
        <w:p w14:paraId="4FC7B32A" w14:textId="77777777" w:rsidR="0043128F" w:rsidRPr="004F083C" w:rsidRDefault="0043128F" w:rsidP="004F083C">
          <w:pPr>
            <w:suppressAutoHyphens/>
            <w:spacing w:after="80"/>
            <w:jc w:val="right"/>
            <w:rPr>
              <w:spacing w:val="4"/>
              <w:w w:val="103"/>
              <w:kern w:val="14"/>
              <w:position w:val="-4"/>
              <w:lang w:val="en-GB"/>
            </w:rPr>
          </w:pPr>
          <w:r w:rsidRPr="004F083C">
            <w:rPr>
              <w:spacing w:val="4"/>
              <w:w w:val="103"/>
              <w:kern w:val="14"/>
              <w:position w:val="-4"/>
              <w:sz w:val="40"/>
              <w:lang w:val="en-GB"/>
            </w:rPr>
            <w:t>DP</w:t>
          </w:r>
          <w:r w:rsidRPr="004F083C">
            <w:rPr>
              <w:spacing w:val="4"/>
              <w:w w:val="103"/>
              <w:kern w:val="14"/>
              <w:position w:val="-4"/>
              <w:lang w:val="en-GB"/>
            </w:rPr>
            <w:t>/DCP/</w:t>
          </w:r>
          <w:r>
            <w:rPr>
              <w:spacing w:val="4"/>
              <w:w w:val="103"/>
              <w:kern w:val="14"/>
              <w:position w:val="-4"/>
              <w:lang w:val="en-GB"/>
            </w:rPr>
            <w:t>PNG</w:t>
          </w:r>
          <w:r w:rsidRPr="004F083C">
            <w:rPr>
              <w:spacing w:val="4"/>
              <w:w w:val="103"/>
              <w:kern w:val="14"/>
              <w:position w:val="-4"/>
              <w:lang w:val="en-GB"/>
            </w:rPr>
            <w:t>/</w:t>
          </w:r>
          <w:r>
            <w:rPr>
              <w:spacing w:val="4"/>
              <w:w w:val="103"/>
              <w:kern w:val="14"/>
              <w:position w:val="-4"/>
              <w:lang w:val="en-GB"/>
            </w:rPr>
            <w:t>2</w:t>
          </w:r>
        </w:p>
      </w:tc>
    </w:tr>
    <w:tr w:rsidR="0043128F" w:rsidRPr="004F083C" w14:paraId="6C08F462" w14:textId="77777777" w:rsidTr="004F083C">
      <w:trPr>
        <w:gridAfter w:val="1"/>
        <w:wAfter w:w="28" w:type="dxa"/>
        <w:trHeight w:hRule="exact" w:val="2880"/>
      </w:trPr>
      <w:tc>
        <w:tcPr>
          <w:tcW w:w="1267" w:type="dxa"/>
          <w:tcBorders>
            <w:top w:val="single" w:sz="4" w:space="0" w:color="auto"/>
            <w:bottom w:val="single" w:sz="12" w:space="0" w:color="auto"/>
          </w:tcBorders>
          <w:shd w:val="clear" w:color="auto" w:fill="auto"/>
        </w:tcPr>
        <w:p w14:paraId="67087D2D" w14:textId="77777777" w:rsidR="0043128F" w:rsidRPr="004F083C" w:rsidRDefault="0043128F" w:rsidP="004F083C">
          <w:pPr>
            <w:tabs>
              <w:tab w:val="center" w:pos="4320"/>
              <w:tab w:val="right" w:pos="8640"/>
            </w:tabs>
            <w:spacing w:before="109"/>
            <w:rPr>
              <w:noProof/>
              <w:sz w:val="17"/>
            </w:rPr>
          </w:pPr>
          <w:r w:rsidRPr="004F083C">
            <w:rPr>
              <w:noProof/>
              <w:sz w:val="17"/>
            </w:rPr>
            <w:t xml:space="preserve"> </w:t>
          </w:r>
          <w:r w:rsidRPr="004F083C">
            <w:rPr>
              <w:noProof/>
              <w:sz w:val="17"/>
            </w:rPr>
            <w:drawing>
              <wp:inline distT="0" distB="0" distL="0" distR="0" wp14:anchorId="57D66B37" wp14:editId="57DBFC5D">
                <wp:extent cx="702945" cy="592455"/>
                <wp:effectExtent l="0" t="0" r="1905" b="0"/>
                <wp:docPr id="21" name="Picture 2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592455"/>
                        </a:xfrm>
                        <a:prstGeom prst="rect">
                          <a:avLst/>
                        </a:prstGeom>
                        <a:noFill/>
                        <a:ln>
                          <a:noFill/>
                        </a:ln>
                      </pic:spPr>
                    </pic:pic>
                  </a:graphicData>
                </a:graphic>
              </wp:inline>
            </w:drawing>
          </w:r>
        </w:p>
        <w:p w14:paraId="4BB71963" w14:textId="77777777" w:rsidR="0043128F" w:rsidRPr="004F083C" w:rsidRDefault="0043128F" w:rsidP="004F083C">
          <w:pPr>
            <w:tabs>
              <w:tab w:val="center" w:pos="4320"/>
              <w:tab w:val="right" w:pos="8640"/>
            </w:tabs>
            <w:spacing w:before="109"/>
            <w:rPr>
              <w:noProof/>
              <w:sz w:val="17"/>
            </w:rPr>
          </w:pPr>
        </w:p>
      </w:tc>
      <w:tc>
        <w:tcPr>
          <w:tcW w:w="5227" w:type="dxa"/>
          <w:gridSpan w:val="3"/>
          <w:tcBorders>
            <w:top w:val="single" w:sz="4" w:space="0" w:color="auto"/>
            <w:bottom w:val="single" w:sz="12" w:space="0" w:color="auto"/>
          </w:tcBorders>
          <w:shd w:val="clear" w:color="auto" w:fill="auto"/>
        </w:tcPr>
        <w:p w14:paraId="4A55D656" w14:textId="77777777" w:rsidR="0043128F" w:rsidRPr="008E0FAB" w:rsidRDefault="0043128F" w:rsidP="00D800AD">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before="109"/>
            <w:outlineLvl w:val="0"/>
            <w:rPr>
              <w:b/>
              <w:spacing w:val="-4"/>
              <w:w w:val="98"/>
              <w:kern w:val="14"/>
              <w:sz w:val="34"/>
              <w:lang w:val="en-GB"/>
            </w:rPr>
          </w:pPr>
          <w:r w:rsidRPr="00135684">
            <w:rPr>
              <w:b/>
              <w:sz w:val="34"/>
            </w:rPr>
            <w:t>Executive Board of the</w:t>
          </w:r>
          <w:r w:rsidRPr="00135684">
            <w:rPr>
              <w:b/>
              <w:sz w:val="34"/>
            </w:rPr>
            <w:br/>
            <w:t>United Nations Development</w:t>
          </w:r>
          <w:r w:rsidRPr="00135684">
            <w:rPr>
              <w:b/>
              <w:sz w:val="34"/>
            </w:rPr>
            <w:br/>
            <w:t>Programme, the United Nations Population Fund and the United Nations Office for Project Services</w:t>
          </w:r>
        </w:p>
        <w:p w14:paraId="5A0C863F" w14:textId="77777777" w:rsidR="0043128F" w:rsidRPr="004F083C" w:rsidRDefault="0043128F" w:rsidP="004F083C">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outlineLvl w:val="0"/>
            <w:rPr>
              <w:b/>
              <w:spacing w:val="-4"/>
              <w:w w:val="98"/>
              <w:kern w:val="14"/>
              <w:sz w:val="34"/>
              <w:lang w:val="en-GB"/>
            </w:rPr>
          </w:pPr>
        </w:p>
      </w:tc>
      <w:tc>
        <w:tcPr>
          <w:tcW w:w="245" w:type="dxa"/>
          <w:tcBorders>
            <w:top w:val="single" w:sz="4" w:space="0" w:color="auto"/>
            <w:bottom w:val="single" w:sz="12" w:space="0" w:color="auto"/>
          </w:tcBorders>
          <w:shd w:val="clear" w:color="auto" w:fill="auto"/>
        </w:tcPr>
        <w:p w14:paraId="2D86F308" w14:textId="77777777" w:rsidR="0043128F" w:rsidRPr="004F083C" w:rsidRDefault="0043128F" w:rsidP="004F083C">
          <w:pPr>
            <w:tabs>
              <w:tab w:val="center" w:pos="4320"/>
              <w:tab w:val="right" w:pos="8640"/>
            </w:tabs>
            <w:spacing w:before="109"/>
            <w:rPr>
              <w:noProof/>
              <w:sz w:val="17"/>
            </w:rPr>
          </w:pPr>
        </w:p>
      </w:tc>
      <w:tc>
        <w:tcPr>
          <w:tcW w:w="3140" w:type="dxa"/>
          <w:tcBorders>
            <w:top w:val="single" w:sz="4" w:space="0" w:color="auto"/>
            <w:bottom w:val="single" w:sz="12" w:space="0" w:color="auto"/>
          </w:tcBorders>
          <w:shd w:val="clear" w:color="auto" w:fill="auto"/>
        </w:tcPr>
        <w:p w14:paraId="2D265313" w14:textId="77777777" w:rsidR="0043128F" w:rsidRPr="004F083C" w:rsidRDefault="0043128F" w:rsidP="004F083C">
          <w:pPr>
            <w:suppressAutoHyphens/>
            <w:spacing w:before="240" w:line="240" w:lineRule="exact"/>
            <w:rPr>
              <w:spacing w:val="4"/>
              <w:w w:val="103"/>
              <w:kern w:val="14"/>
              <w:lang w:val="en-GB"/>
            </w:rPr>
          </w:pPr>
          <w:r w:rsidRPr="004F083C">
            <w:rPr>
              <w:spacing w:val="4"/>
              <w:w w:val="103"/>
              <w:kern w:val="14"/>
              <w:lang w:val="en-GB"/>
            </w:rPr>
            <w:t>Distr.: General</w:t>
          </w:r>
        </w:p>
        <w:p w14:paraId="324DB939" w14:textId="64A995BF" w:rsidR="0043128F" w:rsidRPr="004F083C" w:rsidRDefault="00AD01D0" w:rsidP="004F083C">
          <w:pPr>
            <w:suppressAutoHyphens/>
            <w:spacing w:line="240" w:lineRule="exact"/>
            <w:rPr>
              <w:spacing w:val="4"/>
              <w:w w:val="103"/>
              <w:kern w:val="14"/>
              <w:lang w:val="en-GB"/>
            </w:rPr>
          </w:pPr>
          <w:r>
            <w:rPr>
              <w:spacing w:val="4"/>
              <w:w w:val="103"/>
              <w:kern w:val="14"/>
              <w:lang w:val="en-GB"/>
            </w:rPr>
            <w:t>1</w:t>
          </w:r>
          <w:r w:rsidR="00C21408">
            <w:rPr>
              <w:spacing w:val="4"/>
              <w:w w:val="103"/>
              <w:kern w:val="14"/>
              <w:lang w:val="en-GB"/>
            </w:rPr>
            <w:t>0</w:t>
          </w:r>
          <w:r w:rsidR="0043128F" w:rsidRPr="004F083C">
            <w:rPr>
              <w:spacing w:val="4"/>
              <w:w w:val="103"/>
              <w:kern w:val="14"/>
              <w:lang w:val="en-GB"/>
            </w:rPr>
            <w:t xml:space="preserve"> </w:t>
          </w:r>
          <w:r>
            <w:rPr>
              <w:spacing w:val="4"/>
              <w:w w:val="103"/>
              <w:kern w:val="14"/>
              <w:lang w:val="en-GB"/>
            </w:rPr>
            <w:t>Ju</w:t>
          </w:r>
          <w:r w:rsidR="00C21408">
            <w:rPr>
              <w:spacing w:val="4"/>
              <w:w w:val="103"/>
              <w:kern w:val="14"/>
              <w:lang w:val="en-GB"/>
            </w:rPr>
            <w:t>ly</w:t>
          </w:r>
          <w:r>
            <w:rPr>
              <w:spacing w:val="4"/>
              <w:w w:val="103"/>
              <w:kern w:val="14"/>
              <w:lang w:val="en-GB"/>
            </w:rPr>
            <w:t xml:space="preserve"> </w:t>
          </w:r>
          <w:r w:rsidR="0043128F" w:rsidRPr="004F083C">
            <w:rPr>
              <w:spacing w:val="4"/>
              <w:w w:val="103"/>
              <w:kern w:val="14"/>
              <w:lang w:val="en-GB"/>
            </w:rPr>
            <w:t>2017</w:t>
          </w:r>
        </w:p>
        <w:p w14:paraId="6AC797D2" w14:textId="77777777" w:rsidR="0043128F" w:rsidRPr="004F083C" w:rsidRDefault="0043128F" w:rsidP="004F083C">
          <w:pPr>
            <w:suppressAutoHyphens/>
            <w:spacing w:line="240" w:lineRule="exact"/>
            <w:rPr>
              <w:spacing w:val="4"/>
              <w:w w:val="103"/>
              <w:kern w:val="14"/>
              <w:lang w:val="en-GB"/>
            </w:rPr>
          </w:pPr>
        </w:p>
        <w:p w14:paraId="06184482" w14:textId="77777777" w:rsidR="0043128F" w:rsidRPr="004F083C" w:rsidRDefault="0043128F" w:rsidP="004F083C">
          <w:pPr>
            <w:suppressAutoHyphens/>
            <w:spacing w:line="240" w:lineRule="exact"/>
            <w:rPr>
              <w:spacing w:val="4"/>
              <w:w w:val="103"/>
              <w:kern w:val="14"/>
              <w:lang w:val="en-GB"/>
            </w:rPr>
          </w:pPr>
          <w:r w:rsidRPr="004F083C">
            <w:rPr>
              <w:spacing w:val="4"/>
              <w:w w:val="103"/>
              <w:kern w:val="14"/>
              <w:lang w:val="en-GB"/>
            </w:rPr>
            <w:t>Original: English</w:t>
          </w:r>
        </w:p>
      </w:tc>
    </w:tr>
  </w:tbl>
  <w:p w14:paraId="2E94468B" w14:textId="77777777" w:rsidR="0043128F" w:rsidRPr="0043128F" w:rsidRDefault="0043128F">
    <w:pPr>
      <w:pStyle w:val="Header"/>
      <w:rPr>
        <w:sz w:val="2"/>
        <w:szCs w:val="2"/>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140"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8302"/>
    </w:tblGrid>
    <w:tr w:rsidR="0043128F" w:rsidRPr="004F083C" w14:paraId="774853F8" w14:textId="77777777" w:rsidTr="00000ED6">
      <w:trPr>
        <w:trHeight w:hRule="exact" w:val="864"/>
      </w:trPr>
      <w:tc>
        <w:tcPr>
          <w:tcW w:w="4838" w:type="dxa"/>
          <w:shd w:val="clear" w:color="auto" w:fill="auto"/>
          <w:vAlign w:val="bottom"/>
        </w:tcPr>
        <w:p w14:paraId="3831F8B6" w14:textId="77777777" w:rsidR="0043128F" w:rsidRPr="004F083C" w:rsidRDefault="0043128F" w:rsidP="00000ED6">
          <w:pPr>
            <w:tabs>
              <w:tab w:val="center" w:pos="4320"/>
              <w:tab w:val="right" w:pos="8640"/>
            </w:tabs>
            <w:spacing w:after="80"/>
            <w:ind w:left="968" w:hanging="968"/>
            <w:rPr>
              <w:b/>
              <w:noProof/>
              <w:sz w:val="17"/>
            </w:rPr>
          </w:pPr>
          <w:r w:rsidRPr="004F083C">
            <w:rPr>
              <w:b/>
              <w:noProof/>
              <w:sz w:val="17"/>
            </w:rPr>
            <w:t>DP/DCP/</w:t>
          </w:r>
          <w:r>
            <w:rPr>
              <w:b/>
              <w:noProof/>
              <w:sz w:val="17"/>
            </w:rPr>
            <w:t>PNG</w:t>
          </w:r>
          <w:r w:rsidRPr="004F083C">
            <w:rPr>
              <w:b/>
              <w:noProof/>
              <w:sz w:val="17"/>
            </w:rPr>
            <w:t>/</w:t>
          </w:r>
          <w:r>
            <w:rPr>
              <w:b/>
              <w:noProof/>
              <w:sz w:val="17"/>
            </w:rPr>
            <w:t>2</w:t>
          </w:r>
        </w:p>
      </w:tc>
      <w:tc>
        <w:tcPr>
          <w:tcW w:w="8302" w:type="dxa"/>
          <w:shd w:val="clear" w:color="auto" w:fill="auto"/>
          <w:vAlign w:val="bottom"/>
        </w:tcPr>
        <w:p w14:paraId="701F2E83" w14:textId="77777777" w:rsidR="0043128F" w:rsidRPr="004F083C" w:rsidRDefault="0043128F" w:rsidP="004F083C">
          <w:pPr>
            <w:tabs>
              <w:tab w:val="center" w:pos="4320"/>
              <w:tab w:val="right" w:pos="8640"/>
            </w:tabs>
            <w:jc w:val="right"/>
            <w:rPr>
              <w:noProof/>
              <w:sz w:val="17"/>
            </w:rPr>
          </w:pPr>
        </w:p>
      </w:tc>
    </w:tr>
  </w:tbl>
  <w:p w14:paraId="2CCA3F04" w14:textId="77777777" w:rsidR="0043128F" w:rsidRDefault="004312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050"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8212"/>
    </w:tblGrid>
    <w:tr w:rsidR="0043128F" w:rsidRPr="00106855" w14:paraId="39B54BEA" w14:textId="77777777" w:rsidTr="00106855">
      <w:trPr>
        <w:trHeight w:hRule="exact" w:val="864"/>
      </w:trPr>
      <w:tc>
        <w:tcPr>
          <w:tcW w:w="4838" w:type="dxa"/>
          <w:tcBorders>
            <w:bottom w:val="single" w:sz="4" w:space="0" w:color="auto"/>
          </w:tcBorders>
          <w:vAlign w:val="bottom"/>
        </w:tcPr>
        <w:p w14:paraId="674D7018" w14:textId="77777777" w:rsidR="0043128F" w:rsidRPr="00106855" w:rsidRDefault="0043128F" w:rsidP="00106855">
          <w:pPr>
            <w:widowControl w:val="0"/>
            <w:tabs>
              <w:tab w:val="center" w:pos="4320"/>
              <w:tab w:val="right" w:pos="8640"/>
            </w:tabs>
            <w:spacing w:after="80"/>
            <w:rPr>
              <w:b/>
              <w:sz w:val="17"/>
              <w:szCs w:val="17"/>
              <w:lang w:val="en-GB"/>
            </w:rPr>
          </w:pPr>
        </w:p>
      </w:tc>
      <w:tc>
        <w:tcPr>
          <w:tcW w:w="8212" w:type="dxa"/>
          <w:tcBorders>
            <w:bottom w:val="single" w:sz="4" w:space="0" w:color="auto"/>
          </w:tcBorders>
          <w:vAlign w:val="bottom"/>
        </w:tcPr>
        <w:p w14:paraId="20D22A81" w14:textId="77777777" w:rsidR="0043128F" w:rsidRPr="00106855" w:rsidRDefault="0043128F" w:rsidP="00106855">
          <w:pPr>
            <w:widowControl w:val="0"/>
            <w:tabs>
              <w:tab w:val="center" w:pos="4320"/>
              <w:tab w:val="right" w:pos="8640"/>
            </w:tabs>
            <w:jc w:val="right"/>
            <w:rPr>
              <w:sz w:val="17"/>
              <w:szCs w:val="17"/>
              <w:lang w:val="en-GB"/>
            </w:rPr>
          </w:pPr>
          <w:r w:rsidRPr="00106855">
            <w:rPr>
              <w:b/>
              <w:sz w:val="17"/>
              <w:szCs w:val="17"/>
              <w:lang w:val="en-GB"/>
            </w:rPr>
            <w:t>DP/DCP/</w:t>
          </w:r>
          <w:r>
            <w:rPr>
              <w:b/>
              <w:sz w:val="17"/>
              <w:szCs w:val="17"/>
              <w:lang w:val="en-GB"/>
            </w:rPr>
            <w:t>PNG</w:t>
          </w:r>
          <w:r w:rsidRPr="00106855">
            <w:rPr>
              <w:b/>
              <w:sz w:val="17"/>
              <w:szCs w:val="17"/>
              <w:lang w:val="en-GB"/>
            </w:rPr>
            <w:t>/</w:t>
          </w:r>
          <w:r>
            <w:rPr>
              <w:b/>
              <w:sz w:val="17"/>
              <w:szCs w:val="17"/>
              <w:lang w:val="en-GB"/>
            </w:rPr>
            <w:t>2</w:t>
          </w:r>
        </w:p>
      </w:tc>
    </w:tr>
  </w:tbl>
  <w:p w14:paraId="7B2E1A8F" w14:textId="77777777" w:rsidR="0043128F" w:rsidRPr="004F083C" w:rsidRDefault="0043128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BC5"/>
    <w:multiLevelType w:val="hybridMultilevel"/>
    <w:tmpl w:val="04D2361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16B59C6"/>
    <w:multiLevelType w:val="hybridMultilevel"/>
    <w:tmpl w:val="F27E5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A4E2D"/>
    <w:multiLevelType w:val="hybridMultilevel"/>
    <w:tmpl w:val="CCA445AC"/>
    <w:lvl w:ilvl="0" w:tplc="40E630B6">
      <w:start w:val="1"/>
      <w:numFmt w:val="bullet"/>
      <w:lvlText w:val=""/>
      <w:lvlJc w:val="left"/>
      <w:pPr>
        <w:tabs>
          <w:tab w:val="num" w:pos="502"/>
        </w:tabs>
        <w:ind w:left="502" w:hanging="360"/>
      </w:pPr>
      <w:rPr>
        <w:rFonts w:ascii="Symbol" w:hAnsi="Symbol" w:hint="default"/>
        <w:color w:val="auto"/>
        <w:sz w:val="24"/>
      </w:rPr>
    </w:lvl>
    <w:lvl w:ilvl="1" w:tplc="04090003">
      <w:start w:val="1"/>
      <w:numFmt w:val="bullet"/>
      <w:lvlText w:val="o"/>
      <w:lvlJc w:val="left"/>
      <w:pPr>
        <w:tabs>
          <w:tab w:val="num" w:pos="1222"/>
        </w:tabs>
        <w:ind w:left="1222" w:hanging="360"/>
      </w:pPr>
      <w:rPr>
        <w:rFonts w:ascii="Courier New" w:hAnsi="Courier New" w:cs="Wingdings" w:hint="default"/>
      </w:rPr>
    </w:lvl>
    <w:lvl w:ilvl="2" w:tplc="04090005">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Wingdings"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Wingdings"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3" w15:restartNumberingAfterBreak="0">
    <w:nsid w:val="188C67E7"/>
    <w:multiLevelType w:val="hybridMultilevel"/>
    <w:tmpl w:val="2076D516"/>
    <w:lvl w:ilvl="0" w:tplc="0C8EE990">
      <w:start w:val="1"/>
      <w:numFmt w:val="lowerLetter"/>
      <w:lvlText w:val="(%1)"/>
      <w:lvlJc w:val="left"/>
      <w:pPr>
        <w:ind w:left="1800" w:hanging="360"/>
      </w:pPr>
      <w:rPr>
        <w:rFonts w:hint="default"/>
        <w:color w:val="000000"/>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267D3C"/>
    <w:multiLevelType w:val="hybridMultilevel"/>
    <w:tmpl w:val="9B3E127A"/>
    <w:lvl w:ilvl="0" w:tplc="46C44F84">
      <w:start w:val="1"/>
      <w:numFmt w:val="decimal"/>
      <w:lvlText w:val="%1."/>
      <w:lvlJc w:val="left"/>
      <w:pPr>
        <w:ind w:left="720" w:hanging="360"/>
      </w:pPr>
      <w:rPr>
        <w:rFonts w:ascii="Times New Roman" w:eastAsia="Times New Roman" w:hAnsi="Times New Roman" w:cs="Times New Roman"/>
        <w:b w:val="0"/>
        <w:i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F706B6"/>
    <w:multiLevelType w:val="hybridMultilevel"/>
    <w:tmpl w:val="2C14749C"/>
    <w:lvl w:ilvl="0" w:tplc="0409000F">
      <w:start w:val="1"/>
      <w:numFmt w:val="decimal"/>
      <w:lvlText w:val="%1."/>
      <w:lvlJc w:val="left"/>
      <w:pPr>
        <w:ind w:left="1353" w:hanging="360"/>
      </w:pPr>
    </w:lvl>
    <w:lvl w:ilvl="1" w:tplc="04090019">
      <w:start w:val="1"/>
      <w:numFmt w:val="lowerLetter"/>
      <w:lvlText w:val="%2."/>
      <w:lvlJc w:val="left"/>
      <w:pPr>
        <w:ind w:left="3067" w:hanging="360"/>
      </w:pPr>
    </w:lvl>
    <w:lvl w:ilvl="2" w:tplc="0409001B" w:tentative="1">
      <w:start w:val="1"/>
      <w:numFmt w:val="lowerRoman"/>
      <w:lvlText w:val="%3."/>
      <w:lvlJc w:val="right"/>
      <w:pPr>
        <w:ind w:left="3787" w:hanging="180"/>
      </w:pPr>
    </w:lvl>
    <w:lvl w:ilvl="3" w:tplc="0409000F" w:tentative="1">
      <w:start w:val="1"/>
      <w:numFmt w:val="decimal"/>
      <w:lvlText w:val="%4."/>
      <w:lvlJc w:val="left"/>
      <w:pPr>
        <w:ind w:left="4507" w:hanging="360"/>
      </w:pPr>
    </w:lvl>
    <w:lvl w:ilvl="4" w:tplc="04090019" w:tentative="1">
      <w:start w:val="1"/>
      <w:numFmt w:val="lowerLetter"/>
      <w:lvlText w:val="%5."/>
      <w:lvlJc w:val="left"/>
      <w:pPr>
        <w:ind w:left="5227" w:hanging="360"/>
      </w:pPr>
    </w:lvl>
    <w:lvl w:ilvl="5" w:tplc="0409001B" w:tentative="1">
      <w:start w:val="1"/>
      <w:numFmt w:val="lowerRoman"/>
      <w:lvlText w:val="%6."/>
      <w:lvlJc w:val="right"/>
      <w:pPr>
        <w:ind w:left="5947" w:hanging="180"/>
      </w:pPr>
    </w:lvl>
    <w:lvl w:ilvl="6" w:tplc="0409000F" w:tentative="1">
      <w:start w:val="1"/>
      <w:numFmt w:val="decimal"/>
      <w:lvlText w:val="%7."/>
      <w:lvlJc w:val="left"/>
      <w:pPr>
        <w:ind w:left="6667" w:hanging="360"/>
      </w:pPr>
    </w:lvl>
    <w:lvl w:ilvl="7" w:tplc="04090019" w:tentative="1">
      <w:start w:val="1"/>
      <w:numFmt w:val="lowerLetter"/>
      <w:lvlText w:val="%8."/>
      <w:lvlJc w:val="left"/>
      <w:pPr>
        <w:ind w:left="7387" w:hanging="360"/>
      </w:pPr>
    </w:lvl>
    <w:lvl w:ilvl="8" w:tplc="0409001B" w:tentative="1">
      <w:start w:val="1"/>
      <w:numFmt w:val="lowerRoman"/>
      <w:lvlText w:val="%9."/>
      <w:lvlJc w:val="right"/>
      <w:pPr>
        <w:ind w:left="8107" w:hanging="180"/>
      </w:pPr>
    </w:lvl>
  </w:abstractNum>
  <w:abstractNum w:abstractNumId="6" w15:restartNumberingAfterBreak="0">
    <w:nsid w:val="1EC35C4A"/>
    <w:multiLevelType w:val="hybridMultilevel"/>
    <w:tmpl w:val="74B26D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5B7670"/>
    <w:multiLevelType w:val="hybridMultilevel"/>
    <w:tmpl w:val="2856F22E"/>
    <w:lvl w:ilvl="0" w:tplc="74DCB91A">
      <w:start w:val="1"/>
      <w:numFmt w:val="decimal"/>
      <w:lvlText w:val="%1."/>
      <w:lvlJc w:val="left"/>
      <w:pPr>
        <w:ind w:left="2430" w:hanging="360"/>
      </w:pPr>
      <w:rPr>
        <w:rFonts w:hint="default"/>
        <w:i w:val="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15:restartNumberingAfterBreak="0">
    <w:nsid w:val="291E2C68"/>
    <w:multiLevelType w:val="hybridMultilevel"/>
    <w:tmpl w:val="83F023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C0479"/>
    <w:multiLevelType w:val="hybridMultilevel"/>
    <w:tmpl w:val="69A2DBBC"/>
    <w:lvl w:ilvl="0" w:tplc="65B2EFC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15ADD"/>
    <w:multiLevelType w:val="hybridMultilevel"/>
    <w:tmpl w:val="2856F22E"/>
    <w:lvl w:ilvl="0" w:tplc="74DCB91A">
      <w:start w:val="1"/>
      <w:numFmt w:val="decimal"/>
      <w:lvlText w:val="%1."/>
      <w:lvlJc w:val="left"/>
      <w:pPr>
        <w:ind w:left="2430" w:hanging="360"/>
      </w:pPr>
      <w:rPr>
        <w:rFonts w:hint="default"/>
        <w:i w:val="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3A301233"/>
    <w:multiLevelType w:val="hybridMultilevel"/>
    <w:tmpl w:val="E1808CC2"/>
    <w:lvl w:ilvl="0" w:tplc="BCB4EAF8">
      <w:start w:val="17"/>
      <w:numFmt w:val="bullet"/>
      <w:lvlText w:val="-"/>
      <w:lvlJc w:val="left"/>
      <w:pPr>
        <w:ind w:left="720" w:hanging="360"/>
      </w:pPr>
      <w:rPr>
        <w:rFonts w:ascii="Calibri" w:eastAsia="Calibri" w:hAnsi="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A687512"/>
    <w:multiLevelType w:val="hybridMultilevel"/>
    <w:tmpl w:val="A9A8029E"/>
    <w:lvl w:ilvl="0" w:tplc="1242B59C">
      <w:start w:val="23"/>
      <w:numFmt w:val="decimal"/>
      <w:lvlText w:val="%1."/>
      <w:lvlJc w:val="left"/>
      <w:pPr>
        <w:ind w:left="720" w:hanging="360"/>
      </w:pPr>
      <w:rPr>
        <w:rFonts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F5B33"/>
    <w:multiLevelType w:val="multilevel"/>
    <w:tmpl w:val="036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A6C83"/>
    <w:multiLevelType w:val="hybridMultilevel"/>
    <w:tmpl w:val="2856F22E"/>
    <w:lvl w:ilvl="0" w:tplc="74DCB91A">
      <w:start w:val="1"/>
      <w:numFmt w:val="decimal"/>
      <w:lvlText w:val="%1."/>
      <w:lvlJc w:val="left"/>
      <w:pPr>
        <w:ind w:left="2430" w:hanging="360"/>
      </w:pPr>
      <w:rPr>
        <w:rFonts w:hint="default"/>
        <w:i w:val="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5" w15:restartNumberingAfterBreak="0">
    <w:nsid w:val="46364A16"/>
    <w:multiLevelType w:val="hybridMultilevel"/>
    <w:tmpl w:val="2856F22E"/>
    <w:lvl w:ilvl="0" w:tplc="74DCB91A">
      <w:start w:val="1"/>
      <w:numFmt w:val="decimal"/>
      <w:lvlText w:val="%1."/>
      <w:lvlJc w:val="left"/>
      <w:pPr>
        <w:ind w:left="2430" w:hanging="360"/>
      </w:pPr>
      <w:rPr>
        <w:rFonts w:hint="default"/>
        <w:i w:val="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6" w15:restartNumberingAfterBreak="0">
    <w:nsid w:val="46375E0F"/>
    <w:multiLevelType w:val="multilevel"/>
    <w:tmpl w:val="8620EF4A"/>
    <w:name w:val="TOC3"/>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54DA08AE"/>
    <w:multiLevelType w:val="hybridMultilevel"/>
    <w:tmpl w:val="64045F7E"/>
    <w:lvl w:ilvl="0" w:tplc="4A24DFC8">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745FD"/>
    <w:multiLevelType w:val="hybridMultilevel"/>
    <w:tmpl w:val="3DE26EA2"/>
    <w:lvl w:ilvl="0" w:tplc="04090001">
      <w:start w:val="1"/>
      <w:numFmt w:val="bullet"/>
      <w:lvlText w:val=""/>
      <w:lvlJc w:val="left"/>
      <w:pPr>
        <w:ind w:left="360" w:hanging="360"/>
      </w:pPr>
      <w:rPr>
        <w:rFonts w:ascii="Symbol" w:hAnsi="Symbol" w:hint="default"/>
      </w:rPr>
    </w:lvl>
    <w:lvl w:ilvl="1" w:tplc="C556258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D10498"/>
    <w:multiLevelType w:val="hybridMultilevel"/>
    <w:tmpl w:val="DDE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1B4DD8"/>
    <w:multiLevelType w:val="hybridMultilevel"/>
    <w:tmpl w:val="2856F22E"/>
    <w:lvl w:ilvl="0" w:tplc="74DCB91A">
      <w:start w:val="1"/>
      <w:numFmt w:val="decimal"/>
      <w:lvlText w:val="%1."/>
      <w:lvlJc w:val="left"/>
      <w:pPr>
        <w:ind w:left="2430" w:hanging="360"/>
      </w:pPr>
      <w:rPr>
        <w:rFonts w:hint="default"/>
        <w:i w:val="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15:restartNumberingAfterBreak="0">
    <w:nsid w:val="6FF300FB"/>
    <w:multiLevelType w:val="hybridMultilevel"/>
    <w:tmpl w:val="FD346622"/>
    <w:lvl w:ilvl="0" w:tplc="9452B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73FD3"/>
    <w:multiLevelType w:val="hybridMultilevel"/>
    <w:tmpl w:val="894A85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AF6747"/>
    <w:multiLevelType w:val="hybridMultilevel"/>
    <w:tmpl w:val="83F023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E0277"/>
    <w:multiLevelType w:val="hybridMultilevel"/>
    <w:tmpl w:val="91887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1411B3"/>
    <w:multiLevelType w:val="hybridMultilevel"/>
    <w:tmpl w:val="81FC4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EEB4F0B"/>
    <w:multiLevelType w:val="hybridMultilevel"/>
    <w:tmpl w:val="6B46E228"/>
    <w:lvl w:ilvl="0" w:tplc="CA046F7C">
      <w:start w:val="201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2"/>
  </w:num>
  <w:num w:numId="3">
    <w:abstractNumId w:val="19"/>
  </w:num>
  <w:num w:numId="4">
    <w:abstractNumId w:val="15"/>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7"/>
  </w:num>
  <w:num w:numId="12">
    <w:abstractNumId w:val="24"/>
  </w:num>
  <w:num w:numId="13">
    <w:abstractNumId w:val="14"/>
  </w:num>
  <w:num w:numId="14">
    <w:abstractNumId w:val="6"/>
  </w:num>
  <w:num w:numId="15">
    <w:abstractNumId w:val="12"/>
  </w:num>
  <w:num w:numId="16">
    <w:abstractNumId w:val="21"/>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
  </w:num>
  <w:num w:numId="21">
    <w:abstractNumId w:val="23"/>
  </w:num>
  <w:num w:numId="22">
    <w:abstractNumId w:val="8"/>
  </w:num>
  <w:num w:numId="23">
    <w:abstractNumId w:val="26"/>
  </w:num>
  <w:num w:numId="24">
    <w:abstractNumId w:val="9"/>
  </w:num>
  <w:num w:numId="25">
    <w:abstractNumId w:val="11"/>
  </w:num>
  <w:num w:numId="26">
    <w:abstractNumId w:val="1"/>
  </w:num>
  <w:num w:numId="27">
    <w:abstractNumId w:val="16"/>
  </w:num>
  <w:num w:numId="28">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3B"/>
    <w:rsid w:val="00000ED6"/>
    <w:rsid w:val="000010B5"/>
    <w:rsid w:val="000027D2"/>
    <w:rsid w:val="0000510E"/>
    <w:rsid w:val="000056B5"/>
    <w:rsid w:val="00005E26"/>
    <w:rsid w:val="00005FF4"/>
    <w:rsid w:val="000072B0"/>
    <w:rsid w:val="00007BC6"/>
    <w:rsid w:val="00010D38"/>
    <w:rsid w:val="0001309E"/>
    <w:rsid w:val="00013FC4"/>
    <w:rsid w:val="000153FD"/>
    <w:rsid w:val="00015D67"/>
    <w:rsid w:val="00015FDE"/>
    <w:rsid w:val="00016217"/>
    <w:rsid w:val="00016861"/>
    <w:rsid w:val="000176E3"/>
    <w:rsid w:val="000200CF"/>
    <w:rsid w:val="000205F1"/>
    <w:rsid w:val="0002144B"/>
    <w:rsid w:val="000219EA"/>
    <w:rsid w:val="00022047"/>
    <w:rsid w:val="0002250D"/>
    <w:rsid w:val="0002318A"/>
    <w:rsid w:val="00023EF1"/>
    <w:rsid w:val="000274B9"/>
    <w:rsid w:val="0002758B"/>
    <w:rsid w:val="000276A0"/>
    <w:rsid w:val="000330DB"/>
    <w:rsid w:val="0003429F"/>
    <w:rsid w:val="0003562A"/>
    <w:rsid w:val="00036095"/>
    <w:rsid w:val="00036AF4"/>
    <w:rsid w:val="000372D7"/>
    <w:rsid w:val="00041C10"/>
    <w:rsid w:val="00041D46"/>
    <w:rsid w:val="0004223A"/>
    <w:rsid w:val="00043804"/>
    <w:rsid w:val="000441A1"/>
    <w:rsid w:val="0004484C"/>
    <w:rsid w:val="000475CB"/>
    <w:rsid w:val="00047E2B"/>
    <w:rsid w:val="00050869"/>
    <w:rsid w:val="00055A6F"/>
    <w:rsid w:val="000561C1"/>
    <w:rsid w:val="00056204"/>
    <w:rsid w:val="000570D1"/>
    <w:rsid w:val="000571A9"/>
    <w:rsid w:val="00060290"/>
    <w:rsid w:val="00060885"/>
    <w:rsid w:val="000608F7"/>
    <w:rsid w:val="00061FE8"/>
    <w:rsid w:val="00062A29"/>
    <w:rsid w:val="000630B2"/>
    <w:rsid w:val="000635CB"/>
    <w:rsid w:val="00063991"/>
    <w:rsid w:val="00063E24"/>
    <w:rsid w:val="00064145"/>
    <w:rsid w:val="00067DD0"/>
    <w:rsid w:val="00072229"/>
    <w:rsid w:val="00073CF1"/>
    <w:rsid w:val="00073FD1"/>
    <w:rsid w:val="00074BD0"/>
    <w:rsid w:val="00074D9A"/>
    <w:rsid w:val="00074DB9"/>
    <w:rsid w:val="000753C4"/>
    <w:rsid w:val="00075DF0"/>
    <w:rsid w:val="000762CA"/>
    <w:rsid w:val="000803A4"/>
    <w:rsid w:val="000806E3"/>
    <w:rsid w:val="0008339E"/>
    <w:rsid w:val="00084209"/>
    <w:rsid w:val="0008457C"/>
    <w:rsid w:val="00084AE4"/>
    <w:rsid w:val="000855AB"/>
    <w:rsid w:val="000861CF"/>
    <w:rsid w:val="00090AD1"/>
    <w:rsid w:val="00090F4F"/>
    <w:rsid w:val="000911C4"/>
    <w:rsid w:val="00091476"/>
    <w:rsid w:val="000918F3"/>
    <w:rsid w:val="00092879"/>
    <w:rsid w:val="00094E87"/>
    <w:rsid w:val="000956FC"/>
    <w:rsid w:val="00097097"/>
    <w:rsid w:val="00097FB2"/>
    <w:rsid w:val="000A151D"/>
    <w:rsid w:val="000A24C5"/>
    <w:rsid w:val="000A3F7F"/>
    <w:rsid w:val="000B24F4"/>
    <w:rsid w:val="000B2737"/>
    <w:rsid w:val="000B2D99"/>
    <w:rsid w:val="000B3A13"/>
    <w:rsid w:val="000B4289"/>
    <w:rsid w:val="000B4BB2"/>
    <w:rsid w:val="000B6379"/>
    <w:rsid w:val="000B6AC7"/>
    <w:rsid w:val="000C0A7A"/>
    <w:rsid w:val="000C0F83"/>
    <w:rsid w:val="000C557B"/>
    <w:rsid w:val="000C76B0"/>
    <w:rsid w:val="000C7BBE"/>
    <w:rsid w:val="000D2475"/>
    <w:rsid w:val="000D442C"/>
    <w:rsid w:val="000D4DC4"/>
    <w:rsid w:val="000D55B2"/>
    <w:rsid w:val="000D5EC1"/>
    <w:rsid w:val="000D6499"/>
    <w:rsid w:val="000D74A0"/>
    <w:rsid w:val="000E066E"/>
    <w:rsid w:val="000E0B5D"/>
    <w:rsid w:val="000E0D93"/>
    <w:rsid w:val="000E152D"/>
    <w:rsid w:val="000E2028"/>
    <w:rsid w:val="000E4DF6"/>
    <w:rsid w:val="000E612D"/>
    <w:rsid w:val="000E6AB1"/>
    <w:rsid w:val="000E745A"/>
    <w:rsid w:val="000E7E9E"/>
    <w:rsid w:val="000F0044"/>
    <w:rsid w:val="000F01AB"/>
    <w:rsid w:val="000F5541"/>
    <w:rsid w:val="000F703B"/>
    <w:rsid w:val="000F72ED"/>
    <w:rsid w:val="000F7A4C"/>
    <w:rsid w:val="001014F7"/>
    <w:rsid w:val="00101B2C"/>
    <w:rsid w:val="00101D3A"/>
    <w:rsid w:val="001022C0"/>
    <w:rsid w:val="0010307B"/>
    <w:rsid w:val="001033E9"/>
    <w:rsid w:val="0010416A"/>
    <w:rsid w:val="001046B9"/>
    <w:rsid w:val="00106855"/>
    <w:rsid w:val="00106EF8"/>
    <w:rsid w:val="001070C4"/>
    <w:rsid w:val="001101A2"/>
    <w:rsid w:val="001106AF"/>
    <w:rsid w:val="00110E68"/>
    <w:rsid w:val="00111489"/>
    <w:rsid w:val="00111792"/>
    <w:rsid w:val="00111797"/>
    <w:rsid w:val="00111B19"/>
    <w:rsid w:val="00112EA1"/>
    <w:rsid w:val="00114A64"/>
    <w:rsid w:val="00115853"/>
    <w:rsid w:val="00115F11"/>
    <w:rsid w:val="00115F59"/>
    <w:rsid w:val="00116C1A"/>
    <w:rsid w:val="00121F3E"/>
    <w:rsid w:val="0012229E"/>
    <w:rsid w:val="00123849"/>
    <w:rsid w:val="00123A5E"/>
    <w:rsid w:val="00125010"/>
    <w:rsid w:val="00125266"/>
    <w:rsid w:val="0012541A"/>
    <w:rsid w:val="00125B82"/>
    <w:rsid w:val="001305E6"/>
    <w:rsid w:val="00130F45"/>
    <w:rsid w:val="0013239A"/>
    <w:rsid w:val="00132D93"/>
    <w:rsid w:val="00134C61"/>
    <w:rsid w:val="0013595F"/>
    <w:rsid w:val="00135E59"/>
    <w:rsid w:val="0013761A"/>
    <w:rsid w:val="0014423A"/>
    <w:rsid w:val="001468A1"/>
    <w:rsid w:val="00147042"/>
    <w:rsid w:val="001471A7"/>
    <w:rsid w:val="00150343"/>
    <w:rsid w:val="001506F6"/>
    <w:rsid w:val="001512DA"/>
    <w:rsid w:val="00151D6B"/>
    <w:rsid w:val="00151EAC"/>
    <w:rsid w:val="00152EFD"/>
    <w:rsid w:val="00153ED8"/>
    <w:rsid w:val="00154032"/>
    <w:rsid w:val="001547D3"/>
    <w:rsid w:val="001559BD"/>
    <w:rsid w:val="00157F09"/>
    <w:rsid w:val="00157F79"/>
    <w:rsid w:val="00161C18"/>
    <w:rsid w:val="001620A8"/>
    <w:rsid w:val="0016329F"/>
    <w:rsid w:val="00163E84"/>
    <w:rsid w:val="00164881"/>
    <w:rsid w:val="00165F90"/>
    <w:rsid w:val="0016688D"/>
    <w:rsid w:val="001668AA"/>
    <w:rsid w:val="001675B1"/>
    <w:rsid w:val="0016789D"/>
    <w:rsid w:val="00167C87"/>
    <w:rsid w:val="00172EE3"/>
    <w:rsid w:val="00177E7E"/>
    <w:rsid w:val="001817FC"/>
    <w:rsid w:val="0018356F"/>
    <w:rsid w:val="00185507"/>
    <w:rsid w:val="001876C5"/>
    <w:rsid w:val="00187D68"/>
    <w:rsid w:val="00190155"/>
    <w:rsid w:val="001906B5"/>
    <w:rsid w:val="00194163"/>
    <w:rsid w:val="00194378"/>
    <w:rsid w:val="00194FEB"/>
    <w:rsid w:val="001970A4"/>
    <w:rsid w:val="00197AD1"/>
    <w:rsid w:val="001A43C5"/>
    <w:rsid w:val="001A5EFD"/>
    <w:rsid w:val="001A6340"/>
    <w:rsid w:val="001A76DA"/>
    <w:rsid w:val="001B0020"/>
    <w:rsid w:val="001B0E11"/>
    <w:rsid w:val="001B131D"/>
    <w:rsid w:val="001B1C6A"/>
    <w:rsid w:val="001B253B"/>
    <w:rsid w:val="001B3F87"/>
    <w:rsid w:val="001B4026"/>
    <w:rsid w:val="001B46BC"/>
    <w:rsid w:val="001B598C"/>
    <w:rsid w:val="001B66A1"/>
    <w:rsid w:val="001B745E"/>
    <w:rsid w:val="001B76A6"/>
    <w:rsid w:val="001B7713"/>
    <w:rsid w:val="001C07F8"/>
    <w:rsid w:val="001C1147"/>
    <w:rsid w:val="001C2F59"/>
    <w:rsid w:val="001C53D8"/>
    <w:rsid w:val="001C6C08"/>
    <w:rsid w:val="001D0E7B"/>
    <w:rsid w:val="001D2056"/>
    <w:rsid w:val="001D3DB4"/>
    <w:rsid w:val="001D42D1"/>
    <w:rsid w:val="001D64E5"/>
    <w:rsid w:val="001D690E"/>
    <w:rsid w:val="001D6EB8"/>
    <w:rsid w:val="001E0386"/>
    <w:rsid w:val="001E05EC"/>
    <w:rsid w:val="001E1B9F"/>
    <w:rsid w:val="001E287A"/>
    <w:rsid w:val="001E4809"/>
    <w:rsid w:val="001E4F4F"/>
    <w:rsid w:val="001E7585"/>
    <w:rsid w:val="001F199B"/>
    <w:rsid w:val="001F1AD9"/>
    <w:rsid w:val="001F21D3"/>
    <w:rsid w:val="001F27F4"/>
    <w:rsid w:val="001F370F"/>
    <w:rsid w:val="001F3DC0"/>
    <w:rsid w:val="001F4C5A"/>
    <w:rsid w:val="001F4EA9"/>
    <w:rsid w:val="001F4F73"/>
    <w:rsid w:val="001F5D4A"/>
    <w:rsid w:val="001F5E42"/>
    <w:rsid w:val="001F6425"/>
    <w:rsid w:val="001F6772"/>
    <w:rsid w:val="001F7421"/>
    <w:rsid w:val="00200195"/>
    <w:rsid w:val="00200B5F"/>
    <w:rsid w:val="00201EEF"/>
    <w:rsid w:val="00203C41"/>
    <w:rsid w:val="00204002"/>
    <w:rsid w:val="002047C8"/>
    <w:rsid w:val="002052B3"/>
    <w:rsid w:val="00205453"/>
    <w:rsid w:val="002058F9"/>
    <w:rsid w:val="00206291"/>
    <w:rsid w:val="0020746E"/>
    <w:rsid w:val="00207EE8"/>
    <w:rsid w:val="00207F32"/>
    <w:rsid w:val="00210EF9"/>
    <w:rsid w:val="00211A85"/>
    <w:rsid w:val="00212B1F"/>
    <w:rsid w:val="00212F3A"/>
    <w:rsid w:val="00213340"/>
    <w:rsid w:val="00213D7C"/>
    <w:rsid w:val="00214513"/>
    <w:rsid w:val="002155B7"/>
    <w:rsid w:val="002169F5"/>
    <w:rsid w:val="0021766A"/>
    <w:rsid w:val="00221473"/>
    <w:rsid w:val="00221EED"/>
    <w:rsid w:val="002225D3"/>
    <w:rsid w:val="00222A35"/>
    <w:rsid w:val="0022301D"/>
    <w:rsid w:val="002247FF"/>
    <w:rsid w:val="00224B2C"/>
    <w:rsid w:val="00224E34"/>
    <w:rsid w:val="0022513F"/>
    <w:rsid w:val="002256D6"/>
    <w:rsid w:val="00227E55"/>
    <w:rsid w:val="002303E9"/>
    <w:rsid w:val="0023153B"/>
    <w:rsid w:val="00232AA0"/>
    <w:rsid w:val="00234CDF"/>
    <w:rsid w:val="00236B91"/>
    <w:rsid w:val="0023750A"/>
    <w:rsid w:val="00241699"/>
    <w:rsid w:val="002424C0"/>
    <w:rsid w:val="00242617"/>
    <w:rsid w:val="00242838"/>
    <w:rsid w:val="00242CAA"/>
    <w:rsid w:val="002431ED"/>
    <w:rsid w:val="002434EB"/>
    <w:rsid w:val="0024503B"/>
    <w:rsid w:val="00245D74"/>
    <w:rsid w:val="002460F7"/>
    <w:rsid w:val="00246D03"/>
    <w:rsid w:val="00246DDF"/>
    <w:rsid w:val="002516FA"/>
    <w:rsid w:val="0025566C"/>
    <w:rsid w:val="002573CC"/>
    <w:rsid w:val="00257CCE"/>
    <w:rsid w:val="00260FAA"/>
    <w:rsid w:val="002611AF"/>
    <w:rsid w:val="00261AAA"/>
    <w:rsid w:val="00262338"/>
    <w:rsid w:val="00262C7E"/>
    <w:rsid w:val="00263938"/>
    <w:rsid w:val="002643F8"/>
    <w:rsid w:val="002646D7"/>
    <w:rsid w:val="00264A51"/>
    <w:rsid w:val="002671D7"/>
    <w:rsid w:val="002701DF"/>
    <w:rsid w:val="00271226"/>
    <w:rsid w:val="002720CA"/>
    <w:rsid w:val="00272490"/>
    <w:rsid w:val="0027259C"/>
    <w:rsid w:val="00272926"/>
    <w:rsid w:val="00273543"/>
    <w:rsid w:val="00274C82"/>
    <w:rsid w:val="002752B1"/>
    <w:rsid w:val="0027654D"/>
    <w:rsid w:val="002769BE"/>
    <w:rsid w:val="00277436"/>
    <w:rsid w:val="00280731"/>
    <w:rsid w:val="002810DF"/>
    <w:rsid w:val="0028119E"/>
    <w:rsid w:val="002812AB"/>
    <w:rsid w:val="002816D8"/>
    <w:rsid w:val="00282A8C"/>
    <w:rsid w:val="00284151"/>
    <w:rsid w:val="002854EE"/>
    <w:rsid w:val="0028565C"/>
    <w:rsid w:val="0028598C"/>
    <w:rsid w:val="002875DE"/>
    <w:rsid w:val="00287D75"/>
    <w:rsid w:val="00287E07"/>
    <w:rsid w:val="00287E8B"/>
    <w:rsid w:val="00290EB3"/>
    <w:rsid w:val="002926CF"/>
    <w:rsid w:val="00292846"/>
    <w:rsid w:val="00292A90"/>
    <w:rsid w:val="002935AD"/>
    <w:rsid w:val="00295974"/>
    <w:rsid w:val="00295F54"/>
    <w:rsid w:val="00295F91"/>
    <w:rsid w:val="002971D6"/>
    <w:rsid w:val="002A2F08"/>
    <w:rsid w:val="002A3641"/>
    <w:rsid w:val="002A3858"/>
    <w:rsid w:val="002A495F"/>
    <w:rsid w:val="002A5419"/>
    <w:rsid w:val="002A68BF"/>
    <w:rsid w:val="002A706F"/>
    <w:rsid w:val="002A70EA"/>
    <w:rsid w:val="002A7363"/>
    <w:rsid w:val="002A7F43"/>
    <w:rsid w:val="002B155F"/>
    <w:rsid w:val="002B22C3"/>
    <w:rsid w:val="002B365E"/>
    <w:rsid w:val="002B382F"/>
    <w:rsid w:val="002B3E6C"/>
    <w:rsid w:val="002B489A"/>
    <w:rsid w:val="002B6341"/>
    <w:rsid w:val="002C031A"/>
    <w:rsid w:val="002C0526"/>
    <w:rsid w:val="002C27A8"/>
    <w:rsid w:val="002C333E"/>
    <w:rsid w:val="002C36C8"/>
    <w:rsid w:val="002C51A0"/>
    <w:rsid w:val="002C57E0"/>
    <w:rsid w:val="002C7854"/>
    <w:rsid w:val="002C7971"/>
    <w:rsid w:val="002C7BF7"/>
    <w:rsid w:val="002C7E01"/>
    <w:rsid w:val="002D0584"/>
    <w:rsid w:val="002D1B1F"/>
    <w:rsid w:val="002D2E2A"/>
    <w:rsid w:val="002D4274"/>
    <w:rsid w:val="002D5295"/>
    <w:rsid w:val="002D52BF"/>
    <w:rsid w:val="002D68FA"/>
    <w:rsid w:val="002D6BD9"/>
    <w:rsid w:val="002D7ECA"/>
    <w:rsid w:val="002E0141"/>
    <w:rsid w:val="002E0B5D"/>
    <w:rsid w:val="002E0B76"/>
    <w:rsid w:val="002E1495"/>
    <w:rsid w:val="002E2466"/>
    <w:rsid w:val="002E2900"/>
    <w:rsid w:val="002E3223"/>
    <w:rsid w:val="002E3C0D"/>
    <w:rsid w:val="002E43EC"/>
    <w:rsid w:val="002E4883"/>
    <w:rsid w:val="002E5B3C"/>
    <w:rsid w:val="002E7A79"/>
    <w:rsid w:val="002F0A81"/>
    <w:rsid w:val="002F12AE"/>
    <w:rsid w:val="002F1D9E"/>
    <w:rsid w:val="002F22EF"/>
    <w:rsid w:val="002F2C6E"/>
    <w:rsid w:val="002F3077"/>
    <w:rsid w:val="002F3321"/>
    <w:rsid w:val="002F3C88"/>
    <w:rsid w:val="002F4067"/>
    <w:rsid w:val="002F4258"/>
    <w:rsid w:val="002F47EB"/>
    <w:rsid w:val="002F6A51"/>
    <w:rsid w:val="002F7339"/>
    <w:rsid w:val="002F7461"/>
    <w:rsid w:val="00300FC6"/>
    <w:rsid w:val="00301715"/>
    <w:rsid w:val="003025E2"/>
    <w:rsid w:val="0030446C"/>
    <w:rsid w:val="00304B27"/>
    <w:rsid w:val="0030527C"/>
    <w:rsid w:val="0030621B"/>
    <w:rsid w:val="00306B68"/>
    <w:rsid w:val="00306D24"/>
    <w:rsid w:val="00307712"/>
    <w:rsid w:val="00307AA7"/>
    <w:rsid w:val="0031404A"/>
    <w:rsid w:val="00314B7C"/>
    <w:rsid w:val="00314E49"/>
    <w:rsid w:val="00315445"/>
    <w:rsid w:val="00317183"/>
    <w:rsid w:val="00317F27"/>
    <w:rsid w:val="003204AE"/>
    <w:rsid w:val="003208EF"/>
    <w:rsid w:val="003243BC"/>
    <w:rsid w:val="00324846"/>
    <w:rsid w:val="00324ABD"/>
    <w:rsid w:val="00324D9B"/>
    <w:rsid w:val="0032693A"/>
    <w:rsid w:val="003272A6"/>
    <w:rsid w:val="003273CB"/>
    <w:rsid w:val="0033125E"/>
    <w:rsid w:val="0033172C"/>
    <w:rsid w:val="0033325E"/>
    <w:rsid w:val="00335F77"/>
    <w:rsid w:val="00336913"/>
    <w:rsid w:val="0033718C"/>
    <w:rsid w:val="00337339"/>
    <w:rsid w:val="00337407"/>
    <w:rsid w:val="00337BB8"/>
    <w:rsid w:val="003406F6"/>
    <w:rsid w:val="00340E02"/>
    <w:rsid w:val="00342F9F"/>
    <w:rsid w:val="00343E6E"/>
    <w:rsid w:val="00343E9A"/>
    <w:rsid w:val="003440FB"/>
    <w:rsid w:val="003450C8"/>
    <w:rsid w:val="00345C1D"/>
    <w:rsid w:val="003461C4"/>
    <w:rsid w:val="0034782B"/>
    <w:rsid w:val="00350A3C"/>
    <w:rsid w:val="00350E45"/>
    <w:rsid w:val="00351BE6"/>
    <w:rsid w:val="00351E5C"/>
    <w:rsid w:val="003548F5"/>
    <w:rsid w:val="0035580F"/>
    <w:rsid w:val="00356D98"/>
    <w:rsid w:val="00357C7D"/>
    <w:rsid w:val="00357CB4"/>
    <w:rsid w:val="003604EE"/>
    <w:rsid w:val="003618D6"/>
    <w:rsid w:val="00361F1F"/>
    <w:rsid w:val="00362666"/>
    <w:rsid w:val="0036286B"/>
    <w:rsid w:val="00362BC2"/>
    <w:rsid w:val="00363371"/>
    <w:rsid w:val="00364989"/>
    <w:rsid w:val="003664C0"/>
    <w:rsid w:val="00366769"/>
    <w:rsid w:val="00367A28"/>
    <w:rsid w:val="00367E04"/>
    <w:rsid w:val="003723F7"/>
    <w:rsid w:val="00372FCB"/>
    <w:rsid w:val="003761F2"/>
    <w:rsid w:val="00376A05"/>
    <w:rsid w:val="003774FE"/>
    <w:rsid w:val="003807EF"/>
    <w:rsid w:val="003821C8"/>
    <w:rsid w:val="003856F4"/>
    <w:rsid w:val="00386CD4"/>
    <w:rsid w:val="0038757B"/>
    <w:rsid w:val="00390E30"/>
    <w:rsid w:val="00393894"/>
    <w:rsid w:val="00393ABE"/>
    <w:rsid w:val="0039458D"/>
    <w:rsid w:val="00394D61"/>
    <w:rsid w:val="00397006"/>
    <w:rsid w:val="003A1F5A"/>
    <w:rsid w:val="003A20C4"/>
    <w:rsid w:val="003A2ECE"/>
    <w:rsid w:val="003A3C30"/>
    <w:rsid w:val="003A4252"/>
    <w:rsid w:val="003A539A"/>
    <w:rsid w:val="003A62A4"/>
    <w:rsid w:val="003A7476"/>
    <w:rsid w:val="003A7D86"/>
    <w:rsid w:val="003B0AA1"/>
    <w:rsid w:val="003B0BD7"/>
    <w:rsid w:val="003B243D"/>
    <w:rsid w:val="003B304F"/>
    <w:rsid w:val="003B5D18"/>
    <w:rsid w:val="003B6029"/>
    <w:rsid w:val="003B795D"/>
    <w:rsid w:val="003C26A6"/>
    <w:rsid w:val="003C26C1"/>
    <w:rsid w:val="003C308D"/>
    <w:rsid w:val="003C42E1"/>
    <w:rsid w:val="003C4969"/>
    <w:rsid w:val="003C5C11"/>
    <w:rsid w:val="003C6A5A"/>
    <w:rsid w:val="003C6AAD"/>
    <w:rsid w:val="003C72FA"/>
    <w:rsid w:val="003C76E4"/>
    <w:rsid w:val="003D1B8D"/>
    <w:rsid w:val="003D1D4D"/>
    <w:rsid w:val="003D2FE9"/>
    <w:rsid w:val="003D3682"/>
    <w:rsid w:val="003D37DD"/>
    <w:rsid w:val="003D45DF"/>
    <w:rsid w:val="003D47C6"/>
    <w:rsid w:val="003D7E38"/>
    <w:rsid w:val="003D7EAC"/>
    <w:rsid w:val="003E1AFA"/>
    <w:rsid w:val="003E2EE2"/>
    <w:rsid w:val="003E379A"/>
    <w:rsid w:val="003E52B0"/>
    <w:rsid w:val="003E64DC"/>
    <w:rsid w:val="003E7A43"/>
    <w:rsid w:val="003E7F05"/>
    <w:rsid w:val="003E7FB9"/>
    <w:rsid w:val="003F0B58"/>
    <w:rsid w:val="003F0D40"/>
    <w:rsid w:val="003F1913"/>
    <w:rsid w:val="003F2236"/>
    <w:rsid w:val="003F27B7"/>
    <w:rsid w:val="003F3F11"/>
    <w:rsid w:val="003F4051"/>
    <w:rsid w:val="003F5812"/>
    <w:rsid w:val="003F625A"/>
    <w:rsid w:val="003F6AA4"/>
    <w:rsid w:val="003F6EA1"/>
    <w:rsid w:val="00400E4A"/>
    <w:rsid w:val="004013D6"/>
    <w:rsid w:val="00401F7E"/>
    <w:rsid w:val="00402E61"/>
    <w:rsid w:val="00402E9A"/>
    <w:rsid w:val="004033A5"/>
    <w:rsid w:val="00403FA8"/>
    <w:rsid w:val="00403FD3"/>
    <w:rsid w:val="00404040"/>
    <w:rsid w:val="00404213"/>
    <w:rsid w:val="0040435D"/>
    <w:rsid w:val="004048AC"/>
    <w:rsid w:val="00404B8E"/>
    <w:rsid w:val="004068C2"/>
    <w:rsid w:val="00407780"/>
    <w:rsid w:val="004101E5"/>
    <w:rsid w:val="00412559"/>
    <w:rsid w:val="004134CE"/>
    <w:rsid w:val="00415AA9"/>
    <w:rsid w:val="00415E7F"/>
    <w:rsid w:val="00416691"/>
    <w:rsid w:val="00416B23"/>
    <w:rsid w:val="00416BBC"/>
    <w:rsid w:val="00420288"/>
    <w:rsid w:val="004205F2"/>
    <w:rsid w:val="00420FF9"/>
    <w:rsid w:val="00421C78"/>
    <w:rsid w:val="004224CE"/>
    <w:rsid w:val="00423AD7"/>
    <w:rsid w:val="00423CD9"/>
    <w:rsid w:val="00424A78"/>
    <w:rsid w:val="004254DB"/>
    <w:rsid w:val="00425978"/>
    <w:rsid w:val="00427EEA"/>
    <w:rsid w:val="0043128F"/>
    <w:rsid w:val="00431836"/>
    <w:rsid w:val="004321E6"/>
    <w:rsid w:val="0043278E"/>
    <w:rsid w:val="00433F60"/>
    <w:rsid w:val="00435D47"/>
    <w:rsid w:val="004360AC"/>
    <w:rsid w:val="00436B83"/>
    <w:rsid w:val="00441061"/>
    <w:rsid w:val="0044117D"/>
    <w:rsid w:val="004416A7"/>
    <w:rsid w:val="00442DFA"/>
    <w:rsid w:val="00443647"/>
    <w:rsid w:val="00443B9A"/>
    <w:rsid w:val="0044560C"/>
    <w:rsid w:val="00447D52"/>
    <w:rsid w:val="004501C9"/>
    <w:rsid w:val="0045055C"/>
    <w:rsid w:val="00450C70"/>
    <w:rsid w:val="00450EC5"/>
    <w:rsid w:val="00451920"/>
    <w:rsid w:val="004525F9"/>
    <w:rsid w:val="00453344"/>
    <w:rsid w:val="00454E76"/>
    <w:rsid w:val="00457080"/>
    <w:rsid w:val="00460891"/>
    <w:rsid w:val="004622CE"/>
    <w:rsid w:val="00464F3B"/>
    <w:rsid w:val="00464FB2"/>
    <w:rsid w:val="0046616C"/>
    <w:rsid w:val="004662A8"/>
    <w:rsid w:val="00466CDC"/>
    <w:rsid w:val="0046745E"/>
    <w:rsid w:val="004708B9"/>
    <w:rsid w:val="00470A43"/>
    <w:rsid w:val="004736BE"/>
    <w:rsid w:val="0047556D"/>
    <w:rsid w:val="00475789"/>
    <w:rsid w:val="00476170"/>
    <w:rsid w:val="0048086C"/>
    <w:rsid w:val="004818F2"/>
    <w:rsid w:val="004820B0"/>
    <w:rsid w:val="00482117"/>
    <w:rsid w:val="00482E2F"/>
    <w:rsid w:val="00482FC8"/>
    <w:rsid w:val="0048467F"/>
    <w:rsid w:val="004846BC"/>
    <w:rsid w:val="0048575C"/>
    <w:rsid w:val="004859B4"/>
    <w:rsid w:val="00486ACD"/>
    <w:rsid w:val="00487513"/>
    <w:rsid w:val="004906AD"/>
    <w:rsid w:val="00490B8D"/>
    <w:rsid w:val="00492767"/>
    <w:rsid w:val="00492C65"/>
    <w:rsid w:val="00493F24"/>
    <w:rsid w:val="0049403F"/>
    <w:rsid w:val="00494323"/>
    <w:rsid w:val="00494349"/>
    <w:rsid w:val="00494485"/>
    <w:rsid w:val="0049762B"/>
    <w:rsid w:val="0049776C"/>
    <w:rsid w:val="004A0F27"/>
    <w:rsid w:val="004A0F37"/>
    <w:rsid w:val="004A0F68"/>
    <w:rsid w:val="004A3608"/>
    <w:rsid w:val="004A37F0"/>
    <w:rsid w:val="004A4CD7"/>
    <w:rsid w:val="004A4FBD"/>
    <w:rsid w:val="004A7810"/>
    <w:rsid w:val="004A7E93"/>
    <w:rsid w:val="004B1B5D"/>
    <w:rsid w:val="004B389D"/>
    <w:rsid w:val="004B3CFB"/>
    <w:rsid w:val="004B5D6B"/>
    <w:rsid w:val="004B6D7A"/>
    <w:rsid w:val="004B76F8"/>
    <w:rsid w:val="004C0E19"/>
    <w:rsid w:val="004C1E83"/>
    <w:rsid w:val="004C1FA6"/>
    <w:rsid w:val="004C5CFD"/>
    <w:rsid w:val="004D12C0"/>
    <w:rsid w:val="004D18EA"/>
    <w:rsid w:val="004D3713"/>
    <w:rsid w:val="004D41E4"/>
    <w:rsid w:val="004D6254"/>
    <w:rsid w:val="004D70FD"/>
    <w:rsid w:val="004D7646"/>
    <w:rsid w:val="004D7E99"/>
    <w:rsid w:val="004D7EEF"/>
    <w:rsid w:val="004E00CE"/>
    <w:rsid w:val="004E04D0"/>
    <w:rsid w:val="004E113D"/>
    <w:rsid w:val="004E25F5"/>
    <w:rsid w:val="004E2BDB"/>
    <w:rsid w:val="004E7CA2"/>
    <w:rsid w:val="004F083C"/>
    <w:rsid w:val="004F1A22"/>
    <w:rsid w:val="004F467F"/>
    <w:rsid w:val="004F50AF"/>
    <w:rsid w:val="004F681D"/>
    <w:rsid w:val="004F6E14"/>
    <w:rsid w:val="00500996"/>
    <w:rsid w:val="00501D00"/>
    <w:rsid w:val="0050228C"/>
    <w:rsid w:val="00502857"/>
    <w:rsid w:val="0050301C"/>
    <w:rsid w:val="005044A9"/>
    <w:rsid w:val="00505994"/>
    <w:rsid w:val="00505FD4"/>
    <w:rsid w:val="00506E25"/>
    <w:rsid w:val="00510034"/>
    <w:rsid w:val="005104F0"/>
    <w:rsid w:val="0051132C"/>
    <w:rsid w:val="00512D7B"/>
    <w:rsid w:val="00513483"/>
    <w:rsid w:val="00514A55"/>
    <w:rsid w:val="00514EF5"/>
    <w:rsid w:val="00516A36"/>
    <w:rsid w:val="0051782D"/>
    <w:rsid w:val="0052087E"/>
    <w:rsid w:val="0052193C"/>
    <w:rsid w:val="00522E6E"/>
    <w:rsid w:val="0052315E"/>
    <w:rsid w:val="00526072"/>
    <w:rsid w:val="00526E3D"/>
    <w:rsid w:val="00530ED3"/>
    <w:rsid w:val="005318C5"/>
    <w:rsid w:val="005318F7"/>
    <w:rsid w:val="0053438E"/>
    <w:rsid w:val="005346B7"/>
    <w:rsid w:val="00534E71"/>
    <w:rsid w:val="005355EE"/>
    <w:rsid w:val="00535B16"/>
    <w:rsid w:val="005363AE"/>
    <w:rsid w:val="005366D0"/>
    <w:rsid w:val="00537E27"/>
    <w:rsid w:val="00540B4D"/>
    <w:rsid w:val="00540FFA"/>
    <w:rsid w:val="00541CDD"/>
    <w:rsid w:val="00542930"/>
    <w:rsid w:val="00543544"/>
    <w:rsid w:val="005435B3"/>
    <w:rsid w:val="00544042"/>
    <w:rsid w:val="00544268"/>
    <w:rsid w:val="005446B3"/>
    <w:rsid w:val="00544F19"/>
    <w:rsid w:val="0054586C"/>
    <w:rsid w:val="005468D8"/>
    <w:rsid w:val="00550849"/>
    <w:rsid w:val="00550866"/>
    <w:rsid w:val="00551DC0"/>
    <w:rsid w:val="00554BF3"/>
    <w:rsid w:val="0055547A"/>
    <w:rsid w:val="00556317"/>
    <w:rsid w:val="0055655F"/>
    <w:rsid w:val="0055657D"/>
    <w:rsid w:val="00556956"/>
    <w:rsid w:val="00557EE5"/>
    <w:rsid w:val="00560888"/>
    <w:rsid w:val="00560D0D"/>
    <w:rsid w:val="00561548"/>
    <w:rsid w:val="00562B95"/>
    <w:rsid w:val="005634E6"/>
    <w:rsid w:val="005655C8"/>
    <w:rsid w:val="00565FB1"/>
    <w:rsid w:val="005662FB"/>
    <w:rsid w:val="005667B9"/>
    <w:rsid w:val="00566B0A"/>
    <w:rsid w:val="00566F0E"/>
    <w:rsid w:val="00567781"/>
    <w:rsid w:val="00567845"/>
    <w:rsid w:val="00567ECC"/>
    <w:rsid w:val="005713B1"/>
    <w:rsid w:val="00573B49"/>
    <w:rsid w:val="005749BB"/>
    <w:rsid w:val="00577B2D"/>
    <w:rsid w:val="00580B91"/>
    <w:rsid w:val="00583090"/>
    <w:rsid w:val="005835F4"/>
    <w:rsid w:val="00583EFE"/>
    <w:rsid w:val="00584076"/>
    <w:rsid w:val="005841A3"/>
    <w:rsid w:val="00584617"/>
    <w:rsid w:val="005848AD"/>
    <w:rsid w:val="0058525C"/>
    <w:rsid w:val="00585AAF"/>
    <w:rsid w:val="00586D9A"/>
    <w:rsid w:val="00590EAE"/>
    <w:rsid w:val="0059112A"/>
    <w:rsid w:val="00592DDD"/>
    <w:rsid w:val="00593216"/>
    <w:rsid w:val="00594BC3"/>
    <w:rsid w:val="00596CA7"/>
    <w:rsid w:val="00596DC8"/>
    <w:rsid w:val="00596E16"/>
    <w:rsid w:val="005A16A3"/>
    <w:rsid w:val="005A1C48"/>
    <w:rsid w:val="005A253A"/>
    <w:rsid w:val="005A3900"/>
    <w:rsid w:val="005A40AF"/>
    <w:rsid w:val="005A46C8"/>
    <w:rsid w:val="005A523D"/>
    <w:rsid w:val="005A64BF"/>
    <w:rsid w:val="005A6751"/>
    <w:rsid w:val="005B4421"/>
    <w:rsid w:val="005B4D5F"/>
    <w:rsid w:val="005B6E02"/>
    <w:rsid w:val="005B7929"/>
    <w:rsid w:val="005C01AB"/>
    <w:rsid w:val="005C15B0"/>
    <w:rsid w:val="005C23AF"/>
    <w:rsid w:val="005C25D1"/>
    <w:rsid w:val="005C2606"/>
    <w:rsid w:val="005C2E9E"/>
    <w:rsid w:val="005C35A9"/>
    <w:rsid w:val="005C3700"/>
    <w:rsid w:val="005C4582"/>
    <w:rsid w:val="005C464B"/>
    <w:rsid w:val="005C4E5F"/>
    <w:rsid w:val="005C74A0"/>
    <w:rsid w:val="005C794A"/>
    <w:rsid w:val="005D052C"/>
    <w:rsid w:val="005D16FE"/>
    <w:rsid w:val="005D1DD2"/>
    <w:rsid w:val="005D3269"/>
    <w:rsid w:val="005D4084"/>
    <w:rsid w:val="005D4777"/>
    <w:rsid w:val="005D4C2B"/>
    <w:rsid w:val="005D60A5"/>
    <w:rsid w:val="005D6D37"/>
    <w:rsid w:val="005D7338"/>
    <w:rsid w:val="005E054C"/>
    <w:rsid w:val="005E21FB"/>
    <w:rsid w:val="005E498A"/>
    <w:rsid w:val="005E50EA"/>
    <w:rsid w:val="005E5C94"/>
    <w:rsid w:val="005E6B93"/>
    <w:rsid w:val="005E773F"/>
    <w:rsid w:val="005E7953"/>
    <w:rsid w:val="005E7E82"/>
    <w:rsid w:val="005F2C42"/>
    <w:rsid w:val="005F61E6"/>
    <w:rsid w:val="005F6C28"/>
    <w:rsid w:val="005F7AB6"/>
    <w:rsid w:val="005F7E3C"/>
    <w:rsid w:val="00600FA8"/>
    <w:rsid w:val="006043D1"/>
    <w:rsid w:val="006063DA"/>
    <w:rsid w:val="00606410"/>
    <w:rsid w:val="00606CD0"/>
    <w:rsid w:val="00606CE3"/>
    <w:rsid w:val="006070D3"/>
    <w:rsid w:val="00611DD3"/>
    <w:rsid w:val="00611EF0"/>
    <w:rsid w:val="00611F95"/>
    <w:rsid w:val="00612219"/>
    <w:rsid w:val="00612E04"/>
    <w:rsid w:val="006136F2"/>
    <w:rsid w:val="006173A4"/>
    <w:rsid w:val="00617C44"/>
    <w:rsid w:val="00620086"/>
    <w:rsid w:val="00620B8D"/>
    <w:rsid w:val="006217D6"/>
    <w:rsid w:val="00622CE4"/>
    <w:rsid w:val="006232EF"/>
    <w:rsid w:val="006234A7"/>
    <w:rsid w:val="00623A69"/>
    <w:rsid w:val="00623F8E"/>
    <w:rsid w:val="00624442"/>
    <w:rsid w:val="00625629"/>
    <w:rsid w:val="00625917"/>
    <w:rsid w:val="00626931"/>
    <w:rsid w:val="0062789F"/>
    <w:rsid w:val="006301BE"/>
    <w:rsid w:val="0063096E"/>
    <w:rsid w:val="0063221F"/>
    <w:rsid w:val="00633349"/>
    <w:rsid w:val="00633D61"/>
    <w:rsid w:val="0063402B"/>
    <w:rsid w:val="00636570"/>
    <w:rsid w:val="00637859"/>
    <w:rsid w:val="00637901"/>
    <w:rsid w:val="00637E1B"/>
    <w:rsid w:val="006402DF"/>
    <w:rsid w:val="0064164B"/>
    <w:rsid w:val="00641DE1"/>
    <w:rsid w:val="006433AE"/>
    <w:rsid w:val="00644468"/>
    <w:rsid w:val="00645F5E"/>
    <w:rsid w:val="0064736B"/>
    <w:rsid w:val="00647B1E"/>
    <w:rsid w:val="00647C55"/>
    <w:rsid w:val="0065008B"/>
    <w:rsid w:val="006507ED"/>
    <w:rsid w:val="00653A3B"/>
    <w:rsid w:val="00653FD9"/>
    <w:rsid w:val="00654924"/>
    <w:rsid w:val="00654D42"/>
    <w:rsid w:val="00654FDC"/>
    <w:rsid w:val="00655C7B"/>
    <w:rsid w:val="00656328"/>
    <w:rsid w:val="00656EE9"/>
    <w:rsid w:val="00657D6B"/>
    <w:rsid w:val="00660279"/>
    <w:rsid w:val="00660A94"/>
    <w:rsid w:val="0066124F"/>
    <w:rsid w:val="006622B9"/>
    <w:rsid w:val="00662E1E"/>
    <w:rsid w:val="0066371E"/>
    <w:rsid w:val="00663934"/>
    <w:rsid w:val="00663A97"/>
    <w:rsid w:val="00670699"/>
    <w:rsid w:val="006724AD"/>
    <w:rsid w:val="00672B08"/>
    <w:rsid w:val="00672BAB"/>
    <w:rsid w:val="0067314A"/>
    <w:rsid w:val="00673D1E"/>
    <w:rsid w:val="006779CF"/>
    <w:rsid w:val="00677A8F"/>
    <w:rsid w:val="00677D63"/>
    <w:rsid w:val="00677F8A"/>
    <w:rsid w:val="006821E3"/>
    <w:rsid w:val="00683AD6"/>
    <w:rsid w:val="006842AE"/>
    <w:rsid w:val="0068545A"/>
    <w:rsid w:val="0068650E"/>
    <w:rsid w:val="006875BA"/>
    <w:rsid w:val="0069097D"/>
    <w:rsid w:val="00693117"/>
    <w:rsid w:val="00693FEA"/>
    <w:rsid w:val="00694C68"/>
    <w:rsid w:val="00694EC3"/>
    <w:rsid w:val="00695C7E"/>
    <w:rsid w:val="0069702D"/>
    <w:rsid w:val="006976D0"/>
    <w:rsid w:val="006A30E3"/>
    <w:rsid w:val="006A5773"/>
    <w:rsid w:val="006A5804"/>
    <w:rsid w:val="006A58F0"/>
    <w:rsid w:val="006A6262"/>
    <w:rsid w:val="006B0372"/>
    <w:rsid w:val="006B0764"/>
    <w:rsid w:val="006B081C"/>
    <w:rsid w:val="006B181B"/>
    <w:rsid w:val="006B3A06"/>
    <w:rsid w:val="006B3B62"/>
    <w:rsid w:val="006B4467"/>
    <w:rsid w:val="006B4D77"/>
    <w:rsid w:val="006B6C46"/>
    <w:rsid w:val="006B6E78"/>
    <w:rsid w:val="006C0039"/>
    <w:rsid w:val="006C1927"/>
    <w:rsid w:val="006C2585"/>
    <w:rsid w:val="006C4008"/>
    <w:rsid w:val="006C4E2C"/>
    <w:rsid w:val="006C5931"/>
    <w:rsid w:val="006C7094"/>
    <w:rsid w:val="006C70F3"/>
    <w:rsid w:val="006C73EF"/>
    <w:rsid w:val="006D09D4"/>
    <w:rsid w:val="006D1723"/>
    <w:rsid w:val="006D5D3F"/>
    <w:rsid w:val="006D60ED"/>
    <w:rsid w:val="006D72CB"/>
    <w:rsid w:val="006E1166"/>
    <w:rsid w:val="006E24D9"/>
    <w:rsid w:val="006E3493"/>
    <w:rsid w:val="006E596E"/>
    <w:rsid w:val="006E65E0"/>
    <w:rsid w:val="006F033F"/>
    <w:rsid w:val="006F24D8"/>
    <w:rsid w:val="006F33B8"/>
    <w:rsid w:val="006F4265"/>
    <w:rsid w:val="006F48CC"/>
    <w:rsid w:val="006F4C9C"/>
    <w:rsid w:val="006F4F29"/>
    <w:rsid w:val="006F640F"/>
    <w:rsid w:val="006F762A"/>
    <w:rsid w:val="007002BA"/>
    <w:rsid w:val="0070032B"/>
    <w:rsid w:val="00700379"/>
    <w:rsid w:val="00701B6B"/>
    <w:rsid w:val="00702DE0"/>
    <w:rsid w:val="0070384F"/>
    <w:rsid w:val="00703A9E"/>
    <w:rsid w:val="00703D6D"/>
    <w:rsid w:val="00704095"/>
    <w:rsid w:val="00704152"/>
    <w:rsid w:val="00704FB5"/>
    <w:rsid w:val="00705337"/>
    <w:rsid w:val="007057BD"/>
    <w:rsid w:val="00706B71"/>
    <w:rsid w:val="007071F1"/>
    <w:rsid w:val="00707433"/>
    <w:rsid w:val="0071022A"/>
    <w:rsid w:val="00711D41"/>
    <w:rsid w:val="0071277A"/>
    <w:rsid w:val="00712EE5"/>
    <w:rsid w:val="00713493"/>
    <w:rsid w:val="00713494"/>
    <w:rsid w:val="00714031"/>
    <w:rsid w:val="0071466E"/>
    <w:rsid w:val="00714A6C"/>
    <w:rsid w:val="00714CD3"/>
    <w:rsid w:val="0071615D"/>
    <w:rsid w:val="00717205"/>
    <w:rsid w:val="00720377"/>
    <w:rsid w:val="007206A8"/>
    <w:rsid w:val="0072116D"/>
    <w:rsid w:val="0072226F"/>
    <w:rsid w:val="00724D16"/>
    <w:rsid w:val="00725B78"/>
    <w:rsid w:val="00727082"/>
    <w:rsid w:val="0073233C"/>
    <w:rsid w:val="00732D0C"/>
    <w:rsid w:val="00733774"/>
    <w:rsid w:val="00733EAD"/>
    <w:rsid w:val="00734F54"/>
    <w:rsid w:val="00736014"/>
    <w:rsid w:val="00736D93"/>
    <w:rsid w:val="00736E5C"/>
    <w:rsid w:val="00737C04"/>
    <w:rsid w:val="00737F64"/>
    <w:rsid w:val="00744110"/>
    <w:rsid w:val="00744595"/>
    <w:rsid w:val="00745DB4"/>
    <w:rsid w:val="00747A52"/>
    <w:rsid w:val="00750F1E"/>
    <w:rsid w:val="0075109E"/>
    <w:rsid w:val="00751C12"/>
    <w:rsid w:val="00751C57"/>
    <w:rsid w:val="00752543"/>
    <w:rsid w:val="00752691"/>
    <w:rsid w:val="007528F2"/>
    <w:rsid w:val="007575C4"/>
    <w:rsid w:val="00757D63"/>
    <w:rsid w:val="00760C40"/>
    <w:rsid w:val="00762A1B"/>
    <w:rsid w:val="00762D6D"/>
    <w:rsid w:val="00763700"/>
    <w:rsid w:val="0076427C"/>
    <w:rsid w:val="0076510B"/>
    <w:rsid w:val="00765217"/>
    <w:rsid w:val="007659AA"/>
    <w:rsid w:val="00766334"/>
    <w:rsid w:val="00771A2C"/>
    <w:rsid w:val="0077266C"/>
    <w:rsid w:val="00772802"/>
    <w:rsid w:val="00772BCD"/>
    <w:rsid w:val="00774E4C"/>
    <w:rsid w:val="00775066"/>
    <w:rsid w:val="00776406"/>
    <w:rsid w:val="007778E0"/>
    <w:rsid w:val="0078005A"/>
    <w:rsid w:val="00781B6F"/>
    <w:rsid w:val="00781F9C"/>
    <w:rsid w:val="00782DFD"/>
    <w:rsid w:val="007830F8"/>
    <w:rsid w:val="00784424"/>
    <w:rsid w:val="00784A36"/>
    <w:rsid w:val="00785474"/>
    <w:rsid w:val="007867F2"/>
    <w:rsid w:val="00787B99"/>
    <w:rsid w:val="007925B6"/>
    <w:rsid w:val="0079421C"/>
    <w:rsid w:val="007949DD"/>
    <w:rsid w:val="0079526D"/>
    <w:rsid w:val="00795A2C"/>
    <w:rsid w:val="00797390"/>
    <w:rsid w:val="007A0063"/>
    <w:rsid w:val="007A05B6"/>
    <w:rsid w:val="007A0810"/>
    <w:rsid w:val="007A1C0A"/>
    <w:rsid w:val="007A1C59"/>
    <w:rsid w:val="007A1DE3"/>
    <w:rsid w:val="007A2CBA"/>
    <w:rsid w:val="007A3682"/>
    <w:rsid w:val="007A5B41"/>
    <w:rsid w:val="007A7906"/>
    <w:rsid w:val="007A7CCD"/>
    <w:rsid w:val="007B1573"/>
    <w:rsid w:val="007B168B"/>
    <w:rsid w:val="007B3A76"/>
    <w:rsid w:val="007B5792"/>
    <w:rsid w:val="007C049F"/>
    <w:rsid w:val="007C31E2"/>
    <w:rsid w:val="007C4817"/>
    <w:rsid w:val="007C5CE1"/>
    <w:rsid w:val="007C6F85"/>
    <w:rsid w:val="007D0569"/>
    <w:rsid w:val="007D16B1"/>
    <w:rsid w:val="007D19E4"/>
    <w:rsid w:val="007D3914"/>
    <w:rsid w:val="007D7400"/>
    <w:rsid w:val="007D7761"/>
    <w:rsid w:val="007D79FF"/>
    <w:rsid w:val="007D7ADF"/>
    <w:rsid w:val="007E02A7"/>
    <w:rsid w:val="007E277A"/>
    <w:rsid w:val="007E400E"/>
    <w:rsid w:val="007E44F5"/>
    <w:rsid w:val="007E468A"/>
    <w:rsid w:val="007E51A5"/>
    <w:rsid w:val="007E5AB9"/>
    <w:rsid w:val="007E63D1"/>
    <w:rsid w:val="007E6A9B"/>
    <w:rsid w:val="007E7F4C"/>
    <w:rsid w:val="007F12F0"/>
    <w:rsid w:val="007F239B"/>
    <w:rsid w:val="007F2EC6"/>
    <w:rsid w:val="007F3018"/>
    <w:rsid w:val="007F6862"/>
    <w:rsid w:val="007F6F8C"/>
    <w:rsid w:val="007F7A8B"/>
    <w:rsid w:val="008013FC"/>
    <w:rsid w:val="008026C5"/>
    <w:rsid w:val="00804B95"/>
    <w:rsid w:val="008060C3"/>
    <w:rsid w:val="008063A1"/>
    <w:rsid w:val="00807F00"/>
    <w:rsid w:val="008119B0"/>
    <w:rsid w:val="00812095"/>
    <w:rsid w:val="008134BD"/>
    <w:rsid w:val="00814656"/>
    <w:rsid w:val="00820E45"/>
    <w:rsid w:val="00821E2C"/>
    <w:rsid w:val="00822835"/>
    <w:rsid w:val="0082459B"/>
    <w:rsid w:val="0082584D"/>
    <w:rsid w:val="00826758"/>
    <w:rsid w:val="00827937"/>
    <w:rsid w:val="008327F1"/>
    <w:rsid w:val="00834331"/>
    <w:rsid w:val="00834EFD"/>
    <w:rsid w:val="008353E0"/>
    <w:rsid w:val="008365F0"/>
    <w:rsid w:val="00836EDD"/>
    <w:rsid w:val="00841534"/>
    <w:rsid w:val="00841940"/>
    <w:rsid w:val="008462F1"/>
    <w:rsid w:val="00846930"/>
    <w:rsid w:val="008473C9"/>
    <w:rsid w:val="00850FDE"/>
    <w:rsid w:val="008516E6"/>
    <w:rsid w:val="008524AA"/>
    <w:rsid w:val="00852876"/>
    <w:rsid w:val="008543F5"/>
    <w:rsid w:val="00855004"/>
    <w:rsid w:val="0085579A"/>
    <w:rsid w:val="00855EBD"/>
    <w:rsid w:val="008572C4"/>
    <w:rsid w:val="0085733E"/>
    <w:rsid w:val="0085765A"/>
    <w:rsid w:val="008604A8"/>
    <w:rsid w:val="00860E64"/>
    <w:rsid w:val="008616F7"/>
    <w:rsid w:val="00861AFA"/>
    <w:rsid w:val="00861B27"/>
    <w:rsid w:val="00863C61"/>
    <w:rsid w:val="0086533E"/>
    <w:rsid w:val="00865522"/>
    <w:rsid w:val="00865ADF"/>
    <w:rsid w:val="0086644C"/>
    <w:rsid w:val="008666B5"/>
    <w:rsid w:val="008674FD"/>
    <w:rsid w:val="008703B3"/>
    <w:rsid w:val="00870468"/>
    <w:rsid w:val="00874E7B"/>
    <w:rsid w:val="00875210"/>
    <w:rsid w:val="00876985"/>
    <w:rsid w:val="00881775"/>
    <w:rsid w:val="0088293D"/>
    <w:rsid w:val="008836C1"/>
    <w:rsid w:val="00883780"/>
    <w:rsid w:val="008837EE"/>
    <w:rsid w:val="00883B99"/>
    <w:rsid w:val="00885066"/>
    <w:rsid w:val="00885F85"/>
    <w:rsid w:val="0088665E"/>
    <w:rsid w:val="00887AAF"/>
    <w:rsid w:val="00887F48"/>
    <w:rsid w:val="00890A86"/>
    <w:rsid w:val="0089229A"/>
    <w:rsid w:val="008923C8"/>
    <w:rsid w:val="008924B5"/>
    <w:rsid w:val="00893260"/>
    <w:rsid w:val="008932A8"/>
    <w:rsid w:val="00893756"/>
    <w:rsid w:val="00894929"/>
    <w:rsid w:val="00894A9E"/>
    <w:rsid w:val="00894FE0"/>
    <w:rsid w:val="008950F6"/>
    <w:rsid w:val="00896815"/>
    <w:rsid w:val="008A0744"/>
    <w:rsid w:val="008A0A6E"/>
    <w:rsid w:val="008A0D0F"/>
    <w:rsid w:val="008A2FB3"/>
    <w:rsid w:val="008A398B"/>
    <w:rsid w:val="008A3D99"/>
    <w:rsid w:val="008A4488"/>
    <w:rsid w:val="008A52D2"/>
    <w:rsid w:val="008A5311"/>
    <w:rsid w:val="008A5601"/>
    <w:rsid w:val="008A59AD"/>
    <w:rsid w:val="008A6F05"/>
    <w:rsid w:val="008A7AC4"/>
    <w:rsid w:val="008B0EEB"/>
    <w:rsid w:val="008B431D"/>
    <w:rsid w:val="008B51FD"/>
    <w:rsid w:val="008B61D6"/>
    <w:rsid w:val="008B6766"/>
    <w:rsid w:val="008B7186"/>
    <w:rsid w:val="008B7192"/>
    <w:rsid w:val="008C0B31"/>
    <w:rsid w:val="008C1939"/>
    <w:rsid w:val="008C24AF"/>
    <w:rsid w:val="008C3396"/>
    <w:rsid w:val="008C5563"/>
    <w:rsid w:val="008C5EEE"/>
    <w:rsid w:val="008C61B9"/>
    <w:rsid w:val="008C621C"/>
    <w:rsid w:val="008C697C"/>
    <w:rsid w:val="008C7448"/>
    <w:rsid w:val="008C75ED"/>
    <w:rsid w:val="008C7649"/>
    <w:rsid w:val="008D43EC"/>
    <w:rsid w:val="008D6139"/>
    <w:rsid w:val="008D6159"/>
    <w:rsid w:val="008D69FA"/>
    <w:rsid w:val="008E0991"/>
    <w:rsid w:val="008E338E"/>
    <w:rsid w:val="008E57FE"/>
    <w:rsid w:val="008E5AD0"/>
    <w:rsid w:val="008E7CAC"/>
    <w:rsid w:val="008F2665"/>
    <w:rsid w:val="008F507E"/>
    <w:rsid w:val="008F5251"/>
    <w:rsid w:val="008F6376"/>
    <w:rsid w:val="008F7F80"/>
    <w:rsid w:val="00900CC2"/>
    <w:rsid w:val="009011A1"/>
    <w:rsid w:val="00901770"/>
    <w:rsid w:val="009019FB"/>
    <w:rsid w:val="00902AA5"/>
    <w:rsid w:val="00903E74"/>
    <w:rsid w:val="009047EA"/>
    <w:rsid w:val="009052B7"/>
    <w:rsid w:val="00905663"/>
    <w:rsid w:val="00905B05"/>
    <w:rsid w:val="00905CE1"/>
    <w:rsid w:val="00906CBC"/>
    <w:rsid w:val="0090753C"/>
    <w:rsid w:val="0091021E"/>
    <w:rsid w:val="00911B66"/>
    <w:rsid w:val="00911E4A"/>
    <w:rsid w:val="00912A7E"/>
    <w:rsid w:val="00912B02"/>
    <w:rsid w:val="009143D0"/>
    <w:rsid w:val="00915330"/>
    <w:rsid w:val="00916E69"/>
    <w:rsid w:val="00917525"/>
    <w:rsid w:val="0091777D"/>
    <w:rsid w:val="00917C39"/>
    <w:rsid w:val="0092057D"/>
    <w:rsid w:val="009218DE"/>
    <w:rsid w:val="0092204C"/>
    <w:rsid w:val="00922B76"/>
    <w:rsid w:val="00922D00"/>
    <w:rsid w:val="00923F17"/>
    <w:rsid w:val="009266DA"/>
    <w:rsid w:val="00927EE6"/>
    <w:rsid w:val="009307D4"/>
    <w:rsid w:val="00930DE8"/>
    <w:rsid w:val="00930E05"/>
    <w:rsid w:val="009318DD"/>
    <w:rsid w:val="009319C3"/>
    <w:rsid w:val="00932BD9"/>
    <w:rsid w:val="00932EE5"/>
    <w:rsid w:val="00932F26"/>
    <w:rsid w:val="00935413"/>
    <w:rsid w:val="00935F5D"/>
    <w:rsid w:val="0093669F"/>
    <w:rsid w:val="009368E0"/>
    <w:rsid w:val="00940821"/>
    <w:rsid w:val="009413FB"/>
    <w:rsid w:val="00941C15"/>
    <w:rsid w:val="00941C61"/>
    <w:rsid w:val="0094260B"/>
    <w:rsid w:val="00942661"/>
    <w:rsid w:val="00942968"/>
    <w:rsid w:val="00945307"/>
    <w:rsid w:val="0094558D"/>
    <w:rsid w:val="00946FCE"/>
    <w:rsid w:val="00947E64"/>
    <w:rsid w:val="009515BC"/>
    <w:rsid w:val="00951D8C"/>
    <w:rsid w:val="0095349A"/>
    <w:rsid w:val="00953B5B"/>
    <w:rsid w:val="00953ED0"/>
    <w:rsid w:val="0095492E"/>
    <w:rsid w:val="00955A74"/>
    <w:rsid w:val="00955F7D"/>
    <w:rsid w:val="00960D17"/>
    <w:rsid w:val="009615DF"/>
    <w:rsid w:val="0096242F"/>
    <w:rsid w:val="00962E3B"/>
    <w:rsid w:val="00962FF5"/>
    <w:rsid w:val="00964A4E"/>
    <w:rsid w:val="00964F47"/>
    <w:rsid w:val="00965B02"/>
    <w:rsid w:val="00965C07"/>
    <w:rsid w:val="00965C51"/>
    <w:rsid w:val="00965D2D"/>
    <w:rsid w:val="00966696"/>
    <w:rsid w:val="00967C89"/>
    <w:rsid w:val="00970A16"/>
    <w:rsid w:val="00970B54"/>
    <w:rsid w:val="00971847"/>
    <w:rsid w:val="00971890"/>
    <w:rsid w:val="00972964"/>
    <w:rsid w:val="00973471"/>
    <w:rsid w:val="00977308"/>
    <w:rsid w:val="0097762F"/>
    <w:rsid w:val="00977B4C"/>
    <w:rsid w:val="009816B8"/>
    <w:rsid w:val="00983B45"/>
    <w:rsid w:val="00983B5C"/>
    <w:rsid w:val="00985158"/>
    <w:rsid w:val="0098566B"/>
    <w:rsid w:val="0098611E"/>
    <w:rsid w:val="0098766F"/>
    <w:rsid w:val="00993912"/>
    <w:rsid w:val="00993AFC"/>
    <w:rsid w:val="00993B44"/>
    <w:rsid w:val="00994050"/>
    <w:rsid w:val="009962CF"/>
    <w:rsid w:val="0099635B"/>
    <w:rsid w:val="009969D6"/>
    <w:rsid w:val="0099712B"/>
    <w:rsid w:val="009971B9"/>
    <w:rsid w:val="009A186D"/>
    <w:rsid w:val="009A2C07"/>
    <w:rsid w:val="009A4543"/>
    <w:rsid w:val="009A5DB1"/>
    <w:rsid w:val="009A634B"/>
    <w:rsid w:val="009A6DB2"/>
    <w:rsid w:val="009A7C5A"/>
    <w:rsid w:val="009A7E51"/>
    <w:rsid w:val="009B1C8B"/>
    <w:rsid w:val="009B21B9"/>
    <w:rsid w:val="009B2FAD"/>
    <w:rsid w:val="009B4CD0"/>
    <w:rsid w:val="009B4DA7"/>
    <w:rsid w:val="009B53CB"/>
    <w:rsid w:val="009B77D7"/>
    <w:rsid w:val="009B7D74"/>
    <w:rsid w:val="009C21C6"/>
    <w:rsid w:val="009C383B"/>
    <w:rsid w:val="009C3A80"/>
    <w:rsid w:val="009C41EC"/>
    <w:rsid w:val="009C5238"/>
    <w:rsid w:val="009D12B4"/>
    <w:rsid w:val="009D16AF"/>
    <w:rsid w:val="009D1E70"/>
    <w:rsid w:val="009D2135"/>
    <w:rsid w:val="009D2FA7"/>
    <w:rsid w:val="009D355A"/>
    <w:rsid w:val="009D4CAE"/>
    <w:rsid w:val="009D55F9"/>
    <w:rsid w:val="009D5A11"/>
    <w:rsid w:val="009D5A5A"/>
    <w:rsid w:val="009D765F"/>
    <w:rsid w:val="009D7760"/>
    <w:rsid w:val="009E16E6"/>
    <w:rsid w:val="009E1E62"/>
    <w:rsid w:val="009E2953"/>
    <w:rsid w:val="009E30CE"/>
    <w:rsid w:val="009E4CDF"/>
    <w:rsid w:val="009E6095"/>
    <w:rsid w:val="009E6F8A"/>
    <w:rsid w:val="009F04C3"/>
    <w:rsid w:val="009F0760"/>
    <w:rsid w:val="009F15CB"/>
    <w:rsid w:val="009F1F55"/>
    <w:rsid w:val="009F3B29"/>
    <w:rsid w:val="009F4860"/>
    <w:rsid w:val="009F6EE0"/>
    <w:rsid w:val="00A00057"/>
    <w:rsid w:val="00A00293"/>
    <w:rsid w:val="00A00485"/>
    <w:rsid w:val="00A01A5F"/>
    <w:rsid w:val="00A025AC"/>
    <w:rsid w:val="00A02C96"/>
    <w:rsid w:val="00A02E65"/>
    <w:rsid w:val="00A0329C"/>
    <w:rsid w:val="00A0340A"/>
    <w:rsid w:val="00A03C0E"/>
    <w:rsid w:val="00A04221"/>
    <w:rsid w:val="00A0440C"/>
    <w:rsid w:val="00A047AE"/>
    <w:rsid w:val="00A0585F"/>
    <w:rsid w:val="00A0694A"/>
    <w:rsid w:val="00A077AC"/>
    <w:rsid w:val="00A07A33"/>
    <w:rsid w:val="00A10958"/>
    <w:rsid w:val="00A10A30"/>
    <w:rsid w:val="00A1137C"/>
    <w:rsid w:val="00A113D7"/>
    <w:rsid w:val="00A11D08"/>
    <w:rsid w:val="00A11F0F"/>
    <w:rsid w:val="00A11F43"/>
    <w:rsid w:val="00A13005"/>
    <w:rsid w:val="00A13B09"/>
    <w:rsid w:val="00A16126"/>
    <w:rsid w:val="00A21C6C"/>
    <w:rsid w:val="00A2365A"/>
    <w:rsid w:val="00A24133"/>
    <w:rsid w:val="00A241D0"/>
    <w:rsid w:val="00A262BF"/>
    <w:rsid w:val="00A26E5F"/>
    <w:rsid w:val="00A27809"/>
    <w:rsid w:val="00A30533"/>
    <w:rsid w:val="00A317B0"/>
    <w:rsid w:val="00A3450D"/>
    <w:rsid w:val="00A34591"/>
    <w:rsid w:val="00A34E44"/>
    <w:rsid w:val="00A34FFA"/>
    <w:rsid w:val="00A3640F"/>
    <w:rsid w:val="00A37856"/>
    <w:rsid w:val="00A37ECF"/>
    <w:rsid w:val="00A40CE2"/>
    <w:rsid w:val="00A42F71"/>
    <w:rsid w:val="00A42FAE"/>
    <w:rsid w:val="00A47176"/>
    <w:rsid w:val="00A474A4"/>
    <w:rsid w:val="00A475C5"/>
    <w:rsid w:val="00A4768C"/>
    <w:rsid w:val="00A50A68"/>
    <w:rsid w:val="00A50D3B"/>
    <w:rsid w:val="00A50E38"/>
    <w:rsid w:val="00A510C6"/>
    <w:rsid w:val="00A518AA"/>
    <w:rsid w:val="00A525E7"/>
    <w:rsid w:val="00A52E34"/>
    <w:rsid w:val="00A52F9E"/>
    <w:rsid w:val="00A56348"/>
    <w:rsid w:val="00A5703F"/>
    <w:rsid w:val="00A57D39"/>
    <w:rsid w:val="00A6042D"/>
    <w:rsid w:val="00A6316B"/>
    <w:rsid w:val="00A63F83"/>
    <w:rsid w:val="00A65316"/>
    <w:rsid w:val="00A67442"/>
    <w:rsid w:val="00A674CA"/>
    <w:rsid w:val="00A674FF"/>
    <w:rsid w:val="00A7003F"/>
    <w:rsid w:val="00A70F69"/>
    <w:rsid w:val="00A72611"/>
    <w:rsid w:val="00A72DA4"/>
    <w:rsid w:val="00A73ABB"/>
    <w:rsid w:val="00A751A1"/>
    <w:rsid w:val="00A76D2C"/>
    <w:rsid w:val="00A77746"/>
    <w:rsid w:val="00A806AA"/>
    <w:rsid w:val="00A8277E"/>
    <w:rsid w:val="00A83BF6"/>
    <w:rsid w:val="00A86706"/>
    <w:rsid w:val="00A871A3"/>
    <w:rsid w:val="00A87B4F"/>
    <w:rsid w:val="00A87F31"/>
    <w:rsid w:val="00A90D27"/>
    <w:rsid w:val="00A9103B"/>
    <w:rsid w:val="00A91284"/>
    <w:rsid w:val="00A91449"/>
    <w:rsid w:val="00A918A7"/>
    <w:rsid w:val="00A92871"/>
    <w:rsid w:val="00A949D1"/>
    <w:rsid w:val="00A94E78"/>
    <w:rsid w:val="00A955EB"/>
    <w:rsid w:val="00A97565"/>
    <w:rsid w:val="00AA0298"/>
    <w:rsid w:val="00AA1C5E"/>
    <w:rsid w:val="00AA1F49"/>
    <w:rsid w:val="00AA2687"/>
    <w:rsid w:val="00AA3A2E"/>
    <w:rsid w:val="00AA4099"/>
    <w:rsid w:val="00AA6045"/>
    <w:rsid w:val="00AA6913"/>
    <w:rsid w:val="00AB2190"/>
    <w:rsid w:val="00AB23F9"/>
    <w:rsid w:val="00AB39EB"/>
    <w:rsid w:val="00AB3F27"/>
    <w:rsid w:val="00AB3FD9"/>
    <w:rsid w:val="00AB7DE7"/>
    <w:rsid w:val="00AC03AB"/>
    <w:rsid w:val="00AC0650"/>
    <w:rsid w:val="00AC1BE7"/>
    <w:rsid w:val="00AC275F"/>
    <w:rsid w:val="00AC3EE4"/>
    <w:rsid w:val="00AC50A4"/>
    <w:rsid w:val="00AC5A95"/>
    <w:rsid w:val="00AC6074"/>
    <w:rsid w:val="00AC6471"/>
    <w:rsid w:val="00AD01D0"/>
    <w:rsid w:val="00AD1751"/>
    <w:rsid w:val="00AD2B6E"/>
    <w:rsid w:val="00AD3443"/>
    <w:rsid w:val="00AD462A"/>
    <w:rsid w:val="00AD4B3C"/>
    <w:rsid w:val="00AD5256"/>
    <w:rsid w:val="00AD54D0"/>
    <w:rsid w:val="00AD5902"/>
    <w:rsid w:val="00AD68A5"/>
    <w:rsid w:val="00AE185D"/>
    <w:rsid w:val="00AE1BFE"/>
    <w:rsid w:val="00AE32A5"/>
    <w:rsid w:val="00AE33ED"/>
    <w:rsid w:val="00AE3733"/>
    <w:rsid w:val="00AE3842"/>
    <w:rsid w:val="00AE3D83"/>
    <w:rsid w:val="00AE4374"/>
    <w:rsid w:val="00AE466A"/>
    <w:rsid w:val="00AE485C"/>
    <w:rsid w:val="00AE770D"/>
    <w:rsid w:val="00AE7D4F"/>
    <w:rsid w:val="00AE7FE4"/>
    <w:rsid w:val="00AF0117"/>
    <w:rsid w:val="00AF17D3"/>
    <w:rsid w:val="00AF1D77"/>
    <w:rsid w:val="00AF2CC8"/>
    <w:rsid w:val="00AF38BA"/>
    <w:rsid w:val="00AF38EB"/>
    <w:rsid w:val="00AF4F24"/>
    <w:rsid w:val="00AF4F67"/>
    <w:rsid w:val="00AF577C"/>
    <w:rsid w:val="00AF5811"/>
    <w:rsid w:val="00AF6509"/>
    <w:rsid w:val="00AF7561"/>
    <w:rsid w:val="00AF766B"/>
    <w:rsid w:val="00AF7A7E"/>
    <w:rsid w:val="00B002DE"/>
    <w:rsid w:val="00B00BBE"/>
    <w:rsid w:val="00B01C90"/>
    <w:rsid w:val="00B027B9"/>
    <w:rsid w:val="00B0456E"/>
    <w:rsid w:val="00B06A05"/>
    <w:rsid w:val="00B06BF6"/>
    <w:rsid w:val="00B06F7F"/>
    <w:rsid w:val="00B100F0"/>
    <w:rsid w:val="00B1402E"/>
    <w:rsid w:val="00B14865"/>
    <w:rsid w:val="00B16682"/>
    <w:rsid w:val="00B16ECA"/>
    <w:rsid w:val="00B219CC"/>
    <w:rsid w:val="00B21D50"/>
    <w:rsid w:val="00B22478"/>
    <w:rsid w:val="00B22F9B"/>
    <w:rsid w:val="00B23747"/>
    <w:rsid w:val="00B23E0A"/>
    <w:rsid w:val="00B24090"/>
    <w:rsid w:val="00B257E3"/>
    <w:rsid w:val="00B260C7"/>
    <w:rsid w:val="00B2706C"/>
    <w:rsid w:val="00B273F2"/>
    <w:rsid w:val="00B27494"/>
    <w:rsid w:val="00B279B9"/>
    <w:rsid w:val="00B27BFD"/>
    <w:rsid w:val="00B327D3"/>
    <w:rsid w:val="00B34F48"/>
    <w:rsid w:val="00B3687B"/>
    <w:rsid w:val="00B36DDF"/>
    <w:rsid w:val="00B41D8B"/>
    <w:rsid w:val="00B47F5D"/>
    <w:rsid w:val="00B51686"/>
    <w:rsid w:val="00B51BA0"/>
    <w:rsid w:val="00B527E9"/>
    <w:rsid w:val="00B535BD"/>
    <w:rsid w:val="00B53701"/>
    <w:rsid w:val="00B53842"/>
    <w:rsid w:val="00B55103"/>
    <w:rsid w:val="00B55212"/>
    <w:rsid w:val="00B56A26"/>
    <w:rsid w:val="00B6080F"/>
    <w:rsid w:val="00B60BAA"/>
    <w:rsid w:val="00B6110A"/>
    <w:rsid w:val="00B6176A"/>
    <w:rsid w:val="00B6301A"/>
    <w:rsid w:val="00B64CAD"/>
    <w:rsid w:val="00B651FA"/>
    <w:rsid w:val="00B66751"/>
    <w:rsid w:val="00B66A02"/>
    <w:rsid w:val="00B66F42"/>
    <w:rsid w:val="00B67AA6"/>
    <w:rsid w:val="00B7066C"/>
    <w:rsid w:val="00B717D8"/>
    <w:rsid w:val="00B71C9E"/>
    <w:rsid w:val="00B72DF3"/>
    <w:rsid w:val="00B74146"/>
    <w:rsid w:val="00B759F0"/>
    <w:rsid w:val="00B76F6C"/>
    <w:rsid w:val="00B8080B"/>
    <w:rsid w:val="00B811EF"/>
    <w:rsid w:val="00B82449"/>
    <w:rsid w:val="00B831B9"/>
    <w:rsid w:val="00B86668"/>
    <w:rsid w:val="00B86EF1"/>
    <w:rsid w:val="00B90674"/>
    <w:rsid w:val="00B91FFF"/>
    <w:rsid w:val="00B934E3"/>
    <w:rsid w:val="00B94323"/>
    <w:rsid w:val="00B94444"/>
    <w:rsid w:val="00B9566B"/>
    <w:rsid w:val="00B95F92"/>
    <w:rsid w:val="00B961B7"/>
    <w:rsid w:val="00B9628A"/>
    <w:rsid w:val="00B963D4"/>
    <w:rsid w:val="00B9772B"/>
    <w:rsid w:val="00B978FD"/>
    <w:rsid w:val="00BA1C74"/>
    <w:rsid w:val="00BA1D53"/>
    <w:rsid w:val="00BA2DEF"/>
    <w:rsid w:val="00BA35F2"/>
    <w:rsid w:val="00BA42FB"/>
    <w:rsid w:val="00BA4768"/>
    <w:rsid w:val="00BA4A92"/>
    <w:rsid w:val="00BA516F"/>
    <w:rsid w:val="00BA5E65"/>
    <w:rsid w:val="00BA628C"/>
    <w:rsid w:val="00BA7059"/>
    <w:rsid w:val="00BB0051"/>
    <w:rsid w:val="00BB02C6"/>
    <w:rsid w:val="00BB1082"/>
    <w:rsid w:val="00BB2127"/>
    <w:rsid w:val="00BB3805"/>
    <w:rsid w:val="00BB394B"/>
    <w:rsid w:val="00BB44D5"/>
    <w:rsid w:val="00BB4589"/>
    <w:rsid w:val="00BB478E"/>
    <w:rsid w:val="00BB52A5"/>
    <w:rsid w:val="00BB5893"/>
    <w:rsid w:val="00BB5AEB"/>
    <w:rsid w:val="00BB5BF0"/>
    <w:rsid w:val="00BB6740"/>
    <w:rsid w:val="00BB7C7E"/>
    <w:rsid w:val="00BB7EA1"/>
    <w:rsid w:val="00BB7F81"/>
    <w:rsid w:val="00BC1B7A"/>
    <w:rsid w:val="00BC1D6E"/>
    <w:rsid w:val="00BC269B"/>
    <w:rsid w:val="00BC27D2"/>
    <w:rsid w:val="00BC53F1"/>
    <w:rsid w:val="00BD0E0C"/>
    <w:rsid w:val="00BD35E1"/>
    <w:rsid w:val="00BD3E0A"/>
    <w:rsid w:val="00BD517B"/>
    <w:rsid w:val="00BD54FC"/>
    <w:rsid w:val="00BD63C3"/>
    <w:rsid w:val="00BD67CE"/>
    <w:rsid w:val="00BD6E2C"/>
    <w:rsid w:val="00BD76A4"/>
    <w:rsid w:val="00BD78EE"/>
    <w:rsid w:val="00BE0AD8"/>
    <w:rsid w:val="00BE0ED2"/>
    <w:rsid w:val="00BE1C8A"/>
    <w:rsid w:val="00BE3EBB"/>
    <w:rsid w:val="00BE4857"/>
    <w:rsid w:val="00BE4F6F"/>
    <w:rsid w:val="00BE5847"/>
    <w:rsid w:val="00BE5BE0"/>
    <w:rsid w:val="00BE697B"/>
    <w:rsid w:val="00BE70E8"/>
    <w:rsid w:val="00BE7D87"/>
    <w:rsid w:val="00BE7FF8"/>
    <w:rsid w:val="00BF02D3"/>
    <w:rsid w:val="00BF0E76"/>
    <w:rsid w:val="00BF10FC"/>
    <w:rsid w:val="00BF19DC"/>
    <w:rsid w:val="00BF2B3E"/>
    <w:rsid w:val="00BF2DAF"/>
    <w:rsid w:val="00BF42F3"/>
    <w:rsid w:val="00BF4E1B"/>
    <w:rsid w:val="00BF7AED"/>
    <w:rsid w:val="00C002BA"/>
    <w:rsid w:val="00C01083"/>
    <w:rsid w:val="00C0424F"/>
    <w:rsid w:val="00C0480F"/>
    <w:rsid w:val="00C1043C"/>
    <w:rsid w:val="00C1145D"/>
    <w:rsid w:val="00C1193E"/>
    <w:rsid w:val="00C12A51"/>
    <w:rsid w:val="00C12CD1"/>
    <w:rsid w:val="00C1591E"/>
    <w:rsid w:val="00C173EE"/>
    <w:rsid w:val="00C20D36"/>
    <w:rsid w:val="00C20E9B"/>
    <w:rsid w:val="00C20EEE"/>
    <w:rsid w:val="00C21038"/>
    <w:rsid w:val="00C21408"/>
    <w:rsid w:val="00C2286B"/>
    <w:rsid w:val="00C2396B"/>
    <w:rsid w:val="00C258E3"/>
    <w:rsid w:val="00C26865"/>
    <w:rsid w:val="00C268F6"/>
    <w:rsid w:val="00C2785F"/>
    <w:rsid w:val="00C307EA"/>
    <w:rsid w:val="00C30BA6"/>
    <w:rsid w:val="00C313F7"/>
    <w:rsid w:val="00C31467"/>
    <w:rsid w:val="00C33F0C"/>
    <w:rsid w:val="00C34CCB"/>
    <w:rsid w:val="00C34D57"/>
    <w:rsid w:val="00C3547A"/>
    <w:rsid w:val="00C35515"/>
    <w:rsid w:val="00C35807"/>
    <w:rsid w:val="00C35A4B"/>
    <w:rsid w:val="00C361C2"/>
    <w:rsid w:val="00C36696"/>
    <w:rsid w:val="00C36720"/>
    <w:rsid w:val="00C36777"/>
    <w:rsid w:val="00C37518"/>
    <w:rsid w:val="00C37F00"/>
    <w:rsid w:val="00C407CB"/>
    <w:rsid w:val="00C421C9"/>
    <w:rsid w:val="00C42A3A"/>
    <w:rsid w:val="00C437C6"/>
    <w:rsid w:val="00C4517F"/>
    <w:rsid w:val="00C45232"/>
    <w:rsid w:val="00C45BCC"/>
    <w:rsid w:val="00C46011"/>
    <w:rsid w:val="00C46E94"/>
    <w:rsid w:val="00C46EB6"/>
    <w:rsid w:val="00C4713F"/>
    <w:rsid w:val="00C47404"/>
    <w:rsid w:val="00C52097"/>
    <w:rsid w:val="00C52BA5"/>
    <w:rsid w:val="00C52F47"/>
    <w:rsid w:val="00C53323"/>
    <w:rsid w:val="00C53433"/>
    <w:rsid w:val="00C53B96"/>
    <w:rsid w:val="00C54D8C"/>
    <w:rsid w:val="00C553EA"/>
    <w:rsid w:val="00C56BD5"/>
    <w:rsid w:val="00C57493"/>
    <w:rsid w:val="00C57E43"/>
    <w:rsid w:val="00C605E6"/>
    <w:rsid w:val="00C621EE"/>
    <w:rsid w:val="00C63EBC"/>
    <w:rsid w:val="00C64D07"/>
    <w:rsid w:val="00C66CEF"/>
    <w:rsid w:val="00C670FE"/>
    <w:rsid w:val="00C70374"/>
    <w:rsid w:val="00C706AD"/>
    <w:rsid w:val="00C71087"/>
    <w:rsid w:val="00C71E3C"/>
    <w:rsid w:val="00C73C17"/>
    <w:rsid w:val="00C73DA7"/>
    <w:rsid w:val="00C75492"/>
    <w:rsid w:val="00C76EFB"/>
    <w:rsid w:val="00C7785A"/>
    <w:rsid w:val="00C77C78"/>
    <w:rsid w:val="00C8146C"/>
    <w:rsid w:val="00C8231E"/>
    <w:rsid w:val="00C8268B"/>
    <w:rsid w:val="00C833A9"/>
    <w:rsid w:val="00C845A8"/>
    <w:rsid w:val="00C846DD"/>
    <w:rsid w:val="00C85CA6"/>
    <w:rsid w:val="00C873DA"/>
    <w:rsid w:val="00C903BC"/>
    <w:rsid w:val="00C90A7F"/>
    <w:rsid w:val="00C9147E"/>
    <w:rsid w:val="00C925ED"/>
    <w:rsid w:val="00C9339F"/>
    <w:rsid w:val="00C95A03"/>
    <w:rsid w:val="00C96A10"/>
    <w:rsid w:val="00C9753B"/>
    <w:rsid w:val="00CA0C87"/>
    <w:rsid w:val="00CA19CD"/>
    <w:rsid w:val="00CA1FBC"/>
    <w:rsid w:val="00CA4A62"/>
    <w:rsid w:val="00CA561E"/>
    <w:rsid w:val="00CA5B58"/>
    <w:rsid w:val="00CA64C8"/>
    <w:rsid w:val="00CA659E"/>
    <w:rsid w:val="00CA7658"/>
    <w:rsid w:val="00CB022C"/>
    <w:rsid w:val="00CB2033"/>
    <w:rsid w:val="00CB23DD"/>
    <w:rsid w:val="00CB2757"/>
    <w:rsid w:val="00CB2831"/>
    <w:rsid w:val="00CB2FE7"/>
    <w:rsid w:val="00CB3B57"/>
    <w:rsid w:val="00CB42AE"/>
    <w:rsid w:val="00CB6768"/>
    <w:rsid w:val="00CC0CA6"/>
    <w:rsid w:val="00CC17DB"/>
    <w:rsid w:val="00CC2F01"/>
    <w:rsid w:val="00CC5547"/>
    <w:rsid w:val="00CC6453"/>
    <w:rsid w:val="00CD2D8A"/>
    <w:rsid w:val="00CD31EA"/>
    <w:rsid w:val="00CD692F"/>
    <w:rsid w:val="00CD6EAE"/>
    <w:rsid w:val="00CE0392"/>
    <w:rsid w:val="00CE2303"/>
    <w:rsid w:val="00CE5481"/>
    <w:rsid w:val="00CE5866"/>
    <w:rsid w:val="00CF003F"/>
    <w:rsid w:val="00CF0045"/>
    <w:rsid w:val="00CF0974"/>
    <w:rsid w:val="00CF2936"/>
    <w:rsid w:val="00CF43A8"/>
    <w:rsid w:val="00CF59C2"/>
    <w:rsid w:val="00CF6B4B"/>
    <w:rsid w:val="00CF7194"/>
    <w:rsid w:val="00CF72E5"/>
    <w:rsid w:val="00CF7C90"/>
    <w:rsid w:val="00CF7EA0"/>
    <w:rsid w:val="00D00600"/>
    <w:rsid w:val="00D00A29"/>
    <w:rsid w:val="00D02612"/>
    <w:rsid w:val="00D03191"/>
    <w:rsid w:val="00D0329F"/>
    <w:rsid w:val="00D04F9C"/>
    <w:rsid w:val="00D05F86"/>
    <w:rsid w:val="00D06299"/>
    <w:rsid w:val="00D06EF1"/>
    <w:rsid w:val="00D10419"/>
    <w:rsid w:val="00D1045D"/>
    <w:rsid w:val="00D11244"/>
    <w:rsid w:val="00D133AA"/>
    <w:rsid w:val="00D13B0B"/>
    <w:rsid w:val="00D13CCF"/>
    <w:rsid w:val="00D14CF7"/>
    <w:rsid w:val="00D1576E"/>
    <w:rsid w:val="00D15E67"/>
    <w:rsid w:val="00D160C1"/>
    <w:rsid w:val="00D168AE"/>
    <w:rsid w:val="00D17906"/>
    <w:rsid w:val="00D17C96"/>
    <w:rsid w:val="00D20ABB"/>
    <w:rsid w:val="00D24A97"/>
    <w:rsid w:val="00D24AEE"/>
    <w:rsid w:val="00D24FD2"/>
    <w:rsid w:val="00D26A33"/>
    <w:rsid w:val="00D3073E"/>
    <w:rsid w:val="00D31676"/>
    <w:rsid w:val="00D316C8"/>
    <w:rsid w:val="00D337D5"/>
    <w:rsid w:val="00D345D1"/>
    <w:rsid w:val="00D34817"/>
    <w:rsid w:val="00D36557"/>
    <w:rsid w:val="00D365BB"/>
    <w:rsid w:val="00D3795A"/>
    <w:rsid w:val="00D37AB5"/>
    <w:rsid w:val="00D400C1"/>
    <w:rsid w:val="00D40C74"/>
    <w:rsid w:val="00D40E9E"/>
    <w:rsid w:val="00D42882"/>
    <w:rsid w:val="00D42FAE"/>
    <w:rsid w:val="00D43282"/>
    <w:rsid w:val="00D43CAE"/>
    <w:rsid w:val="00D43EA4"/>
    <w:rsid w:val="00D44499"/>
    <w:rsid w:val="00D44508"/>
    <w:rsid w:val="00D46756"/>
    <w:rsid w:val="00D47810"/>
    <w:rsid w:val="00D50FD5"/>
    <w:rsid w:val="00D5128E"/>
    <w:rsid w:val="00D52FD0"/>
    <w:rsid w:val="00D53CA3"/>
    <w:rsid w:val="00D542AA"/>
    <w:rsid w:val="00D54385"/>
    <w:rsid w:val="00D6259C"/>
    <w:rsid w:val="00D62C64"/>
    <w:rsid w:val="00D63B91"/>
    <w:rsid w:val="00D64A4A"/>
    <w:rsid w:val="00D6679C"/>
    <w:rsid w:val="00D67116"/>
    <w:rsid w:val="00D72F5D"/>
    <w:rsid w:val="00D73EE6"/>
    <w:rsid w:val="00D742D2"/>
    <w:rsid w:val="00D744DC"/>
    <w:rsid w:val="00D75CF7"/>
    <w:rsid w:val="00D75F59"/>
    <w:rsid w:val="00D776C3"/>
    <w:rsid w:val="00D800AD"/>
    <w:rsid w:val="00D80153"/>
    <w:rsid w:val="00D80443"/>
    <w:rsid w:val="00D8127F"/>
    <w:rsid w:val="00D81AC7"/>
    <w:rsid w:val="00D8336C"/>
    <w:rsid w:val="00D83E45"/>
    <w:rsid w:val="00D842CD"/>
    <w:rsid w:val="00D8495C"/>
    <w:rsid w:val="00D85720"/>
    <w:rsid w:val="00D86737"/>
    <w:rsid w:val="00D8696A"/>
    <w:rsid w:val="00D8737C"/>
    <w:rsid w:val="00D90F5A"/>
    <w:rsid w:val="00D9153B"/>
    <w:rsid w:val="00D93E0F"/>
    <w:rsid w:val="00D95903"/>
    <w:rsid w:val="00D95D78"/>
    <w:rsid w:val="00D96064"/>
    <w:rsid w:val="00D960E1"/>
    <w:rsid w:val="00DA0810"/>
    <w:rsid w:val="00DA16B2"/>
    <w:rsid w:val="00DA1B62"/>
    <w:rsid w:val="00DA2363"/>
    <w:rsid w:val="00DA3FCE"/>
    <w:rsid w:val="00DA4981"/>
    <w:rsid w:val="00DB21B3"/>
    <w:rsid w:val="00DB2322"/>
    <w:rsid w:val="00DB2BE7"/>
    <w:rsid w:val="00DB3368"/>
    <w:rsid w:val="00DB3E77"/>
    <w:rsid w:val="00DB4203"/>
    <w:rsid w:val="00DB464B"/>
    <w:rsid w:val="00DB7CA1"/>
    <w:rsid w:val="00DC094F"/>
    <w:rsid w:val="00DC0F4C"/>
    <w:rsid w:val="00DC1AB7"/>
    <w:rsid w:val="00DC24B5"/>
    <w:rsid w:val="00DC25DA"/>
    <w:rsid w:val="00DC4A3C"/>
    <w:rsid w:val="00DC4C59"/>
    <w:rsid w:val="00DC5149"/>
    <w:rsid w:val="00DC68E1"/>
    <w:rsid w:val="00DC7FCE"/>
    <w:rsid w:val="00DD1B88"/>
    <w:rsid w:val="00DD334C"/>
    <w:rsid w:val="00DD3C08"/>
    <w:rsid w:val="00DD4657"/>
    <w:rsid w:val="00DD79D2"/>
    <w:rsid w:val="00DE0476"/>
    <w:rsid w:val="00DE1B2F"/>
    <w:rsid w:val="00DE1B63"/>
    <w:rsid w:val="00DE1C5A"/>
    <w:rsid w:val="00DE1D7A"/>
    <w:rsid w:val="00DE2AAC"/>
    <w:rsid w:val="00DE3380"/>
    <w:rsid w:val="00DE5E04"/>
    <w:rsid w:val="00DE6634"/>
    <w:rsid w:val="00DF1125"/>
    <w:rsid w:val="00DF14A7"/>
    <w:rsid w:val="00DF27AC"/>
    <w:rsid w:val="00DF28E7"/>
    <w:rsid w:val="00DF2FD1"/>
    <w:rsid w:val="00DF3085"/>
    <w:rsid w:val="00DF399A"/>
    <w:rsid w:val="00DF447B"/>
    <w:rsid w:val="00DF6280"/>
    <w:rsid w:val="00DF7B14"/>
    <w:rsid w:val="00E00009"/>
    <w:rsid w:val="00E000DE"/>
    <w:rsid w:val="00E01EF4"/>
    <w:rsid w:val="00E02CF2"/>
    <w:rsid w:val="00E04947"/>
    <w:rsid w:val="00E04E23"/>
    <w:rsid w:val="00E069F7"/>
    <w:rsid w:val="00E06C35"/>
    <w:rsid w:val="00E06D5A"/>
    <w:rsid w:val="00E0710D"/>
    <w:rsid w:val="00E07F71"/>
    <w:rsid w:val="00E114D8"/>
    <w:rsid w:val="00E11C6E"/>
    <w:rsid w:val="00E1256E"/>
    <w:rsid w:val="00E1347F"/>
    <w:rsid w:val="00E14EF4"/>
    <w:rsid w:val="00E158CD"/>
    <w:rsid w:val="00E16019"/>
    <w:rsid w:val="00E1621B"/>
    <w:rsid w:val="00E16442"/>
    <w:rsid w:val="00E2035B"/>
    <w:rsid w:val="00E21114"/>
    <w:rsid w:val="00E2241F"/>
    <w:rsid w:val="00E22A43"/>
    <w:rsid w:val="00E22B84"/>
    <w:rsid w:val="00E24570"/>
    <w:rsid w:val="00E26045"/>
    <w:rsid w:val="00E26BDB"/>
    <w:rsid w:val="00E27304"/>
    <w:rsid w:val="00E304D5"/>
    <w:rsid w:val="00E31ED9"/>
    <w:rsid w:val="00E329F2"/>
    <w:rsid w:val="00E32B0C"/>
    <w:rsid w:val="00E33084"/>
    <w:rsid w:val="00E332F1"/>
    <w:rsid w:val="00E337F5"/>
    <w:rsid w:val="00E339E4"/>
    <w:rsid w:val="00E34EBC"/>
    <w:rsid w:val="00E36CE5"/>
    <w:rsid w:val="00E37211"/>
    <w:rsid w:val="00E37848"/>
    <w:rsid w:val="00E4034D"/>
    <w:rsid w:val="00E404B3"/>
    <w:rsid w:val="00E415DF"/>
    <w:rsid w:val="00E41EE7"/>
    <w:rsid w:val="00E42084"/>
    <w:rsid w:val="00E44854"/>
    <w:rsid w:val="00E44AC9"/>
    <w:rsid w:val="00E472E1"/>
    <w:rsid w:val="00E50248"/>
    <w:rsid w:val="00E51329"/>
    <w:rsid w:val="00E55808"/>
    <w:rsid w:val="00E559EA"/>
    <w:rsid w:val="00E5696D"/>
    <w:rsid w:val="00E56E45"/>
    <w:rsid w:val="00E5721E"/>
    <w:rsid w:val="00E601A2"/>
    <w:rsid w:val="00E612FB"/>
    <w:rsid w:val="00E6161C"/>
    <w:rsid w:val="00E62DEC"/>
    <w:rsid w:val="00E63233"/>
    <w:rsid w:val="00E63FE6"/>
    <w:rsid w:val="00E64495"/>
    <w:rsid w:val="00E65960"/>
    <w:rsid w:val="00E65F8A"/>
    <w:rsid w:val="00E66ECB"/>
    <w:rsid w:val="00E67486"/>
    <w:rsid w:val="00E67B07"/>
    <w:rsid w:val="00E70D0F"/>
    <w:rsid w:val="00E727CE"/>
    <w:rsid w:val="00E73A51"/>
    <w:rsid w:val="00E73D84"/>
    <w:rsid w:val="00E749E1"/>
    <w:rsid w:val="00E80056"/>
    <w:rsid w:val="00E8007A"/>
    <w:rsid w:val="00E80578"/>
    <w:rsid w:val="00E80B43"/>
    <w:rsid w:val="00E833CB"/>
    <w:rsid w:val="00E8394D"/>
    <w:rsid w:val="00E83995"/>
    <w:rsid w:val="00E83CBA"/>
    <w:rsid w:val="00E83D2E"/>
    <w:rsid w:val="00E83FB2"/>
    <w:rsid w:val="00E844D4"/>
    <w:rsid w:val="00E87FBB"/>
    <w:rsid w:val="00E90615"/>
    <w:rsid w:val="00E91FE0"/>
    <w:rsid w:val="00E9225A"/>
    <w:rsid w:val="00E951BA"/>
    <w:rsid w:val="00E9532B"/>
    <w:rsid w:val="00E95AC2"/>
    <w:rsid w:val="00E97167"/>
    <w:rsid w:val="00E97DBB"/>
    <w:rsid w:val="00EA0169"/>
    <w:rsid w:val="00EA093A"/>
    <w:rsid w:val="00EA2F61"/>
    <w:rsid w:val="00EA3781"/>
    <w:rsid w:val="00EA3801"/>
    <w:rsid w:val="00EA5023"/>
    <w:rsid w:val="00EA7061"/>
    <w:rsid w:val="00EA7C5B"/>
    <w:rsid w:val="00EB13FE"/>
    <w:rsid w:val="00EB254B"/>
    <w:rsid w:val="00EB3150"/>
    <w:rsid w:val="00EB39F1"/>
    <w:rsid w:val="00EB460F"/>
    <w:rsid w:val="00EB472E"/>
    <w:rsid w:val="00EB5434"/>
    <w:rsid w:val="00EB5571"/>
    <w:rsid w:val="00EB5D6C"/>
    <w:rsid w:val="00EB6A9B"/>
    <w:rsid w:val="00EB751D"/>
    <w:rsid w:val="00EB76D6"/>
    <w:rsid w:val="00EC0178"/>
    <w:rsid w:val="00EC049F"/>
    <w:rsid w:val="00EC11E3"/>
    <w:rsid w:val="00EC429C"/>
    <w:rsid w:val="00ED024E"/>
    <w:rsid w:val="00ED194C"/>
    <w:rsid w:val="00ED2C26"/>
    <w:rsid w:val="00ED3898"/>
    <w:rsid w:val="00ED4005"/>
    <w:rsid w:val="00ED4C8A"/>
    <w:rsid w:val="00ED58C7"/>
    <w:rsid w:val="00ED5EC2"/>
    <w:rsid w:val="00ED636B"/>
    <w:rsid w:val="00ED7E22"/>
    <w:rsid w:val="00EE0DF2"/>
    <w:rsid w:val="00EE1124"/>
    <w:rsid w:val="00EE21DD"/>
    <w:rsid w:val="00EE2F5D"/>
    <w:rsid w:val="00EE56DF"/>
    <w:rsid w:val="00EE5ED7"/>
    <w:rsid w:val="00EE64CC"/>
    <w:rsid w:val="00EE6D6B"/>
    <w:rsid w:val="00EE759C"/>
    <w:rsid w:val="00EF1A24"/>
    <w:rsid w:val="00EF1BF1"/>
    <w:rsid w:val="00EF69E0"/>
    <w:rsid w:val="00EF71E1"/>
    <w:rsid w:val="00F01BD5"/>
    <w:rsid w:val="00F01D12"/>
    <w:rsid w:val="00F024E3"/>
    <w:rsid w:val="00F0264E"/>
    <w:rsid w:val="00F0280F"/>
    <w:rsid w:val="00F02815"/>
    <w:rsid w:val="00F04967"/>
    <w:rsid w:val="00F04F5B"/>
    <w:rsid w:val="00F056F7"/>
    <w:rsid w:val="00F05EAF"/>
    <w:rsid w:val="00F06AD7"/>
    <w:rsid w:val="00F06D7C"/>
    <w:rsid w:val="00F1049D"/>
    <w:rsid w:val="00F10D22"/>
    <w:rsid w:val="00F119F0"/>
    <w:rsid w:val="00F12173"/>
    <w:rsid w:val="00F147FD"/>
    <w:rsid w:val="00F15FC1"/>
    <w:rsid w:val="00F166CE"/>
    <w:rsid w:val="00F17762"/>
    <w:rsid w:val="00F23C5A"/>
    <w:rsid w:val="00F23E91"/>
    <w:rsid w:val="00F261BC"/>
    <w:rsid w:val="00F277D4"/>
    <w:rsid w:val="00F27EEA"/>
    <w:rsid w:val="00F31104"/>
    <w:rsid w:val="00F32524"/>
    <w:rsid w:val="00F33A0A"/>
    <w:rsid w:val="00F33E65"/>
    <w:rsid w:val="00F3426D"/>
    <w:rsid w:val="00F34E93"/>
    <w:rsid w:val="00F35474"/>
    <w:rsid w:val="00F365DC"/>
    <w:rsid w:val="00F40AF7"/>
    <w:rsid w:val="00F43F5A"/>
    <w:rsid w:val="00F44511"/>
    <w:rsid w:val="00F4474B"/>
    <w:rsid w:val="00F469D2"/>
    <w:rsid w:val="00F478E4"/>
    <w:rsid w:val="00F5097D"/>
    <w:rsid w:val="00F513E5"/>
    <w:rsid w:val="00F51521"/>
    <w:rsid w:val="00F5219B"/>
    <w:rsid w:val="00F52335"/>
    <w:rsid w:val="00F53138"/>
    <w:rsid w:val="00F534C0"/>
    <w:rsid w:val="00F53541"/>
    <w:rsid w:val="00F54930"/>
    <w:rsid w:val="00F5523B"/>
    <w:rsid w:val="00F6012F"/>
    <w:rsid w:val="00F623B6"/>
    <w:rsid w:val="00F6280F"/>
    <w:rsid w:val="00F62819"/>
    <w:rsid w:val="00F635BC"/>
    <w:rsid w:val="00F6394B"/>
    <w:rsid w:val="00F64E85"/>
    <w:rsid w:val="00F6653B"/>
    <w:rsid w:val="00F708D9"/>
    <w:rsid w:val="00F720FB"/>
    <w:rsid w:val="00F721C2"/>
    <w:rsid w:val="00F7261C"/>
    <w:rsid w:val="00F75F28"/>
    <w:rsid w:val="00F76182"/>
    <w:rsid w:val="00F7649B"/>
    <w:rsid w:val="00F764D5"/>
    <w:rsid w:val="00F80602"/>
    <w:rsid w:val="00F81376"/>
    <w:rsid w:val="00F8384E"/>
    <w:rsid w:val="00F84C20"/>
    <w:rsid w:val="00F87614"/>
    <w:rsid w:val="00F90FCB"/>
    <w:rsid w:val="00F92112"/>
    <w:rsid w:val="00F9230A"/>
    <w:rsid w:val="00F92366"/>
    <w:rsid w:val="00F92753"/>
    <w:rsid w:val="00F9598E"/>
    <w:rsid w:val="00F9610C"/>
    <w:rsid w:val="00F96B32"/>
    <w:rsid w:val="00F9735A"/>
    <w:rsid w:val="00FA1CAC"/>
    <w:rsid w:val="00FA327C"/>
    <w:rsid w:val="00FA3DB9"/>
    <w:rsid w:val="00FA42F4"/>
    <w:rsid w:val="00FA59CF"/>
    <w:rsid w:val="00FA6502"/>
    <w:rsid w:val="00FA666F"/>
    <w:rsid w:val="00FA694C"/>
    <w:rsid w:val="00FB0730"/>
    <w:rsid w:val="00FB0BC1"/>
    <w:rsid w:val="00FB14A0"/>
    <w:rsid w:val="00FB3947"/>
    <w:rsid w:val="00FB4E4A"/>
    <w:rsid w:val="00FB553C"/>
    <w:rsid w:val="00FB6D3A"/>
    <w:rsid w:val="00FB7924"/>
    <w:rsid w:val="00FB7F35"/>
    <w:rsid w:val="00FC11D6"/>
    <w:rsid w:val="00FC165E"/>
    <w:rsid w:val="00FC1894"/>
    <w:rsid w:val="00FC2103"/>
    <w:rsid w:val="00FC2DE7"/>
    <w:rsid w:val="00FC405C"/>
    <w:rsid w:val="00FC40EE"/>
    <w:rsid w:val="00FC48DD"/>
    <w:rsid w:val="00FC569E"/>
    <w:rsid w:val="00FC67E5"/>
    <w:rsid w:val="00FC6BFF"/>
    <w:rsid w:val="00FC7747"/>
    <w:rsid w:val="00FC7B5F"/>
    <w:rsid w:val="00FD04EB"/>
    <w:rsid w:val="00FD1036"/>
    <w:rsid w:val="00FD131D"/>
    <w:rsid w:val="00FD5177"/>
    <w:rsid w:val="00FD6157"/>
    <w:rsid w:val="00FD7A1C"/>
    <w:rsid w:val="00FE06F8"/>
    <w:rsid w:val="00FE0F0B"/>
    <w:rsid w:val="00FE1CA3"/>
    <w:rsid w:val="00FE23BC"/>
    <w:rsid w:val="00FE35E1"/>
    <w:rsid w:val="00FE3AFC"/>
    <w:rsid w:val="00FE55B7"/>
    <w:rsid w:val="00FE6D86"/>
    <w:rsid w:val="00FF0DA7"/>
    <w:rsid w:val="00FF1DEB"/>
    <w:rsid w:val="00FF3276"/>
    <w:rsid w:val="00FF38F7"/>
    <w:rsid w:val="00FF4397"/>
    <w:rsid w:val="00FF52DE"/>
    <w:rsid w:val="00FF5B26"/>
    <w:rsid w:val="00FF69CB"/>
    <w:rsid w:val="00FF7D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82FBF3"/>
  <w15:docId w15:val="{96FED87B-9B3D-474E-98ED-C49138F9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02DE0"/>
    <w:rPr>
      <w:lang w:val="en-US" w:eastAsia="en-US"/>
    </w:rPr>
  </w:style>
  <w:style w:type="paragraph" w:styleId="Heading1">
    <w:name w:val="heading 1"/>
    <w:basedOn w:val="Normal"/>
    <w:next w:val="Normal"/>
    <w:link w:val="Heading1Char"/>
    <w:qFormat/>
    <w:rsid w:val="00D9153B"/>
    <w:pPr>
      <w:keepNext/>
      <w:widowControl w:val="0"/>
      <w:suppressAutoHyphens/>
      <w:outlineLvl w:val="0"/>
    </w:pPr>
    <w:rPr>
      <w:rFonts w:ascii="Courier" w:hAnsi="Courier"/>
      <w:b/>
      <w:spacing w:val="-3"/>
      <w:sz w:val="28"/>
    </w:rPr>
  </w:style>
  <w:style w:type="paragraph" w:styleId="Heading2">
    <w:name w:val="heading 2"/>
    <w:basedOn w:val="Normal"/>
    <w:next w:val="Normal"/>
    <w:qFormat/>
    <w:rsid w:val="00D9153B"/>
    <w:pPr>
      <w:keepNext/>
      <w:jc w:val="center"/>
      <w:outlineLvl w:val="1"/>
    </w:pPr>
    <w:rPr>
      <w:rFonts w:ascii="Arial" w:hAnsi="Arial"/>
      <w:b/>
      <w:sz w:val="28"/>
    </w:rPr>
  </w:style>
  <w:style w:type="paragraph" w:styleId="Heading3">
    <w:name w:val="heading 3"/>
    <w:basedOn w:val="Normal"/>
    <w:next w:val="Normal"/>
    <w:link w:val="Heading3Char"/>
    <w:semiHidden/>
    <w:unhideWhenUsed/>
    <w:qFormat/>
    <w:locked/>
    <w:rsid w:val="003723F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qFormat/>
    <w:rsid w:val="00D9153B"/>
    <w:pPr>
      <w:keepNext/>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153B"/>
    <w:pPr>
      <w:widowControl w:val="0"/>
      <w:tabs>
        <w:tab w:val="center" w:pos="4320"/>
        <w:tab w:val="right" w:pos="8640"/>
      </w:tabs>
    </w:pPr>
    <w:rPr>
      <w:rFonts w:ascii="Courier" w:hAnsi="Courier"/>
      <w:sz w:val="22"/>
    </w:rPr>
  </w:style>
  <w:style w:type="paragraph" w:styleId="FootnoteText">
    <w:name w:val="footnote text"/>
    <w:aliases w:val="FOOTNOTES,fn,single space,Footnote Text1,Fodnotetekst Tegn,footnote text Char,Fodnotetekst Tegn Char,single space Char,footnote text Char Char Char,Fodnotetekst Tegn Char1,single space Char1,footnote text Char Char1,f,Geneva 9,ft,Boston 10"/>
    <w:basedOn w:val="Normal"/>
    <w:link w:val="FootnoteTextChar"/>
    <w:uiPriority w:val="99"/>
    <w:qFormat/>
    <w:rsid w:val="00D9153B"/>
    <w:pPr>
      <w:widowControl w:val="0"/>
    </w:pPr>
    <w:rPr>
      <w:rFonts w:ascii="Courier" w:hAnsi="Courier"/>
    </w:rPr>
  </w:style>
  <w:style w:type="paragraph" w:styleId="Subtitle">
    <w:name w:val="Subtitle"/>
    <w:basedOn w:val="Normal"/>
    <w:link w:val="SubtitleChar"/>
    <w:qFormat/>
    <w:rsid w:val="00D9153B"/>
    <w:pPr>
      <w:spacing w:after="60"/>
      <w:jc w:val="center"/>
      <w:outlineLvl w:val="1"/>
    </w:pPr>
    <w:rPr>
      <w:rFonts w:ascii="Arial" w:hAnsi="Arial" w:cs="Arial"/>
      <w:sz w:val="24"/>
      <w:szCs w:val="24"/>
    </w:rPr>
  </w:style>
  <w:style w:type="character" w:styleId="FootnoteReference">
    <w:name w:val="footnote reference"/>
    <w:aliases w:val="Знак сноски 1,16 Point,Superscript 6 Point,ftref, Char Char,BVI fnr,样式程脚注引用, BVI fnr Char,BVI fnr Char, BVI fnr Car Car Char,BVI fnr Car Char, BVI fnr Car Car Car Car Char, BVI fnr Car Car Car Car Char Char Char,Footnotes refss,4_G,fr"/>
    <w:link w:val="BVIfnrCarCar"/>
    <w:qFormat/>
    <w:rsid w:val="00D9153B"/>
    <w:rPr>
      <w:rFonts w:cs="Times New Roman"/>
      <w:vertAlign w:val="superscript"/>
    </w:rPr>
  </w:style>
  <w:style w:type="paragraph" w:styleId="Footer">
    <w:name w:val="footer"/>
    <w:basedOn w:val="Normal"/>
    <w:link w:val="FooterChar"/>
    <w:uiPriority w:val="99"/>
    <w:rsid w:val="00D9153B"/>
    <w:pPr>
      <w:tabs>
        <w:tab w:val="center" w:pos="4320"/>
        <w:tab w:val="right" w:pos="8640"/>
      </w:tabs>
    </w:pPr>
  </w:style>
  <w:style w:type="paragraph" w:customStyle="1" w:styleId="HCh">
    <w:name w:val="_ H _Ch"/>
    <w:basedOn w:val="Normal"/>
    <w:next w:val="Normal"/>
    <w:rsid w:val="00D9153B"/>
    <w:pPr>
      <w:keepNext/>
      <w:keepLines/>
      <w:suppressAutoHyphens/>
      <w:spacing w:line="300" w:lineRule="exact"/>
      <w:outlineLvl w:val="0"/>
    </w:pPr>
    <w:rPr>
      <w:b/>
      <w:spacing w:val="-2"/>
      <w:w w:val="103"/>
      <w:kern w:val="14"/>
      <w:sz w:val="28"/>
      <w:lang w:val="en-GB"/>
    </w:rPr>
  </w:style>
  <w:style w:type="paragraph" w:customStyle="1" w:styleId="SingleTxt">
    <w:name w:val="__Single Txt"/>
    <w:basedOn w:val="Normal"/>
    <w:rsid w:val="00D9153B"/>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lang w:val="en-GB"/>
    </w:rPr>
  </w:style>
  <w:style w:type="paragraph" w:customStyle="1" w:styleId="XLarge">
    <w:name w:val="XLarge"/>
    <w:basedOn w:val="Normal"/>
    <w:rsid w:val="00D9153B"/>
    <w:pPr>
      <w:keepNext/>
      <w:keepLines/>
      <w:tabs>
        <w:tab w:val="right" w:leader="dot" w:pos="360"/>
      </w:tabs>
      <w:suppressAutoHyphens/>
      <w:spacing w:line="390" w:lineRule="exact"/>
      <w:outlineLvl w:val="0"/>
    </w:pPr>
    <w:rPr>
      <w:b/>
      <w:spacing w:val="-4"/>
      <w:w w:val="98"/>
      <w:kern w:val="14"/>
      <w:sz w:val="40"/>
      <w:lang w:val="en-GB"/>
    </w:rPr>
  </w:style>
  <w:style w:type="paragraph" w:styleId="BalloonText">
    <w:name w:val="Balloon Text"/>
    <w:basedOn w:val="Normal"/>
    <w:semiHidden/>
    <w:rsid w:val="005D4084"/>
    <w:rPr>
      <w:rFonts w:ascii="Tahoma" w:hAnsi="Tahoma" w:cs="Tahoma"/>
      <w:sz w:val="16"/>
      <w:szCs w:val="16"/>
    </w:rPr>
  </w:style>
  <w:style w:type="character" w:styleId="Hyperlink">
    <w:name w:val="Hyperlink"/>
    <w:rsid w:val="0079421C"/>
    <w:rPr>
      <w:rFonts w:cs="Times New Roman"/>
      <w:color w:val="336699"/>
      <w:u w:val="none"/>
      <w:effect w:val="none"/>
    </w:rPr>
  </w:style>
  <w:style w:type="paragraph" w:styleId="ListParagraph">
    <w:name w:val="List Paragraph"/>
    <w:aliases w:val="List Paragraph (numbered (a)),Lapis Bulleted List,Dot pt,F5 List Paragraph,List Paragraph1,No Spacing1,List Paragraph Char Char Char,Indicator Text,Numbered Para 1,Bullet 1,List Paragraph12,Bullet Points,MAIN CONTENT,List 100s,WB Para,L"/>
    <w:basedOn w:val="Normal"/>
    <w:link w:val="ListParagraphChar"/>
    <w:uiPriority w:val="34"/>
    <w:qFormat/>
    <w:rsid w:val="00896815"/>
    <w:pPr>
      <w:ind w:left="720"/>
    </w:pPr>
  </w:style>
  <w:style w:type="paragraph" w:styleId="DocumentMap">
    <w:name w:val="Document Map"/>
    <w:basedOn w:val="Normal"/>
    <w:link w:val="DocumentMapChar"/>
    <w:semiHidden/>
    <w:rsid w:val="00993912"/>
    <w:rPr>
      <w:rFonts w:ascii="Tahoma" w:hAnsi="Tahoma"/>
      <w:sz w:val="16"/>
      <w:szCs w:val="16"/>
    </w:rPr>
  </w:style>
  <w:style w:type="character" w:customStyle="1" w:styleId="DocumentMapChar">
    <w:name w:val="Document Map Char"/>
    <w:link w:val="DocumentMap"/>
    <w:locked/>
    <w:rsid w:val="00993912"/>
    <w:rPr>
      <w:rFonts w:ascii="Tahoma" w:hAnsi="Tahoma" w:cs="Tahoma"/>
      <w:sz w:val="16"/>
      <w:szCs w:val="16"/>
    </w:rPr>
  </w:style>
  <w:style w:type="character" w:styleId="CommentReference">
    <w:name w:val="annotation reference"/>
    <w:semiHidden/>
    <w:rsid w:val="00400E4A"/>
    <w:rPr>
      <w:rFonts w:cs="Times New Roman"/>
      <w:sz w:val="6"/>
      <w:szCs w:val="6"/>
    </w:rPr>
  </w:style>
  <w:style w:type="character" w:customStyle="1" w:styleId="FooterChar">
    <w:name w:val="Footer Char"/>
    <w:link w:val="Footer"/>
    <w:uiPriority w:val="99"/>
    <w:locked/>
    <w:rsid w:val="005841A3"/>
    <w:rPr>
      <w:rFonts w:cs="Times New Roman"/>
    </w:rPr>
  </w:style>
  <w:style w:type="paragraph" w:styleId="CommentText">
    <w:name w:val="annotation text"/>
    <w:basedOn w:val="Normal"/>
    <w:link w:val="CommentTextChar"/>
    <w:uiPriority w:val="99"/>
    <w:rsid w:val="008543F5"/>
  </w:style>
  <w:style w:type="character" w:customStyle="1" w:styleId="CommentTextChar">
    <w:name w:val="Comment Text Char"/>
    <w:basedOn w:val="DefaultParagraphFont"/>
    <w:link w:val="CommentText"/>
    <w:uiPriority w:val="99"/>
    <w:rsid w:val="008543F5"/>
  </w:style>
  <w:style w:type="paragraph" w:styleId="CommentSubject">
    <w:name w:val="annotation subject"/>
    <w:basedOn w:val="CommentText"/>
    <w:next w:val="CommentText"/>
    <w:link w:val="CommentSubjectChar"/>
    <w:rsid w:val="008543F5"/>
    <w:rPr>
      <w:b/>
      <w:bCs/>
    </w:rPr>
  </w:style>
  <w:style w:type="character" w:customStyle="1" w:styleId="CommentSubjectChar">
    <w:name w:val="Comment Subject Char"/>
    <w:link w:val="CommentSubject"/>
    <w:rsid w:val="008543F5"/>
    <w:rPr>
      <w:b/>
      <w:bCs/>
    </w:rPr>
  </w:style>
  <w:style w:type="character" w:customStyle="1" w:styleId="Heading1Char">
    <w:name w:val="Heading 1 Char"/>
    <w:link w:val="Heading1"/>
    <w:rsid w:val="001D42D1"/>
    <w:rPr>
      <w:rFonts w:ascii="Courier" w:hAnsi="Courier"/>
      <w:b/>
      <w:spacing w:val="-3"/>
      <w:sz w:val="28"/>
    </w:rPr>
  </w:style>
  <w:style w:type="character" w:customStyle="1" w:styleId="HeaderChar">
    <w:name w:val="Header Char"/>
    <w:link w:val="Header"/>
    <w:uiPriority w:val="99"/>
    <w:rsid w:val="00852876"/>
    <w:rPr>
      <w:rFonts w:ascii="Courier" w:hAnsi="Courier"/>
      <w:sz w:val="22"/>
    </w:rPr>
  </w:style>
  <w:style w:type="character" w:styleId="PageNumber">
    <w:name w:val="page number"/>
    <w:basedOn w:val="DefaultParagraphFont"/>
    <w:semiHidden/>
    <w:rsid w:val="00D6679C"/>
  </w:style>
  <w:style w:type="character" w:customStyle="1" w:styleId="SubtitleChar">
    <w:name w:val="Subtitle Char"/>
    <w:basedOn w:val="DefaultParagraphFont"/>
    <w:link w:val="Subtitle"/>
    <w:rsid w:val="00D6679C"/>
    <w:rPr>
      <w:rFonts w:ascii="Arial" w:hAnsi="Arial" w:cs="Arial"/>
      <w:sz w:val="24"/>
      <w:szCs w:val="24"/>
      <w:lang w:val="en-US" w:eastAsia="en-US"/>
    </w:rPr>
  </w:style>
  <w:style w:type="paragraph" w:styleId="BodyText">
    <w:name w:val="Body Text"/>
    <w:basedOn w:val="Normal"/>
    <w:link w:val="BodyTextChar"/>
    <w:semiHidden/>
    <w:rsid w:val="00D6679C"/>
    <w:rPr>
      <w:b/>
      <w:bCs/>
      <w:sz w:val="24"/>
    </w:rPr>
  </w:style>
  <w:style w:type="character" w:customStyle="1" w:styleId="BodyTextChar">
    <w:name w:val="Body Text Char"/>
    <w:basedOn w:val="DefaultParagraphFont"/>
    <w:link w:val="BodyText"/>
    <w:semiHidden/>
    <w:rsid w:val="00D6679C"/>
    <w:rPr>
      <w:b/>
      <w:bCs/>
      <w:sz w:val="24"/>
      <w:lang w:val="en-US" w:eastAsia="en-US"/>
    </w:rPr>
  </w:style>
  <w:style w:type="paragraph" w:styleId="BodyText2">
    <w:name w:val="Body Text 2"/>
    <w:basedOn w:val="Normal"/>
    <w:link w:val="BodyText2Char"/>
    <w:semiHidden/>
    <w:rsid w:val="00D6679C"/>
    <w:rPr>
      <w:sz w:val="24"/>
    </w:rPr>
  </w:style>
  <w:style w:type="character" w:customStyle="1" w:styleId="BodyText2Char">
    <w:name w:val="Body Text 2 Char"/>
    <w:basedOn w:val="DefaultParagraphFont"/>
    <w:link w:val="BodyText2"/>
    <w:semiHidden/>
    <w:rsid w:val="00D6679C"/>
    <w:rPr>
      <w:sz w:val="24"/>
      <w:lang w:val="en-US" w:eastAsia="en-US"/>
    </w:rPr>
  </w:style>
  <w:style w:type="paragraph" w:styleId="BodyText3">
    <w:name w:val="Body Text 3"/>
    <w:basedOn w:val="Normal"/>
    <w:link w:val="BodyText3Char"/>
    <w:semiHidden/>
    <w:rsid w:val="00D6679C"/>
    <w:pPr>
      <w:tabs>
        <w:tab w:val="left" w:pos="-720"/>
        <w:tab w:val="left" w:pos="0"/>
        <w:tab w:val="left" w:pos="607"/>
        <w:tab w:val="left" w:pos="1180"/>
        <w:tab w:val="left" w:pos="1411"/>
        <w:tab w:val="left" w:pos="2116"/>
        <w:tab w:val="left" w:pos="2822"/>
        <w:tab w:val="left" w:pos="3528"/>
        <w:tab w:val="left" w:pos="4233"/>
        <w:tab w:val="left" w:pos="4939"/>
        <w:tab w:val="left" w:pos="5762"/>
        <w:tab w:val="left" w:pos="6468"/>
        <w:tab w:val="left" w:pos="7173"/>
        <w:tab w:val="left" w:pos="7879"/>
        <w:tab w:val="left" w:pos="8584"/>
        <w:tab w:val="left" w:pos="9290"/>
        <w:tab w:val="left" w:pos="9996"/>
        <w:tab w:val="left" w:pos="10701"/>
        <w:tab w:val="left" w:pos="11407"/>
      </w:tabs>
      <w:suppressAutoHyphens/>
      <w:jc w:val="both"/>
    </w:pPr>
    <w:rPr>
      <w:sz w:val="24"/>
    </w:rPr>
  </w:style>
  <w:style w:type="character" w:customStyle="1" w:styleId="BodyText3Char">
    <w:name w:val="Body Text 3 Char"/>
    <w:basedOn w:val="DefaultParagraphFont"/>
    <w:link w:val="BodyText3"/>
    <w:semiHidden/>
    <w:rsid w:val="00D6679C"/>
    <w:rPr>
      <w:sz w:val="24"/>
      <w:lang w:val="en-US" w:eastAsia="en-US"/>
    </w:rPr>
  </w:style>
  <w:style w:type="character" w:customStyle="1" w:styleId="FootnoteTextChar">
    <w:name w:val="Footnote Text Char"/>
    <w:aliases w:val="FOOTNOTES Char,fn Char,single space Char2,Footnote Text1 Char,Fodnotetekst Tegn Char2,footnote text Char Char,Fodnotetekst Tegn Char Char,single space Char Char,footnote text Char Char Char Char,Fodnotetekst Tegn Char1 Char,f Char"/>
    <w:basedOn w:val="DefaultParagraphFont"/>
    <w:link w:val="FootnoteText"/>
    <w:uiPriority w:val="99"/>
    <w:rsid w:val="00D6679C"/>
    <w:rPr>
      <w:rFonts w:ascii="Courier" w:hAnsi="Courier"/>
      <w:lang w:val="en-US" w:eastAsia="en-US"/>
    </w:rPr>
  </w:style>
  <w:style w:type="character" w:customStyle="1" w:styleId="ListParagraphChar">
    <w:name w:val="List Paragraph Char"/>
    <w:aliases w:val="List Paragraph (numbered (a)) Char,Lapis Bulleted List Char,Dot pt Char,F5 List Paragraph Char,List Paragraph1 Char,No Spacing1 Char,List Paragraph Char Char Char Char,Indicator Text Char,Numbered Para 1 Char,Bullet 1 Char,L Char"/>
    <w:link w:val="ListParagraph"/>
    <w:uiPriority w:val="34"/>
    <w:qFormat/>
    <w:locked/>
    <w:rsid w:val="009A4543"/>
    <w:rPr>
      <w:lang w:val="en-US" w:eastAsia="en-US"/>
    </w:rPr>
  </w:style>
  <w:style w:type="paragraph" w:styleId="Revision">
    <w:name w:val="Revision"/>
    <w:hidden/>
    <w:uiPriority w:val="99"/>
    <w:semiHidden/>
    <w:rsid w:val="0050228C"/>
    <w:rPr>
      <w:lang w:val="en-US" w:eastAsia="en-US"/>
    </w:rPr>
  </w:style>
  <w:style w:type="character" w:styleId="FollowedHyperlink">
    <w:name w:val="FollowedHyperlink"/>
    <w:basedOn w:val="DefaultParagraphFont"/>
    <w:semiHidden/>
    <w:unhideWhenUsed/>
    <w:rsid w:val="00704095"/>
    <w:rPr>
      <w:color w:val="800080" w:themeColor="followedHyperlink"/>
      <w:u w:val="single"/>
    </w:rPr>
  </w:style>
  <w:style w:type="paragraph" w:styleId="Bibliography">
    <w:name w:val="Bibliography"/>
    <w:basedOn w:val="Normal"/>
    <w:next w:val="Normal"/>
    <w:uiPriority w:val="37"/>
    <w:semiHidden/>
    <w:unhideWhenUsed/>
    <w:rsid w:val="00264A51"/>
  </w:style>
  <w:style w:type="paragraph" w:customStyle="1" w:styleId="BVIfnrCarCar">
    <w:name w:val="BVI fnr Car Car"/>
    <w:aliases w:val="BVI fnr Car, BVI fnr Car Car Car Car, BVI fnr,BVI fnr Car Car Car Car,BVI fnr Char Char Char Char Char Char,BVI fnr Car Car Char Char Char Char Char Char, BVI fnr Car Car"/>
    <w:basedOn w:val="Normal"/>
    <w:link w:val="FootnoteReference"/>
    <w:uiPriority w:val="99"/>
    <w:rsid w:val="00264A51"/>
    <w:pPr>
      <w:spacing w:line="240" w:lineRule="exact"/>
    </w:pPr>
    <w:rPr>
      <w:vertAlign w:val="superscript"/>
      <w:lang w:val="en-GB" w:eastAsia="en-GB"/>
    </w:rPr>
  </w:style>
  <w:style w:type="character" w:customStyle="1" w:styleId="apple-converted-space">
    <w:name w:val="apple-converted-space"/>
    <w:basedOn w:val="DefaultParagraphFont"/>
    <w:rsid w:val="00A34FFA"/>
  </w:style>
  <w:style w:type="paragraph" w:customStyle="1" w:styleId="BVIfnrCharCar1CarCharChar">
    <w:name w:val="BVI fnr Char Car1 Car Char Char"/>
    <w:aliases w:val="BVI fnr Char Car Car Char Char,ftref Char Car Car Char Char, BVI fnr Char Car Char Char Car Car Char Char,BVI fnr Char Car Char Char Car Car Char Char,ftref Char Car Char Char Car Car Char Char"/>
    <w:basedOn w:val="Normal"/>
    <w:next w:val="Normal"/>
    <w:uiPriority w:val="99"/>
    <w:rsid w:val="00335F77"/>
    <w:pPr>
      <w:spacing w:after="160" w:line="240" w:lineRule="exact"/>
      <w:ind w:left="714" w:hanging="357"/>
      <w:jc w:val="both"/>
    </w:pPr>
    <w:rPr>
      <w:rFonts w:asciiTheme="minorHAnsi" w:eastAsiaTheme="minorHAnsi" w:hAnsiTheme="minorHAnsi"/>
      <w:sz w:val="22"/>
      <w:szCs w:val="22"/>
      <w:vertAlign w:val="superscript"/>
    </w:rPr>
  </w:style>
  <w:style w:type="character" w:customStyle="1" w:styleId="Heading3Char">
    <w:name w:val="Heading 3 Char"/>
    <w:basedOn w:val="DefaultParagraphFont"/>
    <w:link w:val="Heading3"/>
    <w:semiHidden/>
    <w:rsid w:val="003723F7"/>
    <w:rPr>
      <w:rFonts w:asciiTheme="majorHAnsi" w:eastAsiaTheme="majorEastAsia" w:hAnsiTheme="majorHAnsi" w:cstheme="majorBidi"/>
      <w:color w:val="243F60" w:themeColor="accent1" w:themeShade="7F"/>
      <w:sz w:val="24"/>
      <w:szCs w:val="24"/>
      <w:lang w:val="en-US" w:eastAsia="en-US"/>
    </w:rPr>
  </w:style>
  <w:style w:type="paragraph" w:customStyle="1" w:styleId="Default">
    <w:name w:val="Default"/>
    <w:rsid w:val="00FB553C"/>
    <w:pPr>
      <w:autoSpaceDE w:val="0"/>
      <w:autoSpaceDN w:val="0"/>
      <w:adjustRightInd w:val="0"/>
    </w:pPr>
    <w:rPr>
      <w:rFonts w:ascii="Calibri" w:hAnsi="Calibri" w:cs="Calibri"/>
      <w:color w:val="000000"/>
      <w:sz w:val="24"/>
      <w:szCs w:val="24"/>
      <w:lang w:val="en-US"/>
    </w:rPr>
  </w:style>
  <w:style w:type="paragraph" w:styleId="ListBullet">
    <w:name w:val="List Bullet"/>
    <w:basedOn w:val="Normal"/>
    <w:autoRedefine/>
    <w:rsid w:val="002F4258"/>
    <w:pPr>
      <w:ind w:left="547"/>
      <w:jc w:val="both"/>
    </w:pPr>
    <w:rPr>
      <w:rFonts w:ascii="Calibri" w:eastAsia="MS Mincho" w:hAnsi="Calibri" w:cs="Calibri"/>
      <w:b/>
      <w:bCs/>
      <w:sz w:val="22"/>
      <w:szCs w:val="22"/>
      <w:lang w:eastAsia="en-AU"/>
    </w:rPr>
  </w:style>
  <w:style w:type="paragraph" w:styleId="EndnoteText">
    <w:name w:val="endnote text"/>
    <w:basedOn w:val="Normal"/>
    <w:link w:val="EndnoteTextChar"/>
    <w:semiHidden/>
    <w:unhideWhenUsed/>
    <w:rsid w:val="00306B68"/>
  </w:style>
  <w:style w:type="character" w:customStyle="1" w:styleId="EndnoteTextChar">
    <w:name w:val="Endnote Text Char"/>
    <w:basedOn w:val="DefaultParagraphFont"/>
    <w:link w:val="EndnoteText"/>
    <w:semiHidden/>
    <w:rsid w:val="00306B68"/>
    <w:rPr>
      <w:lang w:val="en-US" w:eastAsia="en-US"/>
    </w:rPr>
  </w:style>
  <w:style w:type="character" w:styleId="EndnoteReference">
    <w:name w:val="endnote reference"/>
    <w:basedOn w:val="DefaultParagraphFont"/>
    <w:semiHidden/>
    <w:unhideWhenUsed/>
    <w:rsid w:val="00306B68"/>
    <w:rPr>
      <w:vertAlign w:val="superscript"/>
    </w:rPr>
  </w:style>
  <w:style w:type="character" w:styleId="Strong">
    <w:name w:val="Strong"/>
    <w:basedOn w:val="DefaultParagraphFont"/>
    <w:uiPriority w:val="22"/>
    <w:qFormat/>
    <w:locked/>
    <w:rsid w:val="0046616C"/>
    <w:rPr>
      <w:b/>
      <w:bCs/>
    </w:rPr>
  </w:style>
  <w:style w:type="paragraph" w:styleId="NormalWeb">
    <w:name w:val="Normal (Web)"/>
    <w:basedOn w:val="Normal"/>
    <w:uiPriority w:val="99"/>
    <w:semiHidden/>
    <w:unhideWhenUsed/>
    <w:rsid w:val="00B55103"/>
    <w:rPr>
      <w:rFonts w:eastAsiaTheme="minorHAnsi"/>
      <w:sz w:val="24"/>
      <w:szCs w:val="24"/>
    </w:rPr>
  </w:style>
  <w:style w:type="paragraph" w:customStyle="1" w:styleId="default0">
    <w:name w:val="default"/>
    <w:basedOn w:val="Normal"/>
    <w:uiPriority w:val="99"/>
    <w:semiHidden/>
    <w:rsid w:val="00B55103"/>
    <w:rPr>
      <w:rFonts w:eastAsiaTheme="minorHAnsi"/>
      <w:sz w:val="24"/>
      <w:szCs w:val="24"/>
    </w:rPr>
  </w:style>
  <w:style w:type="character" w:customStyle="1" w:styleId="tgc">
    <w:name w:val="_tgc"/>
    <w:basedOn w:val="DefaultParagraphFont"/>
    <w:rsid w:val="00AD5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sChild>
        <w:div w:id="6">
          <w:marLeft w:val="547"/>
          <w:marRight w:val="0"/>
          <w:marTop w:val="115"/>
          <w:marBottom w:val="0"/>
          <w:divBdr>
            <w:top w:val="none" w:sz="0" w:space="0" w:color="auto"/>
            <w:left w:val="none" w:sz="0" w:space="0" w:color="auto"/>
            <w:bottom w:val="none" w:sz="0" w:space="0" w:color="auto"/>
            <w:right w:val="none" w:sz="0" w:space="0" w:color="auto"/>
          </w:divBdr>
        </w:div>
        <w:div w:id="12">
          <w:marLeft w:val="547"/>
          <w:marRight w:val="0"/>
          <w:marTop w:val="115"/>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14">
          <w:marLeft w:val="547"/>
          <w:marRight w:val="0"/>
          <w:marTop w:val="115"/>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2">
          <w:marLeft w:val="547"/>
          <w:marRight w:val="0"/>
          <w:marTop w:val="115"/>
          <w:marBottom w:val="0"/>
          <w:divBdr>
            <w:top w:val="none" w:sz="0" w:space="0" w:color="auto"/>
            <w:left w:val="none" w:sz="0" w:space="0" w:color="auto"/>
            <w:bottom w:val="none" w:sz="0" w:space="0" w:color="auto"/>
            <w:right w:val="none" w:sz="0" w:space="0" w:color="auto"/>
          </w:divBdr>
        </w:div>
        <w:div w:id="4">
          <w:marLeft w:val="547"/>
          <w:marRight w:val="0"/>
          <w:marTop w:val="115"/>
          <w:marBottom w:val="0"/>
          <w:divBdr>
            <w:top w:val="none" w:sz="0" w:space="0" w:color="auto"/>
            <w:left w:val="none" w:sz="0" w:space="0" w:color="auto"/>
            <w:bottom w:val="none" w:sz="0" w:space="0" w:color="auto"/>
            <w:right w:val="none" w:sz="0" w:space="0" w:color="auto"/>
          </w:divBdr>
        </w:div>
        <w:div w:id="9">
          <w:marLeft w:val="547"/>
          <w:marRight w:val="0"/>
          <w:marTop w:val="115"/>
          <w:marBottom w:val="0"/>
          <w:divBdr>
            <w:top w:val="none" w:sz="0" w:space="0" w:color="auto"/>
            <w:left w:val="none" w:sz="0" w:space="0" w:color="auto"/>
            <w:bottom w:val="none" w:sz="0" w:space="0" w:color="auto"/>
            <w:right w:val="none" w:sz="0" w:space="0" w:color="auto"/>
          </w:divBdr>
        </w:div>
        <w:div w:id="13">
          <w:marLeft w:val="547"/>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60060494">
      <w:bodyDiv w:val="1"/>
      <w:marLeft w:val="0"/>
      <w:marRight w:val="0"/>
      <w:marTop w:val="0"/>
      <w:marBottom w:val="0"/>
      <w:divBdr>
        <w:top w:val="none" w:sz="0" w:space="0" w:color="auto"/>
        <w:left w:val="none" w:sz="0" w:space="0" w:color="auto"/>
        <w:bottom w:val="none" w:sz="0" w:space="0" w:color="auto"/>
        <w:right w:val="none" w:sz="0" w:space="0" w:color="auto"/>
      </w:divBdr>
      <w:divsChild>
        <w:div w:id="1318606107">
          <w:marLeft w:val="0"/>
          <w:marRight w:val="0"/>
          <w:marTop w:val="0"/>
          <w:marBottom w:val="0"/>
          <w:divBdr>
            <w:top w:val="none" w:sz="0" w:space="0" w:color="auto"/>
            <w:left w:val="none" w:sz="0" w:space="0" w:color="auto"/>
            <w:bottom w:val="none" w:sz="0" w:space="0" w:color="auto"/>
            <w:right w:val="none" w:sz="0" w:space="0" w:color="auto"/>
          </w:divBdr>
          <w:divsChild>
            <w:div w:id="1369531758">
              <w:marLeft w:val="0"/>
              <w:marRight w:val="0"/>
              <w:marTop w:val="0"/>
              <w:marBottom w:val="0"/>
              <w:divBdr>
                <w:top w:val="none" w:sz="0" w:space="0" w:color="auto"/>
                <w:left w:val="none" w:sz="0" w:space="0" w:color="auto"/>
                <w:bottom w:val="none" w:sz="0" w:space="0" w:color="auto"/>
                <w:right w:val="none" w:sz="0" w:space="0" w:color="auto"/>
              </w:divBdr>
              <w:divsChild>
                <w:div w:id="1866559551">
                  <w:marLeft w:val="0"/>
                  <w:marRight w:val="0"/>
                  <w:marTop w:val="0"/>
                  <w:marBottom w:val="0"/>
                  <w:divBdr>
                    <w:top w:val="none" w:sz="0" w:space="0" w:color="auto"/>
                    <w:left w:val="none" w:sz="0" w:space="0" w:color="auto"/>
                    <w:bottom w:val="none" w:sz="0" w:space="0" w:color="auto"/>
                    <w:right w:val="none" w:sz="0" w:space="0" w:color="auto"/>
                  </w:divBdr>
                  <w:divsChild>
                    <w:div w:id="261576406">
                      <w:marLeft w:val="0"/>
                      <w:marRight w:val="0"/>
                      <w:marTop w:val="0"/>
                      <w:marBottom w:val="0"/>
                      <w:divBdr>
                        <w:top w:val="none" w:sz="0" w:space="0" w:color="auto"/>
                        <w:left w:val="none" w:sz="0" w:space="0" w:color="auto"/>
                        <w:bottom w:val="none" w:sz="0" w:space="0" w:color="auto"/>
                        <w:right w:val="none" w:sz="0" w:space="0" w:color="auto"/>
                      </w:divBdr>
                      <w:divsChild>
                        <w:div w:id="40446032">
                          <w:marLeft w:val="0"/>
                          <w:marRight w:val="0"/>
                          <w:marTop w:val="0"/>
                          <w:marBottom w:val="0"/>
                          <w:divBdr>
                            <w:top w:val="none" w:sz="0" w:space="0" w:color="auto"/>
                            <w:left w:val="none" w:sz="0" w:space="0" w:color="auto"/>
                            <w:bottom w:val="none" w:sz="0" w:space="0" w:color="auto"/>
                            <w:right w:val="none" w:sz="0" w:space="0" w:color="auto"/>
                          </w:divBdr>
                          <w:divsChild>
                            <w:div w:id="353579285">
                              <w:marLeft w:val="0"/>
                              <w:marRight w:val="0"/>
                              <w:marTop w:val="0"/>
                              <w:marBottom w:val="0"/>
                              <w:divBdr>
                                <w:top w:val="none" w:sz="0" w:space="0" w:color="auto"/>
                                <w:left w:val="none" w:sz="0" w:space="0" w:color="auto"/>
                                <w:bottom w:val="none" w:sz="0" w:space="0" w:color="auto"/>
                                <w:right w:val="none" w:sz="0" w:space="0" w:color="auto"/>
                              </w:divBdr>
                              <w:divsChild>
                                <w:div w:id="1748649559">
                                  <w:marLeft w:val="0"/>
                                  <w:marRight w:val="0"/>
                                  <w:marTop w:val="0"/>
                                  <w:marBottom w:val="0"/>
                                  <w:divBdr>
                                    <w:top w:val="none" w:sz="0" w:space="0" w:color="auto"/>
                                    <w:left w:val="none" w:sz="0" w:space="0" w:color="auto"/>
                                    <w:bottom w:val="none" w:sz="0" w:space="0" w:color="auto"/>
                                    <w:right w:val="none" w:sz="0" w:space="0" w:color="auto"/>
                                  </w:divBdr>
                                  <w:divsChild>
                                    <w:div w:id="1025909922">
                                      <w:marLeft w:val="0"/>
                                      <w:marRight w:val="0"/>
                                      <w:marTop w:val="75"/>
                                      <w:marBottom w:val="375"/>
                                      <w:divBdr>
                                        <w:top w:val="none" w:sz="0" w:space="0" w:color="auto"/>
                                        <w:left w:val="none" w:sz="0" w:space="0" w:color="auto"/>
                                        <w:bottom w:val="single" w:sz="6" w:space="11" w:color="E9E9E9"/>
                                        <w:right w:val="none" w:sz="0" w:space="0" w:color="auto"/>
                                      </w:divBdr>
                                      <w:divsChild>
                                        <w:div w:id="823468413">
                                          <w:marLeft w:val="825"/>
                                          <w:marRight w:val="0"/>
                                          <w:marTop w:val="330"/>
                                          <w:marBottom w:val="0"/>
                                          <w:divBdr>
                                            <w:top w:val="none" w:sz="0" w:space="0" w:color="auto"/>
                                            <w:left w:val="none" w:sz="0" w:space="0" w:color="auto"/>
                                            <w:bottom w:val="none" w:sz="0" w:space="0" w:color="auto"/>
                                            <w:right w:val="none" w:sz="0" w:space="0" w:color="auto"/>
                                          </w:divBdr>
                                          <w:divsChild>
                                            <w:div w:id="2029325961">
                                              <w:marLeft w:val="0"/>
                                              <w:marRight w:val="0"/>
                                              <w:marTop w:val="0"/>
                                              <w:marBottom w:val="0"/>
                                              <w:divBdr>
                                                <w:top w:val="none" w:sz="0" w:space="0" w:color="auto"/>
                                                <w:left w:val="none" w:sz="0" w:space="0" w:color="auto"/>
                                                <w:bottom w:val="none" w:sz="0" w:space="0" w:color="auto"/>
                                                <w:right w:val="none" w:sz="0" w:space="0" w:color="auto"/>
                                              </w:divBdr>
                                              <w:divsChild>
                                                <w:div w:id="1962295240">
                                                  <w:marLeft w:val="0"/>
                                                  <w:marRight w:val="0"/>
                                                  <w:marTop w:val="0"/>
                                                  <w:marBottom w:val="0"/>
                                                  <w:divBdr>
                                                    <w:top w:val="none" w:sz="0" w:space="0" w:color="auto"/>
                                                    <w:left w:val="none" w:sz="0" w:space="0" w:color="auto"/>
                                                    <w:bottom w:val="none" w:sz="0" w:space="0" w:color="auto"/>
                                                    <w:right w:val="none" w:sz="0" w:space="0" w:color="auto"/>
                                                  </w:divBdr>
                                                  <w:divsChild>
                                                    <w:div w:id="1356807385">
                                                      <w:marLeft w:val="0"/>
                                                      <w:marRight w:val="0"/>
                                                      <w:marTop w:val="0"/>
                                                      <w:marBottom w:val="0"/>
                                                      <w:divBdr>
                                                        <w:top w:val="none" w:sz="0" w:space="0" w:color="auto"/>
                                                        <w:left w:val="none" w:sz="0" w:space="0" w:color="auto"/>
                                                        <w:bottom w:val="none" w:sz="0" w:space="0" w:color="auto"/>
                                                        <w:right w:val="none" w:sz="0" w:space="0" w:color="auto"/>
                                                      </w:divBdr>
                                                      <w:divsChild>
                                                        <w:div w:id="9663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2004741">
      <w:bodyDiv w:val="1"/>
      <w:marLeft w:val="0"/>
      <w:marRight w:val="0"/>
      <w:marTop w:val="0"/>
      <w:marBottom w:val="0"/>
      <w:divBdr>
        <w:top w:val="none" w:sz="0" w:space="0" w:color="auto"/>
        <w:left w:val="none" w:sz="0" w:space="0" w:color="auto"/>
        <w:bottom w:val="none" w:sz="0" w:space="0" w:color="auto"/>
        <w:right w:val="none" w:sz="0" w:space="0" w:color="auto"/>
      </w:divBdr>
    </w:div>
    <w:div w:id="713967336">
      <w:bodyDiv w:val="1"/>
      <w:marLeft w:val="0"/>
      <w:marRight w:val="0"/>
      <w:marTop w:val="0"/>
      <w:marBottom w:val="0"/>
      <w:divBdr>
        <w:top w:val="none" w:sz="0" w:space="0" w:color="auto"/>
        <w:left w:val="none" w:sz="0" w:space="0" w:color="auto"/>
        <w:bottom w:val="none" w:sz="0" w:space="0" w:color="auto"/>
        <w:right w:val="none" w:sz="0" w:space="0" w:color="auto"/>
      </w:divBdr>
    </w:div>
    <w:div w:id="760419587">
      <w:bodyDiv w:val="1"/>
      <w:marLeft w:val="0"/>
      <w:marRight w:val="0"/>
      <w:marTop w:val="0"/>
      <w:marBottom w:val="0"/>
      <w:divBdr>
        <w:top w:val="none" w:sz="0" w:space="0" w:color="auto"/>
        <w:left w:val="none" w:sz="0" w:space="0" w:color="auto"/>
        <w:bottom w:val="none" w:sz="0" w:space="0" w:color="auto"/>
        <w:right w:val="none" w:sz="0" w:space="0" w:color="auto"/>
      </w:divBdr>
    </w:div>
    <w:div w:id="1229337883">
      <w:bodyDiv w:val="1"/>
      <w:marLeft w:val="0"/>
      <w:marRight w:val="0"/>
      <w:marTop w:val="0"/>
      <w:marBottom w:val="0"/>
      <w:divBdr>
        <w:top w:val="none" w:sz="0" w:space="0" w:color="auto"/>
        <w:left w:val="none" w:sz="0" w:space="0" w:color="auto"/>
        <w:bottom w:val="none" w:sz="0" w:space="0" w:color="auto"/>
        <w:right w:val="none" w:sz="0" w:space="0" w:color="auto"/>
      </w:divBdr>
    </w:div>
    <w:div w:id="1241525493">
      <w:bodyDiv w:val="1"/>
      <w:marLeft w:val="0"/>
      <w:marRight w:val="0"/>
      <w:marTop w:val="0"/>
      <w:marBottom w:val="0"/>
      <w:divBdr>
        <w:top w:val="none" w:sz="0" w:space="0" w:color="auto"/>
        <w:left w:val="none" w:sz="0" w:space="0" w:color="auto"/>
        <w:bottom w:val="none" w:sz="0" w:space="0" w:color="auto"/>
        <w:right w:val="none" w:sz="0" w:space="0" w:color="auto"/>
      </w:divBdr>
    </w:div>
    <w:div w:id="1411149905">
      <w:bodyDiv w:val="1"/>
      <w:marLeft w:val="0"/>
      <w:marRight w:val="0"/>
      <w:marTop w:val="0"/>
      <w:marBottom w:val="0"/>
      <w:divBdr>
        <w:top w:val="none" w:sz="0" w:space="0" w:color="auto"/>
        <w:left w:val="none" w:sz="0" w:space="0" w:color="auto"/>
        <w:bottom w:val="none" w:sz="0" w:space="0" w:color="auto"/>
        <w:right w:val="none" w:sz="0" w:space="0" w:color="auto"/>
      </w:divBdr>
    </w:div>
    <w:div w:id="1580990613">
      <w:bodyDiv w:val="1"/>
      <w:marLeft w:val="0"/>
      <w:marRight w:val="0"/>
      <w:marTop w:val="0"/>
      <w:marBottom w:val="0"/>
      <w:divBdr>
        <w:top w:val="none" w:sz="0" w:space="0" w:color="auto"/>
        <w:left w:val="none" w:sz="0" w:space="0" w:color="auto"/>
        <w:bottom w:val="none" w:sz="0" w:space="0" w:color="auto"/>
        <w:right w:val="none" w:sz="0" w:space="0" w:color="auto"/>
      </w:divBdr>
    </w:div>
    <w:div w:id="1889563961">
      <w:bodyDiv w:val="1"/>
      <w:marLeft w:val="0"/>
      <w:marRight w:val="0"/>
      <w:marTop w:val="0"/>
      <w:marBottom w:val="0"/>
      <w:divBdr>
        <w:top w:val="none" w:sz="0" w:space="0" w:color="auto"/>
        <w:left w:val="none" w:sz="0" w:space="0" w:color="auto"/>
        <w:bottom w:val="none" w:sz="0" w:space="0" w:color="auto"/>
        <w:right w:val="none" w:sz="0" w:space="0" w:color="auto"/>
      </w:divBdr>
    </w:div>
    <w:div w:id="2084449282">
      <w:bodyDiv w:val="1"/>
      <w:marLeft w:val="0"/>
      <w:marRight w:val="0"/>
      <w:marTop w:val="0"/>
      <w:marBottom w:val="0"/>
      <w:divBdr>
        <w:top w:val="none" w:sz="0" w:space="0" w:color="auto"/>
        <w:left w:val="none" w:sz="0" w:space="0" w:color="auto"/>
        <w:bottom w:val="none" w:sz="0" w:space="0" w:color="auto"/>
        <w:right w:val="none" w:sz="0" w:space="0" w:color="auto"/>
      </w:divBdr>
      <w:divsChild>
        <w:div w:id="1721899820">
          <w:marLeft w:val="0"/>
          <w:marRight w:val="0"/>
          <w:marTop w:val="0"/>
          <w:marBottom w:val="0"/>
          <w:divBdr>
            <w:top w:val="none" w:sz="0" w:space="0" w:color="auto"/>
            <w:left w:val="none" w:sz="0" w:space="0" w:color="auto"/>
            <w:bottom w:val="none" w:sz="0" w:space="0" w:color="auto"/>
            <w:right w:val="none" w:sz="0" w:space="0" w:color="auto"/>
          </w:divBdr>
          <w:divsChild>
            <w:div w:id="1485704502">
              <w:marLeft w:val="0"/>
              <w:marRight w:val="0"/>
              <w:marTop w:val="0"/>
              <w:marBottom w:val="0"/>
              <w:divBdr>
                <w:top w:val="none" w:sz="0" w:space="0" w:color="auto"/>
                <w:left w:val="none" w:sz="0" w:space="0" w:color="auto"/>
                <w:bottom w:val="none" w:sz="0" w:space="0" w:color="auto"/>
                <w:right w:val="none" w:sz="0" w:space="0" w:color="auto"/>
              </w:divBdr>
              <w:divsChild>
                <w:div w:id="886917784">
                  <w:marLeft w:val="0"/>
                  <w:marRight w:val="0"/>
                  <w:marTop w:val="0"/>
                  <w:marBottom w:val="0"/>
                  <w:divBdr>
                    <w:top w:val="none" w:sz="0" w:space="0" w:color="auto"/>
                    <w:left w:val="none" w:sz="0" w:space="0" w:color="auto"/>
                    <w:bottom w:val="none" w:sz="0" w:space="0" w:color="auto"/>
                    <w:right w:val="none" w:sz="0" w:space="0" w:color="auto"/>
                  </w:divBdr>
                  <w:divsChild>
                    <w:div w:id="309754927">
                      <w:marLeft w:val="0"/>
                      <w:marRight w:val="0"/>
                      <w:marTop w:val="0"/>
                      <w:marBottom w:val="240"/>
                      <w:divBdr>
                        <w:top w:val="none" w:sz="0" w:space="0" w:color="auto"/>
                        <w:left w:val="none" w:sz="0" w:space="0" w:color="auto"/>
                        <w:bottom w:val="none" w:sz="0" w:space="0" w:color="auto"/>
                        <w:right w:val="none" w:sz="0" w:space="0" w:color="auto"/>
                      </w:divBdr>
                      <w:divsChild>
                        <w:div w:id="1012417895">
                          <w:marLeft w:val="0"/>
                          <w:marRight w:val="0"/>
                          <w:marTop w:val="0"/>
                          <w:marBottom w:val="0"/>
                          <w:divBdr>
                            <w:top w:val="none" w:sz="0" w:space="0" w:color="auto"/>
                            <w:left w:val="none" w:sz="0" w:space="0" w:color="auto"/>
                            <w:bottom w:val="none" w:sz="0" w:space="0" w:color="auto"/>
                            <w:right w:val="none" w:sz="0" w:space="0" w:color="auto"/>
                          </w:divBdr>
                          <w:divsChild>
                            <w:div w:id="1625380001">
                              <w:marLeft w:val="0"/>
                              <w:marRight w:val="0"/>
                              <w:marTop w:val="0"/>
                              <w:marBottom w:val="0"/>
                              <w:divBdr>
                                <w:top w:val="none" w:sz="0" w:space="0" w:color="auto"/>
                                <w:left w:val="none" w:sz="0" w:space="0" w:color="auto"/>
                                <w:bottom w:val="none" w:sz="0" w:space="0" w:color="auto"/>
                                <w:right w:val="none" w:sz="0" w:space="0" w:color="auto"/>
                              </w:divBdr>
                              <w:divsChild>
                                <w:div w:id="964122779">
                                  <w:marLeft w:val="0"/>
                                  <w:marRight w:val="0"/>
                                  <w:marTop w:val="0"/>
                                  <w:marBottom w:val="0"/>
                                  <w:divBdr>
                                    <w:top w:val="none" w:sz="0" w:space="0" w:color="auto"/>
                                    <w:left w:val="none" w:sz="0" w:space="0" w:color="auto"/>
                                    <w:bottom w:val="none" w:sz="0" w:space="0" w:color="auto"/>
                                    <w:right w:val="none" w:sz="0" w:space="0" w:color="auto"/>
                                  </w:divBdr>
                                  <w:divsChild>
                                    <w:div w:id="1401322439">
                                      <w:marLeft w:val="0"/>
                                      <w:marRight w:val="0"/>
                                      <w:marTop w:val="0"/>
                                      <w:marBottom w:val="0"/>
                                      <w:divBdr>
                                        <w:top w:val="none" w:sz="0" w:space="0" w:color="auto"/>
                                        <w:left w:val="none" w:sz="0" w:space="0" w:color="auto"/>
                                        <w:bottom w:val="none" w:sz="0" w:space="0" w:color="auto"/>
                                        <w:right w:val="none" w:sz="0" w:space="0" w:color="auto"/>
                                      </w:divBdr>
                                      <w:divsChild>
                                        <w:div w:id="683017532">
                                          <w:marLeft w:val="0"/>
                                          <w:marRight w:val="0"/>
                                          <w:marTop w:val="0"/>
                                          <w:marBottom w:val="0"/>
                                          <w:divBdr>
                                            <w:top w:val="none" w:sz="0" w:space="0" w:color="auto"/>
                                            <w:left w:val="none" w:sz="0" w:space="0" w:color="auto"/>
                                            <w:bottom w:val="none" w:sz="0" w:space="0" w:color="auto"/>
                                            <w:right w:val="none" w:sz="0" w:space="0" w:color="auto"/>
                                          </w:divBdr>
                                          <w:divsChild>
                                            <w:div w:id="1961641229">
                                              <w:marLeft w:val="0"/>
                                              <w:marRight w:val="0"/>
                                              <w:marTop w:val="0"/>
                                              <w:marBottom w:val="0"/>
                                              <w:divBdr>
                                                <w:top w:val="none" w:sz="0" w:space="0" w:color="auto"/>
                                                <w:left w:val="none" w:sz="0" w:space="0" w:color="auto"/>
                                                <w:bottom w:val="none" w:sz="0" w:space="0" w:color="auto"/>
                                                <w:right w:val="none" w:sz="0" w:space="0" w:color="auto"/>
                                              </w:divBdr>
                                              <w:divsChild>
                                                <w:div w:id="323629860">
                                                  <w:marLeft w:val="0"/>
                                                  <w:marRight w:val="0"/>
                                                  <w:marTop w:val="0"/>
                                                  <w:marBottom w:val="0"/>
                                                  <w:divBdr>
                                                    <w:top w:val="none" w:sz="0" w:space="0" w:color="auto"/>
                                                    <w:left w:val="none" w:sz="0" w:space="0" w:color="auto"/>
                                                    <w:bottom w:val="none" w:sz="0" w:space="0" w:color="auto"/>
                                                    <w:right w:val="none" w:sz="0" w:space="0" w:color="auto"/>
                                                  </w:divBdr>
                                                  <w:divsChild>
                                                    <w:div w:id="44106556">
                                                      <w:marLeft w:val="0"/>
                                                      <w:marRight w:val="0"/>
                                                      <w:marTop w:val="0"/>
                                                      <w:marBottom w:val="0"/>
                                                      <w:divBdr>
                                                        <w:top w:val="none" w:sz="0" w:space="0" w:color="auto"/>
                                                        <w:left w:val="none" w:sz="0" w:space="0" w:color="auto"/>
                                                        <w:bottom w:val="none" w:sz="0" w:space="0" w:color="auto"/>
                                                        <w:right w:val="none" w:sz="0" w:space="0" w:color="auto"/>
                                                      </w:divBdr>
                                                      <w:divsChild>
                                                        <w:div w:id="724254918">
                                                          <w:marLeft w:val="0"/>
                                                          <w:marRight w:val="0"/>
                                                          <w:marTop w:val="0"/>
                                                          <w:marBottom w:val="0"/>
                                                          <w:divBdr>
                                                            <w:top w:val="none" w:sz="0" w:space="0" w:color="auto"/>
                                                            <w:left w:val="none" w:sz="0" w:space="0" w:color="auto"/>
                                                            <w:bottom w:val="none" w:sz="0" w:space="0" w:color="auto"/>
                                                            <w:right w:val="none" w:sz="0" w:space="0" w:color="auto"/>
                                                          </w:divBdr>
                                                          <w:divsChild>
                                                            <w:div w:id="1558204679">
                                                              <w:marLeft w:val="0"/>
                                                              <w:marRight w:val="0"/>
                                                              <w:marTop w:val="0"/>
                                                              <w:marBottom w:val="0"/>
                                                              <w:divBdr>
                                                                <w:top w:val="none" w:sz="0" w:space="0" w:color="auto"/>
                                                                <w:left w:val="none" w:sz="0" w:space="0" w:color="auto"/>
                                                                <w:bottom w:val="none" w:sz="0" w:space="0" w:color="auto"/>
                                                                <w:right w:val="none" w:sz="0" w:space="0" w:color="auto"/>
                                                              </w:divBdr>
                                                              <w:divsChild>
                                                                <w:div w:id="1419254772">
                                                                  <w:marLeft w:val="0"/>
                                                                  <w:marRight w:val="0"/>
                                                                  <w:marTop w:val="0"/>
                                                                  <w:marBottom w:val="0"/>
                                                                  <w:divBdr>
                                                                    <w:top w:val="none" w:sz="0" w:space="0" w:color="auto"/>
                                                                    <w:left w:val="none" w:sz="0" w:space="0" w:color="auto"/>
                                                                    <w:bottom w:val="none" w:sz="0" w:space="0" w:color="auto"/>
                                                                    <w:right w:val="none" w:sz="0" w:space="0" w:color="auto"/>
                                                                  </w:divBdr>
                                                                  <w:divsChild>
                                                                    <w:div w:id="1467166472">
                                                                      <w:marLeft w:val="0"/>
                                                                      <w:marRight w:val="0"/>
                                                                      <w:marTop w:val="0"/>
                                                                      <w:marBottom w:val="0"/>
                                                                      <w:divBdr>
                                                                        <w:top w:val="none" w:sz="0" w:space="0" w:color="auto"/>
                                                                        <w:left w:val="none" w:sz="0" w:space="0" w:color="auto"/>
                                                                        <w:bottom w:val="none" w:sz="0" w:space="0" w:color="auto"/>
                                                                        <w:right w:val="none" w:sz="0" w:space="0" w:color="auto"/>
                                                                      </w:divBdr>
                                                                      <w:divsChild>
                                                                        <w:div w:id="2115318283">
                                                                          <w:marLeft w:val="0"/>
                                                                          <w:marRight w:val="0"/>
                                                                          <w:marTop w:val="0"/>
                                                                          <w:marBottom w:val="0"/>
                                                                          <w:divBdr>
                                                                            <w:top w:val="none" w:sz="0" w:space="0" w:color="auto"/>
                                                                            <w:left w:val="none" w:sz="0" w:space="0" w:color="auto"/>
                                                                            <w:bottom w:val="none" w:sz="0" w:space="0" w:color="auto"/>
                                                                            <w:right w:val="none" w:sz="0" w:space="0" w:color="auto"/>
                                                                          </w:divBdr>
                                                                          <w:divsChild>
                                                                            <w:div w:id="1493449333">
                                                                              <w:marLeft w:val="0"/>
                                                                              <w:marRight w:val="0"/>
                                                                              <w:marTop w:val="0"/>
                                                                              <w:marBottom w:val="0"/>
                                                                              <w:divBdr>
                                                                                <w:top w:val="none" w:sz="0" w:space="0" w:color="auto"/>
                                                                                <w:left w:val="none" w:sz="0" w:space="0" w:color="auto"/>
                                                                                <w:bottom w:val="none" w:sz="0" w:space="0" w:color="auto"/>
                                                                                <w:right w:val="none" w:sz="0" w:space="0" w:color="auto"/>
                                                                              </w:divBdr>
                                                                            </w:div>
                                                                            <w:div w:id="992221406">
                                                                              <w:marLeft w:val="0"/>
                                                                              <w:marRight w:val="0"/>
                                                                              <w:marTop w:val="0"/>
                                                                              <w:marBottom w:val="0"/>
                                                                              <w:divBdr>
                                                                                <w:top w:val="none" w:sz="0" w:space="0" w:color="auto"/>
                                                                                <w:left w:val="none" w:sz="0" w:space="0" w:color="auto"/>
                                                                                <w:bottom w:val="none" w:sz="0" w:space="0" w:color="auto"/>
                                                                                <w:right w:val="none" w:sz="0" w:space="0" w:color="auto"/>
                                                                              </w:divBdr>
                                                                              <w:divsChild>
                                                                                <w:div w:id="551431319">
                                                                                  <w:marLeft w:val="0"/>
                                                                                  <w:marRight w:val="0"/>
                                                                                  <w:marTop w:val="0"/>
                                                                                  <w:marBottom w:val="0"/>
                                                                                  <w:divBdr>
                                                                                    <w:top w:val="none" w:sz="0" w:space="0" w:color="auto"/>
                                                                                    <w:left w:val="none" w:sz="0" w:space="0" w:color="auto"/>
                                                                                    <w:bottom w:val="none" w:sz="0" w:space="0" w:color="auto"/>
                                                                                    <w:right w:val="none" w:sz="0" w:space="0" w:color="auto"/>
                                                                                  </w:divBdr>
                                                                                  <w:divsChild>
                                                                                    <w:div w:id="738940208">
                                                                                      <w:marLeft w:val="0"/>
                                                                                      <w:marRight w:val="0"/>
                                                                                      <w:marTop w:val="0"/>
                                                                                      <w:marBottom w:val="0"/>
                                                                                      <w:divBdr>
                                                                                        <w:top w:val="none" w:sz="0" w:space="0" w:color="auto"/>
                                                                                        <w:left w:val="none" w:sz="0" w:space="0" w:color="auto"/>
                                                                                        <w:bottom w:val="none" w:sz="0" w:space="0" w:color="auto"/>
                                                                                        <w:right w:val="none" w:sz="0" w:space="0" w:color="auto"/>
                                                                                      </w:divBdr>
                                                                                    </w:div>
                                                                                  </w:divsChild>
                                                                                </w:div>
                                                                                <w:div w:id="1630278949">
                                                                                  <w:marLeft w:val="0"/>
                                                                                  <w:marRight w:val="0"/>
                                                                                  <w:marTop w:val="0"/>
                                                                                  <w:marBottom w:val="0"/>
                                                                                  <w:divBdr>
                                                                                    <w:top w:val="none" w:sz="0" w:space="0" w:color="auto"/>
                                                                                    <w:left w:val="none" w:sz="0" w:space="0" w:color="auto"/>
                                                                                    <w:bottom w:val="none" w:sz="0" w:space="0" w:color="auto"/>
                                                                                    <w:right w:val="none" w:sz="0" w:space="0" w:color="auto"/>
                                                                                  </w:divBdr>
                                                                                  <w:divsChild>
                                                                                    <w:div w:id="8392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odi.org/sites/odi.org.uk/files/odi-assets/publications-opinion-files/9886.pdf" TargetMode="External"/><Relationship Id="rId2" Type="http://schemas.openxmlformats.org/officeDocument/2006/relationships/hyperlink" Target="http://hdr.undp.org/en/composite/GII" TargetMode="External"/><Relationship Id="rId1" Type="http://schemas.openxmlformats.org/officeDocument/2006/relationships/hyperlink" Target="http://www.pcabii.org/resources/newsletter/2016/PCaB%20Issue%20No%20%208.pdf" TargetMode="External"/><Relationship Id="rId6" Type="http://schemas.openxmlformats.org/officeDocument/2006/relationships/hyperlink" Target="https://en.wikipedia.org/wiki/Society_for_Conservation_Biology" TargetMode="External"/><Relationship Id="rId5" Type="http://schemas.openxmlformats.org/officeDocument/2006/relationships/hyperlink" Target="https://en.wikipedia.org/wiki/Conservation_Biology_%28journal%29" TargetMode="External"/><Relationship Id="rId4" Type="http://schemas.openxmlformats.org/officeDocument/2006/relationships/hyperlink" Target="http://www.treasury.gov.pg/html/publications/files/pub_files/2011/2011.png.vision.2050.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5e84800-ff9a-43bb-bb7e-6161dfe90000">KKKATZMDSDUY-96-283</_dlc_DocId>
    <_dlc_DocIdUrl xmlns="05e84800-ff9a-43bb-bb7e-6161dfe90000">
      <Url>https://intranet.undp.org/unit/bpps/DI/CPDs/_layouts/15/DocIdRedir.aspx?ID=KKKATZMDSDUY-96-283</Url>
      <Description>KKKATZMDSDUY-96-283</Description>
    </_dlc_DocIdUrl>
    <Years xmlns="2d5f716b-b52a-4ee0-a811-6b2cc631bd0b">2018-2022</Yea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071905AED9CB45BA4149E3D72A32E2" ma:contentTypeVersion="1" ma:contentTypeDescription="Create a new document." ma:contentTypeScope="" ma:versionID="f9a99f5d4d551b70a107d01b16d9f4da">
  <xsd:schema xmlns:xsd="http://www.w3.org/2001/XMLSchema" xmlns:xs="http://www.w3.org/2001/XMLSchema" xmlns:p="http://schemas.microsoft.com/office/2006/metadata/properties" xmlns:ns2="2d5f716b-b52a-4ee0-a811-6b2cc631bd0b" xmlns:ns3="05e84800-ff9a-43bb-bb7e-6161dfe90000" targetNamespace="http://schemas.microsoft.com/office/2006/metadata/properties" ma:root="true" ma:fieldsID="ec99c671dc2aa336c1ae248f85e86fd8" ns2:_="" ns3:_="">
    <xsd:import namespace="2d5f716b-b52a-4ee0-a811-6b2cc631bd0b"/>
    <xsd:import namespace="05e84800-ff9a-43bb-bb7e-6161dfe90000"/>
    <xsd:element name="properties">
      <xsd:complexType>
        <xsd:sequence>
          <xsd:element name="documentManagement">
            <xsd:complexType>
              <xsd:all>
                <xsd:element ref="ns2:Year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f716b-b52a-4ee0-a811-6b2cc631bd0b" elementFormDefault="qualified">
    <xsd:import namespace="http://schemas.microsoft.com/office/2006/documentManagement/types"/>
    <xsd:import namespace="http://schemas.microsoft.com/office/infopath/2007/PartnerControls"/>
    <xsd:element name="Years" ma:index="8" nillable="true" ma:displayName="Years" ma:internalName="Yea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e84800-ff9a-43bb-bb7e-6161dfe90000"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untry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3C48D-7F62-4D2D-8219-0D81AFFED2D0}">
  <ds:schemaRefs>
    <ds:schemaRef ds:uri="http://schemas.microsoft.com/office/2006/metadata/properties"/>
    <ds:schemaRef ds:uri="http://schemas.microsoft.com/office/infopath/2007/PartnerControls"/>
    <ds:schemaRef ds:uri="05e84800-ff9a-43bb-bb7e-6161dfe90000"/>
    <ds:schemaRef ds:uri="2d5f716b-b52a-4ee0-a811-6b2cc631bd0b"/>
  </ds:schemaRefs>
</ds:datastoreItem>
</file>

<file path=customXml/itemProps2.xml><?xml version="1.0" encoding="utf-8"?>
<ds:datastoreItem xmlns:ds="http://schemas.openxmlformats.org/officeDocument/2006/customXml" ds:itemID="{3D1B8F7B-BA39-44ED-8DCD-42BF9FAEB5EA}">
  <ds:schemaRefs>
    <ds:schemaRef ds:uri="http://schemas.microsoft.com/sharepoint/v3/contenttype/forms"/>
  </ds:schemaRefs>
</ds:datastoreItem>
</file>

<file path=customXml/itemProps3.xml><?xml version="1.0" encoding="utf-8"?>
<ds:datastoreItem xmlns:ds="http://schemas.openxmlformats.org/officeDocument/2006/customXml" ds:itemID="{24CD4993-E7BA-4085-9FF0-6EDC2A77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f716b-b52a-4ee0-a811-6b2cc631bd0b"/>
    <ds:schemaRef ds:uri="05e84800-ff9a-43bb-bb7e-6161dfe900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3363E0-2834-46EC-8412-13F353C5555A}">
  <ds:schemaRefs>
    <ds:schemaRef ds:uri="http://schemas.microsoft.com/sharepoint/events"/>
  </ds:schemaRefs>
</ds:datastoreItem>
</file>

<file path=customXml/itemProps5.xml><?xml version="1.0" encoding="utf-8"?>
<ds:datastoreItem xmlns:ds="http://schemas.openxmlformats.org/officeDocument/2006/customXml" ds:itemID="{201EEBEB-5D88-4A18-BCB2-1379AE7F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6117</Words>
  <Characters>34871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Papua New Guinea </vt:lpstr>
    </vt:vector>
  </TitlesOfParts>
  <Company>Microsoft</Company>
  <LinksUpToDate>false</LinksUpToDate>
  <CharactersWithSpaces>40907</CharactersWithSpaces>
  <SharedDoc>false</SharedDoc>
  <HLinks>
    <vt:vector size="12" baseType="variant">
      <vt:variant>
        <vt:i4>18</vt:i4>
      </vt:variant>
      <vt:variant>
        <vt:i4>3</vt:i4>
      </vt:variant>
      <vt:variant>
        <vt:i4>0</vt:i4>
      </vt:variant>
      <vt:variant>
        <vt:i4>5</vt:i4>
      </vt:variant>
      <vt:variant>
        <vt:lpwstr>http://www.un.org/sc/committees/1267/aq_sanctions_list.shtml</vt:lpwstr>
      </vt:variant>
      <vt:variant>
        <vt:lpwstr/>
      </vt:variant>
      <vt:variant>
        <vt:i4>18</vt:i4>
      </vt:variant>
      <vt:variant>
        <vt:i4>0</vt:i4>
      </vt:variant>
      <vt:variant>
        <vt:i4>0</vt:i4>
      </vt:variant>
      <vt:variant>
        <vt:i4>5</vt:i4>
      </vt:variant>
      <vt:variant>
        <vt:lpwstr>http://www.un.org/sc/committees/1267/aq_sanctions_list.shtml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Papua New Guinea</dc:title>
  <dc:creator>John Magoha</dc:creator>
  <cp:lastModifiedBy>Abdul Riza</cp:lastModifiedBy>
  <cp:revision>2</cp:revision>
  <cp:lastPrinted>2017-05-19T13:28:00Z</cp:lastPrinted>
  <dcterms:created xsi:type="dcterms:W3CDTF">2018-02-19T19:16:00Z</dcterms:created>
  <dcterms:modified xsi:type="dcterms:W3CDTF">2018-02-19T19:16:00Z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0x0101006B071905AED9CB45BA4149E3D72A32E2</vt:lpwstr>
  </property>
  <property fmtid="{D5CDD505-2E9C-101B-9397-08002B2CF9AE}" pid="3" name="_dlc_DocIdItemGuid">
    <vt:lpwstr>9593b277-3b6a-4eb7-9960-4d15b06f3671</vt:lpwstr>
  </property>
</Properties>
</file>