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4.xml" ContentType="application/vnd.openxmlformats-officedocument.wordprocessingml.head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5.xml" ContentType="application/vnd.openxmlformats-officedocument.wordprocessingml.header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6261C" w14:textId="77777777" w:rsidR="007E3F70" w:rsidRPr="007E3F70" w:rsidRDefault="007E3F70" w:rsidP="007E3F70">
      <w:pPr>
        <w:tabs>
          <w:tab w:val="left" w:pos="1620"/>
          <w:tab w:val="left" w:pos="8640"/>
          <w:tab w:val="left" w:pos="8820"/>
          <w:tab w:val="left" w:pos="9180"/>
        </w:tabs>
        <w:ind w:hanging="1080"/>
        <w:rPr>
          <w:b/>
          <w:bCs/>
          <w:color w:val="000000"/>
          <w:lang w:val="en-GB" w:eastAsia="fr-FR"/>
        </w:rPr>
      </w:pPr>
      <w:r w:rsidRPr="007E3F70">
        <w:rPr>
          <w:b/>
          <w:bCs/>
          <w:color w:val="000000"/>
          <w:lang w:val="en-GB" w:eastAsia="fr-FR"/>
        </w:rPr>
        <w:t>Second regular session 2017</w:t>
      </w:r>
    </w:p>
    <w:p w14:paraId="3E90EFE4" w14:textId="77777777" w:rsidR="007E3F70" w:rsidRPr="007E3F70" w:rsidRDefault="007E3F70" w:rsidP="007E3F70">
      <w:pPr>
        <w:tabs>
          <w:tab w:val="left" w:pos="1620"/>
        </w:tabs>
        <w:ind w:hanging="1080"/>
        <w:rPr>
          <w:bCs/>
          <w:color w:val="000000"/>
          <w:lang w:val="en-GB" w:eastAsia="fr-FR"/>
        </w:rPr>
      </w:pPr>
      <w:r w:rsidRPr="007E3F70">
        <w:rPr>
          <w:bCs/>
          <w:color w:val="000000"/>
          <w:lang w:val="en-GB" w:eastAsia="fr-FR"/>
        </w:rPr>
        <w:t>5 - 11 September 2017, New York</w:t>
      </w:r>
    </w:p>
    <w:p w14:paraId="594FD0FF" w14:textId="4865CF99" w:rsidR="007E3F70" w:rsidRPr="007E3F70" w:rsidRDefault="007E3F70" w:rsidP="007E3F70">
      <w:pPr>
        <w:tabs>
          <w:tab w:val="left" w:pos="1620"/>
        </w:tabs>
        <w:ind w:hanging="1080"/>
        <w:rPr>
          <w:bCs/>
          <w:color w:val="000000"/>
          <w:lang w:val="en-GB" w:eastAsia="fr-FR"/>
        </w:rPr>
      </w:pPr>
      <w:r w:rsidRPr="007E3F70">
        <w:rPr>
          <w:bCs/>
          <w:color w:val="000000"/>
          <w:lang w:val="en-GB" w:eastAsia="fr-FR"/>
        </w:rPr>
        <w:t xml:space="preserve">Item </w:t>
      </w:r>
      <w:r w:rsidR="00380D55">
        <w:rPr>
          <w:bCs/>
          <w:color w:val="000000"/>
          <w:lang w:val="en-GB" w:eastAsia="fr-FR"/>
        </w:rPr>
        <w:t>6</w:t>
      </w:r>
      <w:r w:rsidRPr="007E3F70">
        <w:rPr>
          <w:bCs/>
          <w:color w:val="000000"/>
          <w:lang w:val="en-GB" w:eastAsia="fr-FR"/>
        </w:rPr>
        <w:t xml:space="preserve"> of the provisional agenda</w:t>
      </w:r>
    </w:p>
    <w:p w14:paraId="6611B84D" w14:textId="77777777" w:rsidR="007E3F70" w:rsidRPr="007E3F70" w:rsidRDefault="007E3F70" w:rsidP="007E3F70">
      <w:pPr>
        <w:tabs>
          <w:tab w:val="left" w:pos="1620"/>
        </w:tabs>
        <w:ind w:hanging="1080"/>
        <w:rPr>
          <w:b/>
          <w:bCs/>
          <w:color w:val="000000"/>
          <w:lang w:val="en-GB" w:eastAsia="fr-FR"/>
        </w:rPr>
      </w:pPr>
      <w:r w:rsidRPr="007E3F70">
        <w:rPr>
          <w:b/>
          <w:bCs/>
          <w:color w:val="000000"/>
          <w:lang w:val="en-GB" w:eastAsia="fr-FR"/>
        </w:rPr>
        <w:t>Country programmes and related matters</w:t>
      </w:r>
    </w:p>
    <w:p w14:paraId="50D850DE" w14:textId="77777777" w:rsidR="007E3F70" w:rsidRPr="007E3F70" w:rsidRDefault="007E3F70" w:rsidP="007E3F70">
      <w:pPr>
        <w:tabs>
          <w:tab w:val="left" w:pos="1620"/>
        </w:tabs>
        <w:ind w:hanging="1080"/>
        <w:rPr>
          <w:b/>
          <w:color w:val="000000"/>
          <w:sz w:val="28"/>
          <w:szCs w:val="28"/>
          <w:lang w:val="en-GB" w:eastAsia="fr-FR"/>
        </w:rPr>
      </w:pPr>
    </w:p>
    <w:p w14:paraId="15A327E6" w14:textId="77777777" w:rsidR="007E3F70" w:rsidRPr="007E3F70" w:rsidRDefault="007E3F70" w:rsidP="007E3F70">
      <w:pPr>
        <w:tabs>
          <w:tab w:val="left" w:pos="1620"/>
        </w:tabs>
        <w:ind w:right="-360" w:hanging="1080"/>
        <w:rPr>
          <w:b/>
          <w:bCs/>
          <w:color w:val="000000"/>
          <w:sz w:val="32"/>
          <w:szCs w:val="32"/>
          <w:lang w:val="en-GB" w:eastAsia="fr-FR"/>
        </w:rPr>
      </w:pPr>
    </w:p>
    <w:p w14:paraId="2F3E4E77" w14:textId="75CC9C65" w:rsidR="007E3F70" w:rsidRPr="007E3F70" w:rsidRDefault="009A59C7" w:rsidP="007E3F70">
      <w:pPr>
        <w:tabs>
          <w:tab w:val="left" w:pos="1620"/>
        </w:tabs>
        <w:ind w:right="-360" w:hanging="1080"/>
        <w:rPr>
          <w:b/>
          <w:color w:val="000000"/>
          <w:sz w:val="32"/>
          <w:szCs w:val="32"/>
          <w:lang w:val="en-GB" w:eastAsia="fr-FR"/>
        </w:rPr>
      </w:pPr>
      <w:bookmarkStart w:id="0" w:name="_GoBack"/>
      <w:r>
        <w:rPr>
          <w:b/>
          <w:bCs/>
          <w:color w:val="000000"/>
          <w:sz w:val="32"/>
          <w:szCs w:val="32"/>
          <w:lang w:val="en-GB" w:eastAsia="fr-FR"/>
        </w:rPr>
        <w:t>C</w:t>
      </w:r>
      <w:r w:rsidR="007E3F70" w:rsidRPr="007E3F70">
        <w:rPr>
          <w:b/>
          <w:bCs/>
          <w:color w:val="000000"/>
          <w:sz w:val="32"/>
          <w:szCs w:val="32"/>
          <w:lang w:val="en-GB" w:eastAsia="fr-FR"/>
        </w:rPr>
        <w:t xml:space="preserve">ountry programme document for </w:t>
      </w:r>
      <w:r w:rsidR="007E3F70">
        <w:rPr>
          <w:b/>
          <w:bCs/>
          <w:color w:val="000000"/>
          <w:sz w:val="32"/>
          <w:szCs w:val="32"/>
          <w:lang w:val="en-GB" w:eastAsia="fr-FR"/>
        </w:rPr>
        <w:t>Ukraine</w:t>
      </w:r>
      <w:r w:rsidR="007E3F70" w:rsidRPr="007E3F70">
        <w:rPr>
          <w:b/>
          <w:bCs/>
          <w:color w:val="000000"/>
          <w:sz w:val="32"/>
          <w:szCs w:val="32"/>
          <w:lang w:val="en-GB" w:eastAsia="fr-FR"/>
        </w:rPr>
        <w:t xml:space="preserve"> (2018-2022)</w:t>
      </w:r>
    </w:p>
    <w:bookmarkEnd w:id="0"/>
    <w:p w14:paraId="0454EFA5" w14:textId="77777777" w:rsidR="007E3F70" w:rsidRPr="007E3F70" w:rsidRDefault="007E3F70" w:rsidP="007E3F70">
      <w:pPr>
        <w:tabs>
          <w:tab w:val="left" w:pos="1620"/>
        </w:tabs>
        <w:ind w:left="-720" w:right="328" w:firstLine="990"/>
        <w:rPr>
          <w:color w:val="000000"/>
          <w:sz w:val="32"/>
          <w:szCs w:val="32"/>
          <w:lang w:val="en-GB" w:eastAsia="fr-FR"/>
        </w:rPr>
      </w:pPr>
    </w:p>
    <w:p w14:paraId="497A3A33" w14:textId="77777777" w:rsidR="007E3F70" w:rsidRPr="007E3F70" w:rsidRDefault="007E3F70" w:rsidP="007E3F70">
      <w:pPr>
        <w:tabs>
          <w:tab w:val="left" w:pos="1620"/>
        </w:tabs>
        <w:ind w:left="-720" w:right="328" w:firstLine="990"/>
        <w:rPr>
          <w:color w:val="000000"/>
          <w:lang w:val="en-GB" w:eastAsia="fr-FR"/>
        </w:rPr>
      </w:pPr>
    </w:p>
    <w:p w14:paraId="71178546" w14:textId="77777777" w:rsidR="007E3F70" w:rsidRPr="007E3F70" w:rsidRDefault="007E3F70" w:rsidP="007E3F70">
      <w:pPr>
        <w:keepNext/>
        <w:keepLines/>
        <w:tabs>
          <w:tab w:val="right" w:pos="1022"/>
          <w:tab w:val="left" w:pos="1267"/>
          <w:tab w:val="left" w:pos="1620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suppressAutoHyphens/>
        <w:spacing w:after="120" w:line="300" w:lineRule="exact"/>
        <w:ind w:left="-720" w:right="328" w:hanging="180"/>
        <w:outlineLvl w:val="0"/>
        <w:rPr>
          <w:color w:val="000000"/>
          <w:spacing w:val="-2"/>
          <w:w w:val="103"/>
          <w:kern w:val="14"/>
          <w:sz w:val="28"/>
          <w:lang w:val="en-GB" w:eastAsia="fr-FR"/>
        </w:rPr>
      </w:pPr>
      <w:r w:rsidRPr="007E3F70">
        <w:rPr>
          <w:color w:val="000000"/>
          <w:kern w:val="14"/>
          <w:sz w:val="28"/>
          <w:lang w:val="en-GB" w:eastAsia="fr-FR"/>
        </w:rPr>
        <w:t>Contents</w:t>
      </w:r>
    </w:p>
    <w:p w14:paraId="2E60CAF6" w14:textId="77777777" w:rsidR="007E3F70" w:rsidRPr="007E3F70" w:rsidRDefault="007E3F70" w:rsidP="007E3F70">
      <w:pPr>
        <w:ind w:hanging="990"/>
      </w:pPr>
    </w:p>
    <w:p w14:paraId="52571502" w14:textId="77777777" w:rsidR="007E3F70" w:rsidRPr="007E3F70" w:rsidRDefault="007E3F70" w:rsidP="007E3F70">
      <w:pPr>
        <w:tabs>
          <w:tab w:val="left" w:pos="1620"/>
        </w:tabs>
        <w:rPr>
          <w:color w:val="000000"/>
          <w:lang w:val="en-GB" w:eastAsia="fr-FR"/>
        </w:rPr>
      </w:pPr>
    </w:p>
    <w:tbl>
      <w:tblPr>
        <w:tblpPr w:leftFromText="180" w:rightFromText="180" w:vertAnchor="text" w:horzAnchor="margin" w:tblpXSpec="center" w:tblpY="68"/>
        <w:tblOverlap w:val="never"/>
        <w:tblW w:w="99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"/>
        <w:gridCol w:w="8309"/>
        <w:gridCol w:w="171"/>
        <w:gridCol w:w="362"/>
      </w:tblGrid>
      <w:tr w:rsidR="007E3F70" w:rsidRPr="007E3F70" w14:paraId="2A87F92E" w14:textId="77777777" w:rsidTr="004E1662">
        <w:tc>
          <w:tcPr>
            <w:tcW w:w="1060" w:type="dxa"/>
            <w:shd w:val="clear" w:color="auto" w:fill="auto"/>
          </w:tcPr>
          <w:p w14:paraId="71CDDF2A" w14:textId="77777777" w:rsidR="007E3F70" w:rsidRPr="007E3F70" w:rsidRDefault="007E3F70" w:rsidP="007E3F70">
            <w:pPr>
              <w:tabs>
                <w:tab w:val="left" w:pos="1620"/>
              </w:tabs>
              <w:suppressAutoHyphens/>
              <w:spacing w:after="120"/>
              <w:jc w:val="right"/>
              <w:rPr>
                <w:i/>
                <w:color w:val="000000"/>
                <w:spacing w:val="4"/>
                <w:w w:val="103"/>
                <w:kern w:val="14"/>
                <w:sz w:val="14"/>
                <w:lang w:val="en-GB" w:eastAsia="fr-FR"/>
              </w:rPr>
            </w:pPr>
          </w:p>
        </w:tc>
        <w:tc>
          <w:tcPr>
            <w:tcW w:w="8480" w:type="dxa"/>
            <w:gridSpan w:val="2"/>
            <w:shd w:val="clear" w:color="auto" w:fill="auto"/>
          </w:tcPr>
          <w:p w14:paraId="01F74E9D" w14:textId="77777777" w:rsidR="007E3F70" w:rsidRPr="007E3F70" w:rsidRDefault="007E3F70" w:rsidP="007E3F70">
            <w:pPr>
              <w:tabs>
                <w:tab w:val="left" w:pos="1620"/>
              </w:tabs>
              <w:suppressAutoHyphens/>
              <w:spacing w:after="120"/>
              <w:rPr>
                <w:i/>
                <w:color w:val="000000"/>
                <w:spacing w:val="4"/>
                <w:w w:val="103"/>
                <w:kern w:val="14"/>
                <w:sz w:val="14"/>
                <w:lang w:val="en-GB" w:eastAsia="fr-FR"/>
              </w:rPr>
            </w:pPr>
          </w:p>
        </w:tc>
        <w:tc>
          <w:tcPr>
            <w:tcW w:w="362" w:type="dxa"/>
            <w:shd w:val="clear" w:color="auto" w:fill="auto"/>
          </w:tcPr>
          <w:p w14:paraId="078F965C" w14:textId="77777777" w:rsidR="007E3F70" w:rsidRPr="007E3F70" w:rsidRDefault="007E3F70" w:rsidP="007E3F70">
            <w:pPr>
              <w:tabs>
                <w:tab w:val="left" w:pos="1620"/>
              </w:tabs>
              <w:suppressAutoHyphens/>
              <w:spacing w:after="120"/>
              <w:jc w:val="right"/>
              <w:rPr>
                <w:i/>
                <w:color w:val="000000"/>
                <w:spacing w:val="4"/>
                <w:w w:val="103"/>
                <w:kern w:val="14"/>
                <w:sz w:val="14"/>
                <w:lang w:val="en-GB" w:eastAsia="fr-FR"/>
              </w:rPr>
            </w:pPr>
            <w:r w:rsidRPr="007E3F70">
              <w:rPr>
                <w:i/>
                <w:iCs/>
                <w:color w:val="000000"/>
                <w:kern w:val="14"/>
                <w:sz w:val="14"/>
                <w:lang w:val="en-GB" w:eastAsia="fr-FR"/>
              </w:rPr>
              <w:t>Page</w:t>
            </w:r>
          </w:p>
        </w:tc>
      </w:tr>
      <w:tr w:rsidR="007E3F70" w:rsidRPr="007E3F70" w14:paraId="08795683" w14:textId="77777777" w:rsidTr="004E1662">
        <w:tc>
          <w:tcPr>
            <w:tcW w:w="9540" w:type="dxa"/>
            <w:gridSpan w:val="3"/>
            <w:shd w:val="clear" w:color="auto" w:fill="auto"/>
          </w:tcPr>
          <w:p w14:paraId="3D6F1532" w14:textId="77777777" w:rsidR="007E3F70" w:rsidRPr="007E3F70" w:rsidRDefault="007E3F70" w:rsidP="009F7864">
            <w:pPr>
              <w:numPr>
                <w:ilvl w:val="0"/>
                <w:numId w:val="1"/>
              </w:numPr>
              <w:tabs>
                <w:tab w:val="right" w:pos="1080"/>
                <w:tab w:val="left" w:pos="1296"/>
                <w:tab w:val="left" w:pos="1620"/>
                <w:tab w:val="left" w:pos="2160"/>
                <w:tab w:val="left" w:pos="2592"/>
                <w:tab w:val="right" w:leader="dot" w:pos="9090"/>
              </w:tabs>
              <w:suppressAutoHyphens/>
              <w:spacing w:after="120" w:line="240" w:lineRule="exact"/>
              <w:jc w:val="both"/>
              <w:rPr>
                <w:color w:val="000000"/>
                <w:spacing w:val="4"/>
                <w:w w:val="103"/>
                <w:kern w:val="14"/>
                <w:lang w:val="en-GB" w:eastAsia="fr-FR"/>
              </w:rPr>
            </w:pPr>
            <w:r w:rsidRPr="007E3F70">
              <w:rPr>
                <w:color w:val="000000"/>
                <w:kern w:val="14"/>
                <w:lang w:val="en-GB" w:eastAsia="fr-FR"/>
              </w:rPr>
              <w:tab/>
              <w:t>Programme rationale</w:t>
            </w:r>
            <w:r w:rsidRPr="007E3F70">
              <w:rPr>
                <w:color w:val="000000"/>
                <w:sz w:val="24"/>
                <w:szCs w:val="24"/>
                <w:lang w:val="en-GB" w:eastAsia="fr-FR"/>
              </w:rPr>
              <w:tab/>
            </w:r>
          </w:p>
        </w:tc>
        <w:tc>
          <w:tcPr>
            <w:tcW w:w="362" w:type="dxa"/>
            <w:vMerge w:val="restart"/>
            <w:shd w:val="clear" w:color="auto" w:fill="auto"/>
            <w:vAlign w:val="bottom"/>
          </w:tcPr>
          <w:p w14:paraId="698CF24B" w14:textId="77777777" w:rsidR="007E3F70" w:rsidRPr="007E3F70" w:rsidRDefault="007E3F70" w:rsidP="007E3F70">
            <w:pPr>
              <w:tabs>
                <w:tab w:val="left" w:pos="1620"/>
              </w:tabs>
              <w:suppressAutoHyphens/>
              <w:spacing w:after="120" w:line="240" w:lineRule="exact"/>
              <w:jc w:val="right"/>
              <w:rPr>
                <w:color w:val="000000"/>
                <w:spacing w:val="4"/>
                <w:w w:val="103"/>
                <w:kern w:val="14"/>
                <w:lang w:val="en-GB" w:eastAsia="fr-FR"/>
              </w:rPr>
            </w:pPr>
            <w:r w:rsidRPr="007E3F70">
              <w:rPr>
                <w:color w:val="000000"/>
                <w:kern w:val="14"/>
                <w:lang w:val="en-GB" w:eastAsia="fr-FR"/>
              </w:rPr>
              <w:t>2</w:t>
            </w:r>
          </w:p>
          <w:p w14:paraId="5F382892" w14:textId="77777777" w:rsidR="007E3F70" w:rsidRPr="007E3F70" w:rsidRDefault="007E3F70" w:rsidP="007E3F70">
            <w:pPr>
              <w:tabs>
                <w:tab w:val="left" w:pos="1620"/>
              </w:tabs>
              <w:suppressAutoHyphens/>
              <w:spacing w:after="120" w:line="240" w:lineRule="exact"/>
              <w:jc w:val="right"/>
              <w:rPr>
                <w:color w:val="000000"/>
                <w:spacing w:val="4"/>
                <w:w w:val="103"/>
                <w:kern w:val="14"/>
                <w:lang w:val="en-GB" w:eastAsia="fr-FR"/>
              </w:rPr>
            </w:pPr>
            <w:r w:rsidRPr="007E3F70">
              <w:rPr>
                <w:color w:val="000000"/>
                <w:kern w:val="14"/>
                <w:lang w:val="en-GB" w:eastAsia="fr-FR"/>
              </w:rPr>
              <w:t>4</w:t>
            </w:r>
          </w:p>
        </w:tc>
      </w:tr>
      <w:tr w:rsidR="007E3F70" w:rsidRPr="007E3F70" w14:paraId="4858671F" w14:textId="77777777" w:rsidTr="004E1662">
        <w:tc>
          <w:tcPr>
            <w:tcW w:w="9540" w:type="dxa"/>
            <w:gridSpan w:val="3"/>
            <w:shd w:val="clear" w:color="auto" w:fill="auto"/>
          </w:tcPr>
          <w:p w14:paraId="31F8A187" w14:textId="77777777" w:rsidR="007E3F70" w:rsidRPr="007E3F70" w:rsidRDefault="007E3F70" w:rsidP="009F7864">
            <w:pPr>
              <w:numPr>
                <w:ilvl w:val="0"/>
                <w:numId w:val="1"/>
              </w:numPr>
              <w:tabs>
                <w:tab w:val="right" w:pos="1080"/>
                <w:tab w:val="left" w:pos="1296"/>
                <w:tab w:val="left" w:pos="1620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8220"/>
                <w:tab w:val="right" w:leader="dot" w:pos="9090"/>
              </w:tabs>
              <w:suppressAutoHyphens/>
              <w:spacing w:after="120" w:line="240" w:lineRule="exact"/>
              <w:jc w:val="both"/>
              <w:rPr>
                <w:color w:val="000000"/>
                <w:spacing w:val="4"/>
                <w:w w:val="103"/>
                <w:kern w:val="14"/>
                <w:lang w:val="en-GB" w:eastAsia="fr-FR"/>
              </w:rPr>
            </w:pPr>
            <w:r w:rsidRPr="007E3F70">
              <w:rPr>
                <w:color w:val="000000"/>
                <w:kern w:val="14"/>
                <w:lang w:val="en-GB" w:eastAsia="fr-FR"/>
              </w:rPr>
              <w:tab/>
              <w:t>Programme priorities and partnerships………………………………………………….</w:t>
            </w:r>
            <w:r w:rsidRPr="007E3F70">
              <w:rPr>
                <w:color w:val="000000"/>
                <w:kern w:val="14"/>
                <w:sz w:val="17"/>
                <w:lang w:val="en-GB" w:eastAsia="fr-FR"/>
              </w:rPr>
              <w:tab/>
            </w:r>
            <w:r w:rsidRPr="007E3F70">
              <w:rPr>
                <w:color w:val="000000"/>
                <w:kern w:val="14"/>
                <w:lang w:val="en-GB" w:eastAsia="fr-FR"/>
              </w:rPr>
              <w:t>……….…</w:t>
            </w:r>
          </w:p>
        </w:tc>
        <w:tc>
          <w:tcPr>
            <w:tcW w:w="362" w:type="dxa"/>
            <w:vMerge/>
            <w:shd w:val="clear" w:color="auto" w:fill="auto"/>
            <w:vAlign w:val="bottom"/>
          </w:tcPr>
          <w:p w14:paraId="2A598BE4" w14:textId="77777777" w:rsidR="007E3F70" w:rsidRPr="007E3F70" w:rsidRDefault="007E3F70" w:rsidP="007E3F70">
            <w:pPr>
              <w:tabs>
                <w:tab w:val="left" w:pos="1620"/>
              </w:tabs>
              <w:suppressAutoHyphens/>
              <w:spacing w:after="120" w:line="240" w:lineRule="exact"/>
              <w:jc w:val="right"/>
              <w:rPr>
                <w:color w:val="000000"/>
                <w:spacing w:val="4"/>
                <w:w w:val="103"/>
                <w:kern w:val="14"/>
                <w:lang w:val="en-GB" w:eastAsia="fr-FR"/>
              </w:rPr>
            </w:pPr>
          </w:p>
        </w:tc>
      </w:tr>
      <w:tr w:rsidR="007E3F70" w:rsidRPr="007E3F70" w14:paraId="431129B8" w14:textId="77777777" w:rsidTr="004E1662">
        <w:tc>
          <w:tcPr>
            <w:tcW w:w="9540" w:type="dxa"/>
            <w:gridSpan w:val="3"/>
            <w:shd w:val="clear" w:color="auto" w:fill="auto"/>
          </w:tcPr>
          <w:p w14:paraId="0278DA12" w14:textId="77777777" w:rsidR="007E3F70" w:rsidRPr="007E3F70" w:rsidRDefault="007E3F70" w:rsidP="009F7864">
            <w:pPr>
              <w:numPr>
                <w:ilvl w:val="0"/>
                <w:numId w:val="1"/>
              </w:numPr>
              <w:tabs>
                <w:tab w:val="right" w:pos="1080"/>
                <w:tab w:val="left" w:pos="1296"/>
                <w:tab w:val="left" w:pos="1620"/>
                <w:tab w:val="left" w:pos="2160"/>
                <w:tab w:val="left" w:pos="2592"/>
                <w:tab w:val="left" w:pos="3024"/>
                <w:tab w:val="right" w:leader="dot" w:pos="9090"/>
              </w:tabs>
              <w:suppressAutoHyphens/>
              <w:spacing w:after="120" w:line="240" w:lineRule="exact"/>
              <w:jc w:val="both"/>
              <w:rPr>
                <w:color w:val="000000"/>
                <w:spacing w:val="4"/>
                <w:w w:val="103"/>
                <w:kern w:val="14"/>
                <w:lang w:val="en-GB" w:eastAsia="fr-FR"/>
              </w:rPr>
            </w:pPr>
            <w:r w:rsidRPr="007E3F70">
              <w:rPr>
                <w:color w:val="000000"/>
                <w:kern w:val="14"/>
                <w:lang w:val="en-GB" w:eastAsia="fr-FR"/>
              </w:rPr>
              <w:tab/>
              <w:t>Programme and risk management</w:t>
            </w:r>
            <w:r w:rsidRPr="007E3F70">
              <w:rPr>
                <w:color w:val="000000"/>
                <w:sz w:val="24"/>
                <w:szCs w:val="24"/>
                <w:lang w:val="en-GB" w:eastAsia="fr-FR"/>
              </w:rPr>
              <w:tab/>
            </w:r>
          </w:p>
        </w:tc>
        <w:tc>
          <w:tcPr>
            <w:tcW w:w="362" w:type="dxa"/>
            <w:vMerge w:val="restart"/>
            <w:shd w:val="clear" w:color="auto" w:fill="auto"/>
            <w:vAlign w:val="bottom"/>
          </w:tcPr>
          <w:p w14:paraId="715294CA" w14:textId="0248E7BA" w:rsidR="007E3F70" w:rsidRPr="007E3F70" w:rsidRDefault="0063692E" w:rsidP="007E3F70">
            <w:pPr>
              <w:tabs>
                <w:tab w:val="left" w:pos="1620"/>
              </w:tabs>
              <w:suppressAutoHyphens/>
              <w:spacing w:after="120" w:line="240" w:lineRule="exact"/>
              <w:jc w:val="right"/>
              <w:rPr>
                <w:color w:val="000000"/>
                <w:spacing w:val="4"/>
                <w:w w:val="103"/>
                <w:kern w:val="14"/>
                <w:lang w:val="en-GB" w:eastAsia="fr-FR"/>
              </w:rPr>
            </w:pPr>
            <w:r>
              <w:rPr>
                <w:color w:val="000000"/>
                <w:spacing w:val="4"/>
                <w:w w:val="103"/>
                <w:kern w:val="14"/>
                <w:lang w:val="en-GB" w:eastAsia="fr-FR"/>
              </w:rPr>
              <w:t>6</w:t>
            </w:r>
          </w:p>
          <w:p w14:paraId="082308B1" w14:textId="7577A341" w:rsidR="007E3F70" w:rsidRPr="007E3F70" w:rsidRDefault="0063692E" w:rsidP="007E3F70">
            <w:pPr>
              <w:tabs>
                <w:tab w:val="left" w:pos="1620"/>
              </w:tabs>
              <w:suppressAutoHyphens/>
              <w:spacing w:after="120" w:line="240" w:lineRule="exact"/>
              <w:jc w:val="right"/>
              <w:rPr>
                <w:color w:val="000000"/>
                <w:spacing w:val="4"/>
                <w:w w:val="103"/>
                <w:kern w:val="14"/>
                <w:lang w:val="en-GB" w:eastAsia="fr-FR"/>
              </w:rPr>
            </w:pPr>
            <w:r>
              <w:rPr>
                <w:color w:val="000000"/>
                <w:kern w:val="14"/>
                <w:lang w:val="en-GB" w:eastAsia="fr-FR"/>
              </w:rPr>
              <w:t>7</w:t>
            </w:r>
          </w:p>
        </w:tc>
      </w:tr>
      <w:tr w:rsidR="007E3F70" w:rsidRPr="007E3F70" w14:paraId="108491FC" w14:textId="77777777" w:rsidTr="004E1662">
        <w:tc>
          <w:tcPr>
            <w:tcW w:w="9540" w:type="dxa"/>
            <w:gridSpan w:val="3"/>
            <w:shd w:val="clear" w:color="auto" w:fill="auto"/>
          </w:tcPr>
          <w:p w14:paraId="047A5343" w14:textId="77777777" w:rsidR="007E3F70" w:rsidRPr="007E3F70" w:rsidRDefault="007E3F70" w:rsidP="009F7864">
            <w:pPr>
              <w:numPr>
                <w:ilvl w:val="0"/>
                <w:numId w:val="1"/>
              </w:numPr>
              <w:tabs>
                <w:tab w:val="right" w:pos="1080"/>
                <w:tab w:val="left" w:pos="1296"/>
                <w:tab w:val="left" w:pos="1620"/>
                <w:tab w:val="left" w:pos="2160"/>
                <w:tab w:val="left" w:pos="2592"/>
                <w:tab w:val="left" w:pos="3024"/>
                <w:tab w:val="left" w:pos="3420"/>
                <w:tab w:val="left" w:pos="3456"/>
                <w:tab w:val="left" w:pos="9090"/>
              </w:tabs>
              <w:suppressAutoHyphens/>
              <w:spacing w:after="120" w:line="240" w:lineRule="exact"/>
              <w:jc w:val="both"/>
              <w:rPr>
                <w:color w:val="000000"/>
                <w:spacing w:val="4"/>
                <w:w w:val="103"/>
                <w:kern w:val="14"/>
                <w:lang w:val="en-GB" w:eastAsia="fr-FR"/>
              </w:rPr>
            </w:pPr>
            <w:r w:rsidRPr="007E3F70">
              <w:rPr>
                <w:color w:val="000000"/>
                <w:kern w:val="14"/>
                <w:lang w:val="en-GB" w:eastAsia="fr-FR"/>
              </w:rPr>
              <w:tab/>
              <w:t>Monitoring and evaluation</w:t>
            </w:r>
            <w:r w:rsidRPr="007E3F70">
              <w:rPr>
                <w:color w:val="000000"/>
                <w:sz w:val="24"/>
                <w:szCs w:val="24"/>
                <w:lang w:val="en-GB" w:eastAsia="fr-FR"/>
              </w:rPr>
              <w:tab/>
            </w:r>
            <w:r w:rsidRPr="007E3F70">
              <w:rPr>
                <w:color w:val="000000"/>
                <w:lang w:val="en-GB" w:eastAsia="fr-FR"/>
              </w:rPr>
              <w:t>…………………………………………………….……………………</w:t>
            </w:r>
          </w:p>
        </w:tc>
        <w:tc>
          <w:tcPr>
            <w:tcW w:w="362" w:type="dxa"/>
            <w:vMerge/>
            <w:shd w:val="clear" w:color="auto" w:fill="auto"/>
            <w:vAlign w:val="bottom"/>
          </w:tcPr>
          <w:p w14:paraId="63D8D587" w14:textId="77777777" w:rsidR="007E3F70" w:rsidRPr="007E3F70" w:rsidRDefault="007E3F70" w:rsidP="007E3F70">
            <w:pPr>
              <w:tabs>
                <w:tab w:val="left" w:pos="1620"/>
              </w:tabs>
              <w:suppressAutoHyphens/>
              <w:spacing w:after="120" w:line="240" w:lineRule="exact"/>
              <w:jc w:val="right"/>
              <w:rPr>
                <w:color w:val="000000"/>
                <w:spacing w:val="4"/>
                <w:w w:val="103"/>
                <w:kern w:val="14"/>
                <w:lang w:val="en-GB" w:eastAsia="fr-FR"/>
              </w:rPr>
            </w:pPr>
          </w:p>
        </w:tc>
      </w:tr>
      <w:tr w:rsidR="007E3F70" w:rsidRPr="007E3F70" w14:paraId="3AEB950D" w14:textId="77777777" w:rsidTr="004E1662">
        <w:tc>
          <w:tcPr>
            <w:tcW w:w="9369" w:type="dxa"/>
            <w:gridSpan w:val="2"/>
            <w:shd w:val="clear" w:color="auto" w:fill="auto"/>
          </w:tcPr>
          <w:p w14:paraId="48E12047" w14:textId="77777777" w:rsidR="007E3F70" w:rsidRPr="007E3F70" w:rsidRDefault="007E3F70" w:rsidP="007E3F70">
            <w:pPr>
              <w:tabs>
                <w:tab w:val="right" w:pos="1080"/>
                <w:tab w:val="left" w:pos="1296"/>
                <w:tab w:val="left" w:pos="1620"/>
                <w:tab w:val="right" w:pos="1714"/>
                <w:tab w:val="left" w:pos="2160"/>
                <w:tab w:val="left" w:pos="2592"/>
                <w:tab w:val="left" w:pos="3024"/>
                <w:tab w:val="left" w:pos="3456"/>
              </w:tabs>
              <w:suppressAutoHyphens/>
              <w:spacing w:after="120" w:line="240" w:lineRule="exact"/>
              <w:ind w:left="475"/>
              <w:rPr>
                <w:color w:val="000000"/>
                <w:spacing w:val="4"/>
                <w:w w:val="103"/>
                <w:kern w:val="14"/>
                <w:lang w:val="en-GB" w:eastAsia="fr-FR"/>
              </w:rPr>
            </w:pPr>
            <w:r w:rsidRPr="007E3F70">
              <w:rPr>
                <w:color w:val="000000"/>
                <w:kern w:val="14"/>
                <w:lang w:val="en-GB" w:eastAsia="fr-FR"/>
              </w:rPr>
              <w:t xml:space="preserve">     Annex</w:t>
            </w:r>
          </w:p>
        </w:tc>
        <w:tc>
          <w:tcPr>
            <w:tcW w:w="533" w:type="dxa"/>
            <w:gridSpan w:val="2"/>
            <w:shd w:val="clear" w:color="auto" w:fill="auto"/>
            <w:vAlign w:val="bottom"/>
          </w:tcPr>
          <w:p w14:paraId="7FA01250" w14:textId="77777777" w:rsidR="007E3F70" w:rsidRPr="007E3F70" w:rsidRDefault="007E3F70" w:rsidP="007E3F70">
            <w:pPr>
              <w:tabs>
                <w:tab w:val="left" w:pos="1620"/>
              </w:tabs>
              <w:suppressAutoHyphens/>
              <w:spacing w:after="120" w:line="240" w:lineRule="exact"/>
              <w:jc w:val="right"/>
              <w:rPr>
                <w:color w:val="000000"/>
                <w:spacing w:val="4"/>
                <w:w w:val="103"/>
                <w:kern w:val="14"/>
                <w:lang w:val="en-GB" w:eastAsia="fr-FR"/>
              </w:rPr>
            </w:pPr>
          </w:p>
        </w:tc>
      </w:tr>
      <w:tr w:rsidR="007E3F70" w:rsidRPr="007E3F70" w14:paraId="78A00F46" w14:textId="77777777" w:rsidTr="004E1662">
        <w:tc>
          <w:tcPr>
            <w:tcW w:w="9369" w:type="dxa"/>
            <w:gridSpan w:val="2"/>
            <w:shd w:val="clear" w:color="auto" w:fill="auto"/>
          </w:tcPr>
          <w:p w14:paraId="7AC1F5A7" w14:textId="7BA047B6" w:rsidR="007E3F70" w:rsidRPr="007E3F70" w:rsidRDefault="007E3F70" w:rsidP="007E3F70">
            <w:pPr>
              <w:tabs>
                <w:tab w:val="right" w:pos="1080"/>
                <w:tab w:val="left" w:pos="1296"/>
                <w:tab w:val="left" w:pos="1620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right" w:leader="dot" w:pos="9360"/>
              </w:tabs>
              <w:suppressAutoHyphens/>
              <w:spacing w:after="120" w:line="240" w:lineRule="exact"/>
              <w:ind w:left="1296"/>
              <w:rPr>
                <w:color w:val="000000"/>
                <w:spacing w:val="60"/>
                <w:w w:val="103"/>
                <w:kern w:val="14"/>
                <w:sz w:val="17"/>
                <w:lang w:val="en-GB" w:eastAsia="fr-FR"/>
              </w:rPr>
            </w:pPr>
            <w:r w:rsidRPr="007E3F70">
              <w:rPr>
                <w:color w:val="000000"/>
                <w:kern w:val="14"/>
                <w:lang w:val="en-GB" w:eastAsia="fr-FR"/>
              </w:rPr>
              <w:t xml:space="preserve">Results and resources framework for </w:t>
            </w:r>
            <w:r>
              <w:rPr>
                <w:color w:val="000000"/>
                <w:kern w:val="14"/>
                <w:lang w:val="en-GB" w:eastAsia="fr-FR"/>
              </w:rPr>
              <w:t>Ukraine</w:t>
            </w:r>
            <w:r w:rsidRPr="007E3F70">
              <w:rPr>
                <w:color w:val="000000"/>
                <w:kern w:val="14"/>
                <w:lang w:val="en-GB" w:eastAsia="fr-FR"/>
              </w:rPr>
              <w:t xml:space="preserve"> (2018-2022)</w:t>
            </w:r>
            <w:r w:rsidRPr="007E3F70">
              <w:rPr>
                <w:color w:val="000000"/>
                <w:sz w:val="24"/>
                <w:szCs w:val="24"/>
                <w:lang w:val="en-GB" w:eastAsia="fr-FR"/>
              </w:rPr>
              <w:tab/>
            </w:r>
            <w:r w:rsidRPr="007E3F70">
              <w:rPr>
                <w:color w:val="000000"/>
                <w:lang w:val="en-GB" w:eastAsia="fr-FR"/>
              </w:rPr>
              <w:t>………………………………………</w:t>
            </w:r>
          </w:p>
        </w:tc>
        <w:tc>
          <w:tcPr>
            <w:tcW w:w="533" w:type="dxa"/>
            <w:gridSpan w:val="2"/>
            <w:shd w:val="clear" w:color="auto" w:fill="auto"/>
            <w:vAlign w:val="bottom"/>
          </w:tcPr>
          <w:p w14:paraId="7DF9F104" w14:textId="77777777" w:rsidR="007E3F70" w:rsidRPr="007E3F70" w:rsidRDefault="007E3F70" w:rsidP="007E3F70">
            <w:pPr>
              <w:tabs>
                <w:tab w:val="left" w:pos="1620"/>
              </w:tabs>
              <w:suppressAutoHyphens/>
              <w:spacing w:after="120" w:line="240" w:lineRule="exact"/>
              <w:jc w:val="right"/>
              <w:rPr>
                <w:color w:val="000000"/>
                <w:spacing w:val="4"/>
                <w:w w:val="103"/>
                <w:kern w:val="14"/>
                <w:lang w:val="en-GB" w:eastAsia="fr-FR"/>
              </w:rPr>
            </w:pPr>
            <w:r w:rsidRPr="007E3F70">
              <w:rPr>
                <w:color w:val="000000"/>
                <w:kern w:val="14"/>
                <w:lang w:val="en-GB" w:eastAsia="fr-FR"/>
              </w:rPr>
              <w:t>9</w:t>
            </w:r>
          </w:p>
        </w:tc>
      </w:tr>
    </w:tbl>
    <w:p w14:paraId="51255EAF" w14:textId="77777777" w:rsidR="00627B8D" w:rsidRPr="00870FE7" w:rsidRDefault="00627B8D" w:rsidP="00A20A54">
      <w:pPr>
        <w:pStyle w:val="Header"/>
        <w:spacing w:after="120"/>
        <w:rPr>
          <w:lang w:val="en-GB"/>
        </w:rPr>
      </w:pPr>
    </w:p>
    <w:p w14:paraId="70C54ED2" w14:textId="77777777" w:rsidR="00967BB0" w:rsidRPr="001302DE" w:rsidRDefault="00967BB0" w:rsidP="00A20A54">
      <w:pPr>
        <w:spacing w:after="120"/>
        <w:ind w:right="901"/>
        <w:rPr>
          <w:lang w:val="en-GB"/>
        </w:rPr>
      </w:pPr>
    </w:p>
    <w:p w14:paraId="5C6DBA42" w14:textId="77777777" w:rsidR="00886F7D" w:rsidRPr="001302DE" w:rsidRDefault="00886F7D" w:rsidP="00A20A54">
      <w:pPr>
        <w:pStyle w:val="Heading2"/>
        <w:spacing w:after="120"/>
        <w:ind w:right="901"/>
        <w:jc w:val="both"/>
        <w:rPr>
          <w:rFonts w:ascii="Times New Roman" w:hAnsi="Times New Roman"/>
          <w:bCs/>
          <w:color w:val="000000"/>
          <w:sz w:val="20"/>
          <w:lang w:val="en-GB"/>
        </w:rPr>
      </w:pPr>
    </w:p>
    <w:p w14:paraId="788F6C6F" w14:textId="77777777" w:rsidR="00A20461" w:rsidRPr="001302DE" w:rsidRDefault="00A20461" w:rsidP="00A20A54">
      <w:pPr>
        <w:spacing w:after="120"/>
        <w:rPr>
          <w:b/>
          <w:bCs/>
          <w:color w:val="000000"/>
          <w:lang w:val="en-GB"/>
        </w:rPr>
      </w:pPr>
      <w:r w:rsidRPr="001302DE">
        <w:rPr>
          <w:bCs/>
          <w:color w:val="000000"/>
          <w:lang w:val="en-GB"/>
        </w:rPr>
        <w:br w:type="page"/>
      </w:r>
    </w:p>
    <w:p w14:paraId="313FE532" w14:textId="3605A77A" w:rsidR="00886F7D" w:rsidRPr="00346DB7" w:rsidRDefault="00886F7D" w:rsidP="00A20A54">
      <w:pPr>
        <w:pStyle w:val="Heading2"/>
        <w:spacing w:after="120"/>
        <w:ind w:right="901" w:hanging="270"/>
        <w:jc w:val="both"/>
        <w:rPr>
          <w:rFonts w:ascii="Times New Roman" w:hAnsi="Times New Roman"/>
          <w:bCs/>
          <w:color w:val="000000"/>
          <w:sz w:val="24"/>
          <w:szCs w:val="24"/>
          <w:lang w:val="en-GB"/>
        </w:rPr>
      </w:pPr>
      <w:r w:rsidRPr="00346DB7">
        <w:rPr>
          <w:rFonts w:ascii="Times New Roman" w:hAnsi="Times New Roman"/>
          <w:bCs/>
          <w:color w:val="000000"/>
          <w:sz w:val="24"/>
          <w:szCs w:val="24"/>
          <w:lang w:val="en-GB"/>
        </w:rPr>
        <w:lastRenderedPageBreak/>
        <w:t xml:space="preserve">I. Programme </w:t>
      </w:r>
      <w:r w:rsidR="00A66745">
        <w:rPr>
          <w:rFonts w:ascii="Times New Roman" w:hAnsi="Times New Roman"/>
          <w:bCs/>
          <w:color w:val="000000"/>
          <w:sz w:val="24"/>
          <w:szCs w:val="24"/>
          <w:lang w:val="en-GB"/>
        </w:rPr>
        <w:t>r</w:t>
      </w:r>
      <w:r w:rsidRPr="00346DB7">
        <w:rPr>
          <w:rFonts w:ascii="Times New Roman" w:hAnsi="Times New Roman"/>
          <w:bCs/>
          <w:color w:val="000000"/>
          <w:sz w:val="24"/>
          <w:szCs w:val="24"/>
          <w:lang w:val="en-GB"/>
        </w:rPr>
        <w:t xml:space="preserve">ationale </w:t>
      </w:r>
    </w:p>
    <w:p w14:paraId="7B488734" w14:textId="47ACEA84" w:rsidR="00672B2A" w:rsidRPr="001302DE" w:rsidRDefault="00886F7D" w:rsidP="00A20A54">
      <w:pPr>
        <w:pStyle w:val="Normal1"/>
        <w:spacing w:after="120"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1. Since </w:t>
      </w:r>
      <w:r w:rsidR="002B0088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its independence</w:t>
      </w:r>
      <w:r w:rsidR="002B6C94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in 1991</w:t>
      </w:r>
      <w:r w:rsidR="00BF0DBE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,</w:t>
      </w:r>
      <w:r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Ukraine has </w:t>
      </w:r>
      <w:r w:rsidR="00313E3F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been </w:t>
      </w:r>
      <w:r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building a competitive market economy supported by accountable and responsive public institutions. </w:t>
      </w:r>
      <w:r w:rsidR="00313E3F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The global financial crisis truncated </w:t>
      </w:r>
      <w:r w:rsidR="00503FE6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the </w:t>
      </w:r>
      <w:r w:rsidR="002F0DDF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rapid growth of </w:t>
      </w:r>
      <w:r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the 2000s, triggering a 15</w:t>
      </w:r>
      <w:r w:rsidR="004E1662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to </w:t>
      </w:r>
      <w:r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20</w:t>
      </w:r>
      <w:r w:rsidR="004E1662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per cent</w:t>
      </w:r>
      <w:r w:rsidR="004E166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contraction of </w:t>
      </w:r>
      <w:r w:rsidR="004E1662">
        <w:rPr>
          <w:rFonts w:ascii="Times New Roman" w:eastAsia="Cambria" w:hAnsi="Times New Roman" w:cs="Times New Roman"/>
          <w:sz w:val="20"/>
          <w:szCs w:val="20"/>
          <w:lang w:val="en-GB"/>
        </w:rPr>
        <w:t>gross domestic product (</w:t>
      </w:r>
      <w:r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GDP</w:t>
      </w:r>
      <w:r w:rsidR="004E1662">
        <w:rPr>
          <w:rFonts w:ascii="Times New Roman" w:eastAsia="Cambria" w:hAnsi="Times New Roman" w:cs="Times New Roman"/>
          <w:sz w:val="20"/>
          <w:szCs w:val="20"/>
          <w:lang w:val="en-GB"/>
        </w:rPr>
        <w:t>)</w:t>
      </w:r>
      <w:r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A415C0">
        <w:rPr>
          <w:rFonts w:ascii="Times New Roman" w:eastAsia="Cambria" w:hAnsi="Times New Roman" w:cs="Times New Roman"/>
          <w:sz w:val="20"/>
          <w:szCs w:val="20"/>
          <w:lang w:val="en-GB"/>
        </w:rPr>
        <w:t>in</w:t>
      </w:r>
      <w:r w:rsidR="002053A8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2008</w:t>
      </w:r>
      <w:r w:rsidR="00A415C0">
        <w:rPr>
          <w:rFonts w:ascii="Times New Roman" w:eastAsia="Cambria" w:hAnsi="Times New Roman" w:cs="Times New Roman"/>
          <w:sz w:val="20"/>
          <w:szCs w:val="20"/>
          <w:lang w:val="en-GB"/>
        </w:rPr>
        <w:t>-</w:t>
      </w:r>
      <w:r w:rsidR="002053A8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200</w:t>
      </w:r>
      <w:r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9. </w:t>
      </w:r>
      <w:r w:rsidR="00313E3F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The </w:t>
      </w:r>
      <w:r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post-crisis recovery was short-lived as the country became mired in political instability, leading to conflict</w:t>
      </w:r>
      <w:r w:rsidR="000C43F4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, </w:t>
      </w:r>
      <w:r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economic decline</w:t>
      </w:r>
      <w:r w:rsidR="00ED5E3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and high</w:t>
      </w:r>
      <w:r w:rsidR="003A4A8B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unemployment</w:t>
      </w:r>
      <w:r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. </w:t>
      </w:r>
      <w:r w:rsidR="00ED5E3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Between 2013 and 2015</w:t>
      </w:r>
      <w:r w:rsidR="00933A6E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,</w:t>
      </w:r>
      <w:r w:rsidR="00ED5E3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GDP collapsed from $181 billion</w:t>
      </w:r>
      <w:r w:rsidR="00275840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ED5E3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to $91 billion</w:t>
      </w:r>
      <w:r w:rsidR="00307C6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(</w:t>
      </w:r>
      <w:r w:rsidR="004E166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$3,986 </w:t>
      </w:r>
      <w:r w:rsidR="004E1662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to </w:t>
      </w:r>
      <w:r w:rsidR="00ED5E3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$2,005 </w:t>
      </w:r>
      <w:r w:rsidR="00307C6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per capita GDP)</w:t>
      </w:r>
      <w:r w:rsidR="00ED5E3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.</w:t>
      </w:r>
      <w:r w:rsidR="00ED5E32" w:rsidRPr="001302DE">
        <w:rPr>
          <w:rStyle w:val="FootnoteReference"/>
          <w:rFonts w:ascii="Times New Roman" w:eastAsia="Cambria" w:hAnsi="Times New Roman"/>
          <w:sz w:val="20"/>
          <w:szCs w:val="20"/>
          <w:lang w:val="en-GB"/>
        </w:rPr>
        <w:footnoteReference w:id="2"/>
      </w:r>
      <w:r w:rsidR="00ED5E3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4E1662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Fifty-seven per cent </w:t>
      </w:r>
      <w:r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of </w:t>
      </w:r>
      <w:r w:rsidR="002331CE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Ukrainians </w:t>
      </w:r>
      <w:r w:rsidR="004C647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live </w:t>
      </w:r>
      <w:r w:rsidR="00307C6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below </w:t>
      </w:r>
      <w:r w:rsidR="004C647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the poverty </w:t>
      </w:r>
      <w:r w:rsidR="00BF0DBE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line</w:t>
      </w:r>
      <w:r w:rsidR="00307C6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; </w:t>
      </w:r>
      <w:r w:rsidR="00ED5E3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n</w:t>
      </w:r>
      <w:r w:rsidR="006D10BC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early</w:t>
      </w:r>
      <w:r w:rsidR="002331CE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40</w:t>
      </w:r>
      <w:r w:rsidR="004E1662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per cent</w:t>
      </w:r>
      <w:r w:rsidR="004E166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2331CE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of households </w:t>
      </w:r>
      <w:r w:rsidR="006D10BC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rely on social payments</w:t>
      </w:r>
      <w:r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.</w:t>
      </w:r>
      <w:r w:rsidRPr="001302DE">
        <w:rPr>
          <w:rStyle w:val="FootnoteReference"/>
          <w:rFonts w:ascii="Times New Roman" w:eastAsia="Cambria" w:hAnsi="Times New Roman"/>
          <w:sz w:val="20"/>
          <w:szCs w:val="20"/>
          <w:lang w:val="en-GB"/>
        </w:rPr>
        <w:footnoteReference w:id="3"/>
      </w:r>
      <w:r w:rsidR="00056D18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672B2A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The 2017 economic outlook is more positive, with a </w:t>
      </w:r>
      <w:r w:rsidR="004E1662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forecast of </w:t>
      </w:r>
      <w:r w:rsidR="00672B2A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2</w:t>
      </w:r>
      <w:r w:rsidR="004E1662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per cent</w:t>
      </w:r>
      <w:r w:rsidR="004E166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672B2A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growth.</w:t>
      </w:r>
      <w:r w:rsidR="00672B2A" w:rsidRPr="001302DE">
        <w:rPr>
          <w:rStyle w:val="FootnoteReference"/>
          <w:rFonts w:ascii="Times New Roman" w:eastAsia="Cambria" w:hAnsi="Times New Roman"/>
          <w:sz w:val="20"/>
          <w:szCs w:val="20"/>
          <w:lang w:val="en-GB"/>
        </w:rPr>
        <w:footnoteReference w:id="4"/>
      </w:r>
      <w:r w:rsidR="00672B2A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672B2A">
        <w:rPr>
          <w:rFonts w:ascii="Times New Roman" w:eastAsia="Cambria" w:hAnsi="Times New Roman" w:cs="Times New Roman"/>
          <w:sz w:val="20"/>
          <w:szCs w:val="20"/>
          <w:lang w:val="en-GB"/>
        </w:rPr>
        <w:t>T</w:t>
      </w:r>
      <w:r w:rsidR="00672B2A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he business environment remains challenging: Ukraine ranks 80 of 190</w:t>
      </w:r>
      <w:r w:rsidR="004E1662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countries</w:t>
      </w:r>
      <w:r w:rsidR="004E166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672B2A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in the World Bank’s </w:t>
      </w:r>
      <w:r w:rsidR="006227A5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Ease of </w:t>
      </w:r>
      <w:r w:rsidR="00672B2A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Doing Business </w:t>
      </w:r>
      <w:r w:rsidR="006227A5">
        <w:rPr>
          <w:rFonts w:ascii="Times New Roman" w:eastAsia="Cambria" w:hAnsi="Times New Roman" w:cs="Times New Roman"/>
          <w:sz w:val="20"/>
          <w:szCs w:val="20"/>
          <w:lang w:val="en-GB"/>
        </w:rPr>
        <w:t>Index.</w:t>
      </w:r>
      <w:r w:rsidR="00672B2A" w:rsidRPr="001302DE">
        <w:rPr>
          <w:rStyle w:val="FootnoteReference"/>
          <w:rFonts w:ascii="Times New Roman" w:eastAsia="Cambria" w:hAnsi="Times New Roman"/>
          <w:sz w:val="20"/>
          <w:szCs w:val="20"/>
          <w:lang w:val="en-GB"/>
        </w:rPr>
        <w:footnoteReference w:id="5"/>
      </w:r>
      <w:r w:rsidR="00672B2A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</w:p>
    <w:p w14:paraId="2877C024" w14:textId="05C66287" w:rsidR="002955EB" w:rsidRPr="001302DE" w:rsidRDefault="00886F7D" w:rsidP="00A20A54">
      <w:pPr>
        <w:tabs>
          <w:tab w:val="left" w:pos="8222"/>
        </w:tabs>
        <w:autoSpaceDE w:val="0"/>
        <w:autoSpaceDN w:val="0"/>
        <w:adjustRightInd w:val="0"/>
        <w:spacing w:after="120"/>
        <w:jc w:val="both"/>
        <w:rPr>
          <w:rFonts w:eastAsia="Cambria"/>
          <w:lang w:val="en-GB"/>
        </w:rPr>
      </w:pPr>
      <w:r w:rsidRPr="001302DE">
        <w:rPr>
          <w:rFonts w:eastAsia="Cambria"/>
          <w:lang w:val="en-GB"/>
        </w:rPr>
        <w:t xml:space="preserve">2. </w:t>
      </w:r>
      <w:r w:rsidR="00765F42">
        <w:rPr>
          <w:rFonts w:eastAsia="Cambria"/>
          <w:lang w:val="en-GB"/>
        </w:rPr>
        <w:t>I</w:t>
      </w:r>
      <w:r w:rsidR="00765F42" w:rsidRPr="001302DE">
        <w:rPr>
          <w:rFonts w:eastAsia="Cambria"/>
          <w:lang w:val="en-GB"/>
        </w:rPr>
        <w:t xml:space="preserve">nstability </w:t>
      </w:r>
      <w:r w:rsidRPr="001302DE">
        <w:rPr>
          <w:rFonts w:eastAsia="Cambria"/>
          <w:lang w:val="en-GB"/>
        </w:rPr>
        <w:t>and conf</w:t>
      </w:r>
      <w:r w:rsidRPr="00751620">
        <w:rPr>
          <w:rFonts w:eastAsia="Cambria"/>
          <w:lang w:val="en-GB"/>
        </w:rPr>
        <w:t>lict</w:t>
      </w:r>
      <w:r w:rsidR="00F967A9">
        <w:rPr>
          <w:rFonts w:eastAsia="Cambria"/>
          <w:lang w:val="en-GB"/>
        </w:rPr>
        <w:t xml:space="preserve"> compound economic woes</w:t>
      </w:r>
      <w:r w:rsidRPr="00751620">
        <w:rPr>
          <w:rFonts w:eastAsia="Cambria"/>
          <w:lang w:val="en-GB"/>
        </w:rPr>
        <w:t xml:space="preserve">. </w:t>
      </w:r>
      <w:r w:rsidR="007E5AA2" w:rsidRPr="00751620">
        <w:t xml:space="preserve">In 2013-2014, the </w:t>
      </w:r>
      <w:r w:rsidR="002955EB">
        <w:t>so-called “</w:t>
      </w:r>
      <w:r w:rsidR="002955EB" w:rsidRPr="004C15EB">
        <w:t>Revolution of Dignity”</w:t>
      </w:r>
      <w:r w:rsidR="007E5AA2" w:rsidRPr="004C15EB">
        <w:t xml:space="preserve"> protested poor governance, corruption and impunity and oust</w:t>
      </w:r>
      <w:r w:rsidR="00F967A9" w:rsidRPr="004C15EB">
        <w:t>ed</w:t>
      </w:r>
      <w:r w:rsidR="007E5AA2" w:rsidRPr="004C15EB">
        <w:t xml:space="preserve"> the administration</w:t>
      </w:r>
      <w:r w:rsidR="001F5CF6">
        <w:t xml:space="preserve">. </w:t>
      </w:r>
      <w:r w:rsidRPr="004C15EB">
        <w:rPr>
          <w:rFonts w:eastAsia="Cambria"/>
          <w:lang w:val="en-GB"/>
        </w:rPr>
        <w:t>Conflict subsequently erupted in eastern Ukraine</w:t>
      </w:r>
      <w:r w:rsidR="00B13463" w:rsidRPr="004C15EB">
        <w:rPr>
          <w:rFonts w:eastAsia="Cambria"/>
          <w:lang w:val="en-GB"/>
        </w:rPr>
        <w:t>,</w:t>
      </w:r>
      <w:r w:rsidRPr="004C15EB">
        <w:rPr>
          <w:rFonts w:eastAsia="Cambria"/>
          <w:lang w:val="en-GB"/>
        </w:rPr>
        <w:t xml:space="preserve"> where separatists took control of local government offices</w:t>
      </w:r>
      <w:r w:rsidR="004179A7" w:rsidRPr="004C15EB">
        <w:rPr>
          <w:rFonts w:eastAsia="Cambria"/>
          <w:lang w:val="en-GB"/>
        </w:rPr>
        <w:t xml:space="preserve"> in </w:t>
      </w:r>
      <w:r w:rsidR="002955EB" w:rsidRPr="004C15EB">
        <w:rPr>
          <w:rFonts w:eastAsia="Cambria"/>
          <w:lang w:val="en-GB"/>
        </w:rPr>
        <w:t xml:space="preserve">parts of </w:t>
      </w:r>
      <w:r w:rsidR="00F8055A" w:rsidRPr="004C15EB">
        <w:rPr>
          <w:rFonts w:eastAsia="Cambria"/>
          <w:lang w:val="en-GB"/>
        </w:rPr>
        <w:t>Donetsk and Luhansk</w:t>
      </w:r>
      <w:r w:rsidR="002955EB" w:rsidRPr="004C15EB">
        <w:rPr>
          <w:rFonts w:eastAsia="Cambria"/>
          <w:lang w:val="en-GB"/>
        </w:rPr>
        <w:t xml:space="preserve"> oblasts</w:t>
      </w:r>
      <w:r w:rsidR="00F8055A" w:rsidRPr="004C15EB">
        <w:rPr>
          <w:rFonts w:eastAsia="Cambria"/>
          <w:lang w:val="en-GB"/>
        </w:rPr>
        <w:t xml:space="preserve">. </w:t>
      </w:r>
      <w:r w:rsidRPr="004C15EB">
        <w:rPr>
          <w:rFonts w:eastAsia="Cambria"/>
          <w:lang w:val="en-GB"/>
        </w:rPr>
        <w:t>Since then</w:t>
      </w:r>
      <w:r w:rsidR="008754EC" w:rsidRPr="004C15EB">
        <w:rPr>
          <w:rFonts w:eastAsia="Cambria"/>
          <w:lang w:val="en-GB"/>
        </w:rPr>
        <w:t>,</w:t>
      </w:r>
      <w:r w:rsidRPr="004C15EB">
        <w:rPr>
          <w:rFonts w:eastAsia="Cambria"/>
          <w:lang w:val="en-GB"/>
        </w:rPr>
        <w:t xml:space="preserve"> fighting has killed around 10,000 people, injured more</w:t>
      </w:r>
      <w:r w:rsidRPr="001302DE">
        <w:rPr>
          <w:rFonts w:eastAsia="Cambria"/>
          <w:lang w:val="en-GB"/>
        </w:rPr>
        <w:t xml:space="preserve"> than 22,000 and displaced more than 1</w:t>
      </w:r>
      <w:r w:rsidR="004E1662">
        <w:rPr>
          <w:rFonts w:eastAsia="Cambria"/>
          <w:lang w:val="en-GB"/>
        </w:rPr>
        <w:t>.7 million</w:t>
      </w:r>
      <w:r w:rsidRPr="001302DE">
        <w:rPr>
          <w:rFonts w:eastAsia="Cambria"/>
          <w:lang w:val="en-GB"/>
        </w:rPr>
        <w:t xml:space="preserve">. </w:t>
      </w:r>
      <w:r w:rsidR="00E377F7" w:rsidRPr="001302DE">
        <w:rPr>
          <w:rFonts w:eastAsia="Cambria"/>
          <w:lang w:val="en-GB"/>
        </w:rPr>
        <w:t>The conflict resulted in widespread human rights violations, sexual and gender-based violence and economic decline. I</w:t>
      </w:r>
      <w:r w:rsidR="00274600" w:rsidRPr="001302DE">
        <w:rPr>
          <w:rFonts w:eastAsia="Cambria"/>
          <w:lang w:val="en-GB"/>
        </w:rPr>
        <w:t>nternally displaced persons (I</w:t>
      </w:r>
      <w:r w:rsidR="00E377F7" w:rsidRPr="001302DE">
        <w:rPr>
          <w:rFonts w:eastAsia="Cambria"/>
          <w:lang w:val="en-GB"/>
        </w:rPr>
        <w:t>DPs</w:t>
      </w:r>
      <w:r w:rsidR="00274600" w:rsidRPr="001302DE">
        <w:rPr>
          <w:rFonts w:eastAsia="Cambria"/>
          <w:lang w:val="en-GB"/>
        </w:rPr>
        <w:t>)</w:t>
      </w:r>
      <w:r w:rsidR="00E377F7" w:rsidRPr="001302DE">
        <w:rPr>
          <w:rFonts w:eastAsia="Cambria"/>
          <w:lang w:val="en-GB"/>
        </w:rPr>
        <w:t xml:space="preserve"> are particularly vulnerable </w:t>
      </w:r>
      <w:r w:rsidR="008C6FD1" w:rsidRPr="001302DE">
        <w:rPr>
          <w:rFonts w:eastAsia="Cambria"/>
          <w:lang w:val="en-GB"/>
        </w:rPr>
        <w:t>(</w:t>
      </w:r>
      <w:r w:rsidR="00A20C40">
        <w:rPr>
          <w:rFonts w:eastAsia="Cambria"/>
          <w:lang w:val="en-GB"/>
        </w:rPr>
        <w:t>59</w:t>
      </w:r>
      <w:r w:rsidR="004E1662">
        <w:rPr>
          <w:rFonts w:eastAsia="Cambria"/>
          <w:lang w:val="en-GB"/>
        </w:rPr>
        <w:t xml:space="preserve"> per cent</w:t>
      </w:r>
      <w:r w:rsidR="004E1662" w:rsidRPr="001302DE">
        <w:rPr>
          <w:rFonts w:eastAsia="Cambria"/>
          <w:lang w:val="en-GB"/>
        </w:rPr>
        <w:t xml:space="preserve"> </w:t>
      </w:r>
      <w:r w:rsidR="00E377F7" w:rsidRPr="001302DE">
        <w:rPr>
          <w:rFonts w:eastAsia="Cambria"/>
          <w:lang w:val="en-GB"/>
        </w:rPr>
        <w:t>of IDPs</w:t>
      </w:r>
      <w:r w:rsidR="009841A9">
        <w:rPr>
          <w:rFonts w:eastAsia="Cambria"/>
          <w:lang w:val="en-GB"/>
        </w:rPr>
        <w:t xml:space="preserve"> are </w:t>
      </w:r>
      <w:r w:rsidR="00E377F7" w:rsidRPr="001302DE">
        <w:rPr>
          <w:rFonts w:eastAsia="Cambria"/>
          <w:lang w:val="en-GB"/>
        </w:rPr>
        <w:t>elderly, 58</w:t>
      </w:r>
      <w:r w:rsidR="004E1662">
        <w:rPr>
          <w:rFonts w:eastAsia="Cambria"/>
          <w:lang w:val="en-GB"/>
        </w:rPr>
        <w:t xml:space="preserve"> per cent</w:t>
      </w:r>
      <w:r w:rsidR="004E1662" w:rsidRPr="001302DE">
        <w:rPr>
          <w:rFonts w:eastAsia="Cambria"/>
          <w:lang w:val="en-GB"/>
        </w:rPr>
        <w:t xml:space="preserve"> </w:t>
      </w:r>
      <w:r w:rsidR="00503FE6">
        <w:rPr>
          <w:rFonts w:eastAsia="Cambria"/>
          <w:lang w:val="en-GB"/>
        </w:rPr>
        <w:t xml:space="preserve">are </w:t>
      </w:r>
      <w:r w:rsidR="00E377F7" w:rsidRPr="001302DE">
        <w:rPr>
          <w:rFonts w:eastAsia="Cambria"/>
          <w:lang w:val="en-GB"/>
        </w:rPr>
        <w:t>women and 8</w:t>
      </w:r>
      <w:r w:rsidR="004E1662">
        <w:rPr>
          <w:rFonts w:eastAsia="Cambria"/>
          <w:lang w:val="en-GB"/>
        </w:rPr>
        <w:t xml:space="preserve"> per cent</w:t>
      </w:r>
      <w:r w:rsidR="004E1662" w:rsidRPr="001302DE">
        <w:rPr>
          <w:rFonts w:eastAsia="Cambria"/>
          <w:lang w:val="en-GB"/>
        </w:rPr>
        <w:t xml:space="preserve"> </w:t>
      </w:r>
      <w:r w:rsidR="00503FE6">
        <w:rPr>
          <w:rFonts w:eastAsia="Cambria"/>
          <w:lang w:val="en-GB"/>
        </w:rPr>
        <w:t xml:space="preserve">are </w:t>
      </w:r>
      <w:r w:rsidR="00E377F7" w:rsidRPr="001302DE">
        <w:rPr>
          <w:rFonts w:eastAsia="Cambria"/>
          <w:lang w:val="en-GB"/>
        </w:rPr>
        <w:t>children</w:t>
      </w:r>
      <w:r w:rsidR="008C6FD1" w:rsidRPr="001302DE">
        <w:rPr>
          <w:rFonts w:eastAsia="Cambria"/>
          <w:lang w:val="en-GB"/>
        </w:rPr>
        <w:t>)</w:t>
      </w:r>
      <w:r w:rsidR="00E377F7" w:rsidRPr="001302DE">
        <w:rPr>
          <w:rFonts w:eastAsia="Cambria"/>
          <w:lang w:val="en-GB"/>
        </w:rPr>
        <w:t>.</w:t>
      </w:r>
      <w:r w:rsidR="00C91E2F" w:rsidRPr="001302DE">
        <w:rPr>
          <w:rStyle w:val="FootnoteReference"/>
          <w:rFonts w:eastAsia="Cambria"/>
          <w:lang w:val="en-GB"/>
        </w:rPr>
        <w:footnoteReference w:id="6"/>
      </w:r>
      <w:r w:rsidR="00A415C0">
        <w:rPr>
          <w:rFonts w:eastAsia="Cambria"/>
          <w:lang w:val="en-GB"/>
        </w:rPr>
        <w:t xml:space="preserve"> </w:t>
      </w:r>
      <w:r w:rsidR="008C7B79">
        <w:rPr>
          <w:rFonts w:eastAsia="Cambria"/>
          <w:lang w:val="en-GB"/>
        </w:rPr>
        <w:t>While t</w:t>
      </w:r>
      <w:r w:rsidR="00A415C0">
        <w:rPr>
          <w:rFonts w:eastAsia="Cambria"/>
          <w:lang w:val="en-GB"/>
        </w:rPr>
        <w:t>he ongoing</w:t>
      </w:r>
      <w:r w:rsidR="004E7BEE" w:rsidRPr="001302DE">
        <w:rPr>
          <w:rFonts w:eastAsia="Cambria"/>
          <w:lang w:val="en-GB"/>
        </w:rPr>
        <w:t xml:space="preserve"> conflict undermines stability and econom</w:t>
      </w:r>
      <w:r w:rsidR="00F967A9">
        <w:rPr>
          <w:rFonts w:eastAsia="Cambria"/>
          <w:lang w:val="en-GB"/>
        </w:rPr>
        <w:t>ic recovery</w:t>
      </w:r>
      <w:r w:rsidR="008C7B79">
        <w:rPr>
          <w:rFonts w:eastAsia="Cambria"/>
          <w:lang w:val="en-GB"/>
        </w:rPr>
        <w:t xml:space="preserve">, emergency and early recovery needs continue to exist in </w:t>
      </w:r>
      <w:r w:rsidR="00373548">
        <w:rPr>
          <w:rFonts w:eastAsia="Cambria"/>
          <w:lang w:val="en-GB"/>
        </w:rPr>
        <w:t>e</w:t>
      </w:r>
      <w:r w:rsidR="008C7B79">
        <w:rPr>
          <w:rFonts w:eastAsia="Cambria"/>
          <w:lang w:val="en-GB"/>
        </w:rPr>
        <w:t>astern Ukraine</w:t>
      </w:r>
      <w:r w:rsidR="00765F42">
        <w:rPr>
          <w:rFonts w:eastAsia="Cambria"/>
          <w:lang w:val="en-GB"/>
        </w:rPr>
        <w:t xml:space="preserve">. </w:t>
      </w:r>
    </w:p>
    <w:p w14:paraId="1512EE70" w14:textId="201F51C0" w:rsidR="00E77B0B" w:rsidRPr="001302DE" w:rsidRDefault="00D629FB" w:rsidP="00A20A54">
      <w:pPr>
        <w:pStyle w:val="Normal1"/>
        <w:spacing w:after="120" w:line="240" w:lineRule="auto"/>
        <w:jc w:val="both"/>
        <w:rPr>
          <w:rFonts w:ascii="Times New Roman" w:eastAsia="Cambria" w:hAnsi="Times New Roman" w:cs="Times New Roman"/>
          <w:sz w:val="20"/>
          <w:szCs w:val="20"/>
          <w:lang w:val="en-GB"/>
        </w:rPr>
      </w:pPr>
      <w:r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3</w:t>
      </w:r>
      <w:r w:rsidR="000E7EF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. </w:t>
      </w:r>
      <w:r w:rsidR="00F967A9">
        <w:rPr>
          <w:rFonts w:ascii="Times New Roman" w:eastAsia="Cambria" w:hAnsi="Times New Roman" w:cs="Times New Roman"/>
          <w:sz w:val="20"/>
          <w:szCs w:val="20"/>
          <w:lang w:val="en-GB"/>
        </w:rPr>
        <w:t>G</w:t>
      </w:r>
      <w:r w:rsidR="00672B2A">
        <w:rPr>
          <w:rFonts w:ascii="Times New Roman" w:eastAsia="Cambria" w:hAnsi="Times New Roman" w:cs="Times New Roman"/>
          <w:sz w:val="20"/>
          <w:szCs w:val="20"/>
          <w:lang w:val="en-GB"/>
        </w:rPr>
        <w:t>overnance challenges and vulnerabilities</w:t>
      </w:r>
      <w:r w:rsidR="00B16FB3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persist. </w:t>
      </w:r>
      <w:r w:rsidR="00110270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Ukraine’s </w:t>
      </w:r>
      <w:r w:rsidR="00F04AAA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Government </w:t>
      </w:r>
      <w:r w:rsidR="00E377F7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E</w:t>
      </w:r>
      <w:r w:rsidR="00F04AAA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ffectiveness </w:t>
      </w:r>
      <w:r w:rsidR="00E377F7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I</w:t>
      </w:r>
      <w:r w:rsidR="00A20A54">
        <w:rPr>
          <w:rFonts w:ascii="Times New Roman" w:eastAsia="Cambria" w:hAnsi="Times New Roman" w:cs="Times New Roman"/>
          <w:sz w:val="20"/>
          <w:szCs w:val="20"/>
          <w:lang w:val="en-GB"/>
        </w:rPr>
        <w:t>ndex (- </w:t>
      </w:r>
      <w:r w:rsidR="00F04AAA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0.51 in 2015)</w:t>
      </w:r>
      <w:r w:rsidR="00F04AAA" w:rsidRPr="001302DE">
        <w:rPr>
          <w:rStyle w:val="FootnoteReference"/>
          <w:rFonts w:ascii="Times New Roman" w:eastAsia="Cambria" w:hAnsi="Times New Roman"/>
          <w:sz w:val="20"/>
          <w:szCs w:val="20"/>
          <w:lang w:val="en-GB"/>
        </w:rPr>
        <w:footnoteReference w:id="7"/>
      </w:r>
      <w:r w:rsidR="00F04AAA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 </w:t>
      </w:r>
      <w:r w:rsidR="00E377F7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reflects </w:t>
      </w:r>
      <w:r w:rsidR="00672B2A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poor public service delivery and </w:t>
      </w:r>
      <w:r w:rsidR="00E377F7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slow institutional </w:t>
      </w:r>
      <w:r w:rsidR="00F04AAA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reform</w:t>
      </w:r>
      <w:r w:rsidR="00672B2A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. </w:t>
      </w:r>
      <w:r w:rsidR="0028291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Despite improvements</w:t>
      </w:r>
      <w:r w:rsidR="00BD7AF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, the country </w:t>
      </w:r>
      <w:r w:rsidR="00503FE6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is ranked </w:t>
      </w:r>
      <w:r w:rsidR="00BD7AF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13</w:t>
      </w:r>
      <w:r w:rsidR="007E5AA2">
        <w:rPr>
          <w:rFonts w:ascii="Times New Roman" w:eastAsia="Cambria" w:hAnsi="Times New Roman" w:cs="Times New Roman"/>
          <w:sz w:val="20"/>
          <w:szCs w:val="20"/>
          <w:lang w:val="en-GB"/>
        </w:rPr>
        <w:t>1</w:t>
      </w:r>
      <w:r w:rsidR="00BD7AF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537E4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of 176 </w:t>
      </w:r>
      <w:r w:rsidR="004E1662">
        <w:rPr>
          <w:rFonts w:ascii="Times New Roman" w:eastAsia="Cambria" w:hAnsi="Times New Roman" w:cs="Times New Roman"/>
          <w:sz w:val="20"/>
          <w:szCs w:val="20"/>
          <w:lang w:val="en-GB"/>
        </w:rPr>
        <w:t>countries</w:t>
      </w:r>
      <w:r w:rsidR="004E166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28291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in the </w:t>
      </w:r>
      <w:r w:rsidR="00BD7AF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2016 </w:t>
      </w:r>
      <w:r w:rsidR="000E3FEF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Corruption Perceptions Inde</w:t>
      </w:r>
      <w:r w:rsidR="00D92776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x</w:t>
      </w:r>
      <w:r w:rsidR="0073089F" w:rsidRPr="001302DE">
        <w:rPr>
          <w:rStyle w:val="FootnoteReference"/>
          <w:rFonts w:ascii="Times New Roman" w:eastAsia="Cambria" w:hAnsi="Times New Roman"/>
          <w:sz w:val="20"/>
          <w:szCs w:val="20"/>
          <w:lang w:val="en-GB"/>
        </w:rPr>
        <w:footnoteReference w:id="8"/>
      </w:r>
      <w:r w:rsidR="0028291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BD7AF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and </w:t>
      </w:r>
      <w:r w:rsidR="000B4DEB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78 </w:t>
      </w:r>
      <w:r w:rsidR="0002163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(of 113) </w:t>
      </w:r>
      <w:r w:rsidR="0029468A">
        <w:rPr>
          <w:rFonts w:ascii="Times New Roman" w:eastAsia="Cambria" w:hAnsi="Times New Roman" w:cs="Times New Roman"/>
          <w:sz w:val="20"/>
          <w:szCs w:val="20"/>
          <w:lang w:val="en-GB"/>
        </w:rPr>
        <w:t>i</w:t>
      </w:r>
      <w:r w:rsidR="0029468A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n </w:t>
      </w:r>
      <w:r w:rsidR="00B570F0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the </w:t>
      </w:r>
      <w:r w:rsidR="00F04AAA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Rule of </w:t>
      </w:r>
      <w:r w:rsidR="00E377F7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L</w:t>
      </w:r>
      <w:r w:rsidR="00F04AAA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aw </w:t>
      </w:r>
      <w:r w:rsidR="00E377F7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I</w:t>
      </w:r>
      <w:r w:rsidR="004F2883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ndex</w:t>
      </w:r>
      <w:r w:rsidR="00B570F0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.</w:t>
      </w:r>
      <w:r w:rsidR="00AB34BC" w:rsidRPr="001302DE">
        <w:rPr>
          <w:rStyle w:val="FootnoteReference"/>
          <w:rFonts w:ascii="Times New Roman" w:eastAsia="Cambria" w:hAnsi="Times New Roman"/>
          <w:sz w:val="20"/>
          <w:szCs w:val="20"/>
          <w:lang w:val="en-GB"/>
        </w:rPr>
        <w:footnoteReference w:id="9"/>
      </w:r>
      <w:r w:rsidR="00F04AAA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9B7DCF">
        <w:rPr>
          <w:rFonts w:ascii="Times New Roman" w:eastAsia="Cambria" w:hAnsi="Times New Roman" w:cs="Times New Roman"/>
          <w:sz w:val="20"/>
          <w:szCs w:val="20"/>
          <w:lang w:val="en-GB"/>
        </w:rPr>
        <w:t>Uk</w:t>
      </w:r>
      <w:r w:rsidR="00D10CEB" w:rsidRPr="001302DE">
        <w:rPr>
          <w:rFonts w:ascii="Times New Roman" w:hAnsi="Times New Roman" w:cs="Times New Roman"/>
          <w:sz w:val="20"/>
          <w:szCs w:val="20"/>
          <w:lang w:val="en-GB"/>
        </w:rPr>
        <w:t>rain</w:t>
      </w:r>
      <w:r w:rsidR="00D10CEB">
        <w:rPr>
          <w:rFonts w:ascii="Times New Roman" w:hAnsi="Times New Roman" w:cs="Times New Roman"/>
          <w:sz w:val="20"/>
          <w:szCs w:val="20"/>
          <w:lang w:val="en-GB"/>
        </w:rPr>
        <w:t>ian</w:t>
      </w:r>
      <w:r w:rsidR="000A5BC3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w</w:t>
      </w:r>
      <w:r w:rsidR="00B5254B" w:rsidRPr="001302DE">
        <w:rPr>
          <w:rFonts w:ascii="Times New Roman" w:hAnsi="Times New Roman" w:cs="Times New Roman"/>
          <w:sz w:val="20"/>
          <w:szCs w:val="20"/>
          <w:lang w:val="en-GB"/>
        </w:rPr>
        <w:t>omen remain underrepresented at all levels of decision-making, occupying only 12</w:t>
      </w:r>
      <w:r w:rsidR="004E1662">
        <w:rPr>
          <w:rFonts w:ascii="Times New Roman" w:hAnsi="Times New Roman" w:cs="Times New Roman"/>
          <w:sz w:val="20"/>
          <w:szCs w:val="20"/>
          <w:lang w:val="en-GB"/>
        </w:rPr>
        <w:t xml:space="preserve"> per cent</w:t>
      </w:r>
      <w:r w:rsidR="004E1662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B5254B" w:rsidRPr="001302DE">
        <w:rPr>
          <w:rFonts w:ascii="Times New Roman" w:hAnsi="Times New Roman" w:cs="Times New Roman"/>
          <w:sz w:val="20"/>
          <w:szCs w:val="20"/>
          <w:lang w:val="en-GB"/>
        </w:rPr>
        <w:t>of parliamentary seats and 15</w:t>
      </w:r>
      <w:r w:rsidR="004E1662">
        <w:rPr>
          <w:rFonts w:ascii="Times New Roman" w:hAnsi="Times New Roman" w:cs="Times New Roman"/>
          <w:sz w:val="20"/>
          <w:szCs w:val="20"/>
          <w:lang w:val="en-GB"/>
        </w:rPr>
        <w:t xml:space="preserve"> per cent</w:t>
      </w:r>
      <w:r w:rsidR="004E1662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B5254B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of positions in </w:t>
      </w:r>
      <w:r w:rsidR="005D3E20" w:rsidRPr="001302DE">
        <w:rPr>
          <w:rFonts w:ascii="Times New Roman" w:hAnsi="Times New Roman" w:cs="Times New Roman"/>
          <w:sz w:val="20"/>
          <w:szCs w:val="20"/>
          <w:lang w:val="en-GB"/>
        </w:rPr>
        <w:t>oblast councils</w:t>
      </w:r>
      <w:r w:rsidR="00B5254B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  <w:r w:rsidR="007E1DE8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On average, women </w:t>
      </w:r>
      <w:r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earn 3</w:t>
      </w:r>
      <w:r w:rsidR="00E17D19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6</w:t>
      </w:r>
      <w:r w:rsidR="004E1662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per cent</w:t>
      </w:r>
      <w:r w:rsidR="004E166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less than men. Rural women are particularly vulnerable: </w:t>
      </w:r>
      <w:r w:rsidRPr="001302DE">
        <w:rPr>
          <w:rFonts w:ascii="Times New Roman" w:hAnsi="Times New Roman" w:cs="Times New Roman"/>
          <w:sz w:val="20"/>
          <w:szCs w:val="20"/>
          <w:lang w:val="en-GB"/>
        </w:rPr>
        <w:t>48</w:t>
      </w:r>
      <w:r w:rsidR="004E1662">
        <w:rPr>
          <w:rFonts w:ascii="Times New Roman" w:hAnsi="Times New Roman" w:cs="Times New Roman"/>
          <w:sz w:val="20"/>
          <w:szCs w:val="20"/>
          <w:lang w:val="en-GB"/>
        </w:rPr>
        <w:t xml:space="preserve"> per cent</w:t>
      </w:r>
      <w:r w:rsidR="004E1662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do not have access to </w:t>
      </w:r>
      <w:r w:rsidR="007E1DE8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local </w:t>
      </w:r>
      <w:r w:rsidRPr="001302DE">
        <w:rPr>
          <w:rFonts w:ascii="Times New Roman" w:hAnsi="Times New Roman" w:cs="Times New Roman"/>
          <w:sz w:val="20"/>
          <w:szCs w:val="20"/>
          <w:lang w:val="en-GB"/>
        </w:rPr>
        <w:t>medical services</w:t>
      </w:r>
      <w:r w:rsidR="007E1DE8" w:rsidRPr="001302DE">
        <w:rPr>
          <w:rFonts w:ascii="Times New Roman" w:hAnsi="Times New Roman" w:cs="Times New Roman"/>
          <w:sz w:val="20"/>
          <w:szCs w:val="20"/>
          <w:lang w:val="en-GB"/>
        </w:rPr>
        <w:t>,</w:t>
      </w:r>
      <w:r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36</w:t>
      </w:r>
      <w:r w:rsidR="004E1662">
        <w:rPr>
          <w:rFonts w:ascii="Times New Roman" w:hAnsi="Times New Roman" w:cs="Times New Roman"/>
          <w:sz w:val="20"/>
          <w:szCs w:val="20"/>
          <w:lang w:val="en-GB"/>
        </w:rPr>
        <w:t xml:space="preserve"> per cent</w:t>
      </w:r>
      <w:r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do not participate in decision-making in their communities and 67</w:t>
      </w:r>
      <w:r w:rsidR="004E1662">
        <w:rPr>
          <w:rFonts w:ascii="Times New Roman" w:hAnsi="Times New Roman" w:cs="Times New Roman"/>
          <w:sz w:val="20"/>
          <w:szCs w:val="20"/>
          <w:lang w:val="en-GB"/>
        </w:rPr>
        <w:t xml:space="preserve"> per cent</w:t>
      </w:r>
      <w:r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AF7937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cannot </w:t>
      </w:r>
      <w:r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access </w:t>
      </w:r>
      <w:r w:rsidR="00AF7937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the </w:t>
      </w:r>
      <w:r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Internet </w:t>
      </w:r>
      <w:r w:rsidR="00AF7937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from </w:t>
      </w:r>
      <w:r w:rsidRPr="001302DE">
        <w:rPr>
          <w:rFonts w:ascii="Times New Roman" w:hAnsi="Times New Roman" w:cs="Times New Roman"/>
          <w:sz w:val="20"/>
          <w:szCs w:val="20"/>
          <w:lang w:val="en-GB"/>
        </w:rPr>
        <w:t>home.</w:t>
      </w:r>
      <w:r w:rsidRPr="001302DE">
        <w:rPr>
          <w:rStyle w:val="FootnoteReference"/>
          <w:rFonts w:ascii="Times New Roman" w:hAnsi="Times New Roman"/>
          <w:sz w:val="20"/>
          <w:szCs w:val="20"/>
          <w:lang w:val="en-GB"/>
        </w:rPr>
        <w:footnoteReference w:id="10"/>
      </w:r>
      <w:r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525396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Gender-based violence is prevalent and increasing. </w:t>
      </w:r>
      <w:r w:rsidR="00902489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Demographic </w:t>
      </w:r>
      <w:r w:rsidR="00672B2A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decline is exacerbated by policy inattention to youth, particularly in the areas of education and employment.</w:t>
      </w:r>
      <w:r w:rsidR="00672B2A" w:rsidRPr="001302DE">
        <w:rPr>
          <w:rStyle w:val="FootnoteReference"/>
          <w:rFonts w:ascii="Times New Roman" w:eastAsia="Cambria" w:hAnsi="Times New Roman"/>
          <w:sz w:val="20"/>
          <w:szCs w:val="20"/>
          <w:lang w:val="en-GB"/>
        </w:rPr>
        <w:footnoteReference w:id="11"/>
      </w:r>
      <w:r w:rsidR="00672B2A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Notably, p</w:t>
      </w:r>
      <w:r w:rsidR="00E77B0B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eople living with </w:t>
      </w:r>
      <w:r w:rsidR="00525396">
        <w:rPr>
          <w:rFonts w:ascii="Times New Roman" w:hAnsi="Times New Roman" w:cs="Times New Roman"/>
          <w:sz w:val="20"/>
          <w:szCs w:val="20"/>
          <w:lang w:val="en-GB"/>
        </w:rPr>
        <w:t>HIV, persons with disabilities</w:t>
      </w:r>
      <w:r w:rsidR="00EB5C64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E77B0B" w:rsidRPr="001302DE">
        <w:rPr>
          <w:rFonts w:ascii="Times New Roman" w:hAnsi="Times New Roman" w:cs="Times New Roman"/>
          <w:sz w:val="20"/>
          <w:szCs w:val="20"/>
          <w:lang w:val="en-GB"/>
        </w:rPr>
        <w:t>and drug users face significant barriers in access</w:t>
      </w:r>
      <w:r w:rsidR="000C63CB" w:rsidRPr="001302DE">
        <w:rPr>
          <w:rFonts w:ascii="Times New Roman" w:hAnsi="Times New Roman" w:cs="Times New Roman"/>
          <w:sz w:val="20"/>
          <w:szCs w:val="20"/>
          <w:lang w:val="en-GB"/>
        </w:rPr>
        <w:t>ing</w:t>
      </w:r>
      <w:r w:rsidR="00E77B0B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health</w:t>
      </w:r>
      <w:r w:rsidR="009E25A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E77B0B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care, education, employment and </w:t>
      </w:r>
      <w:r w:rsidR="008B2E84">
        <w:rPr>
          <w:rFonts w:ascii="Times New Roman" w:hAnsi="Times New Roman" w:cs="Times New Roman"/>
          <w:sz w:val="20"/>
          <w:szCs w:val="20"/>
          <w:lang w:val="en-GB"/>
        </w:rPr>
        <w:t xml:space="preserve">opportunities for </w:t>
      </w:r>
      <w:r w:rsidR="00E77B0B" w:rsidRPr="001302DE">
        <w:rPr>
          <w:rFonts w:ascii="Times New Roman" w:hAnsi="Times New Roman" w:cs="Times New Roman"/>
          <w:sz w:val="20"/>
          <w:szCs w:val="20"/>
          <w:lang w:val="en-GB"/>
        </w:rPr>
        <w:t>civic participation.</w:t>
      </w:r>
      <w:r w:rsidR="0023675C">
        <w:rPr>
          <w:rStyle w:val="FootnoteReference"/>
          <w:rFonts w:ascii="Times New Roman" w:hAnsi="Times New Roman"/>
          <w:sz w:val="20"/>
          <w:szCs w:val="20"/>
          <w:lang w:val="en-GB"/>
        </w:rPr>
        <w:footnoteReference w:id="12"/>
      </w:r>
    </w:p>
    <w:p w14:paraId="1251EB7F" w14:textId="6760722A" w:rsidR="00886F7D" w:rsidRPr="001302DE" w:rsidRDefault="00672B2A" w:rsidP="00A20A54">
      <w:pPr>
        <w:pStyle w:val="Normal1"/>
        <w:spacing w:after="120" w:line="240" w:lineRule="auto"/>
        <w:jc w:val="both"/>
        <w:rPr>
          <w:rFonts w:ascii="Times New Roman" w:eastAsia="Cambria" w:hAnsi="Times New Roman" w:cs="Times New Roman"/>
          <w:sz w:val="20"/>
          <w:szCs w:val="20"/>
          <w:lang w:val="en-GB"/>
        </w:rPr>
      </w:pPr>
      <w:r>
        <w:rPr>
          <w:rFonts w:ascii="Times New Roman" w:eastAsia="Cambria" w:hAnsi="Times New Roman" w:cs="Times New Roman"/>
          <w:sz w:val="20"/>
          <w:szCs w:val="20"/>
          <w:lang w:val="en-GB"/>
        </w:rPr>
        <w:t>4</w:t>
      </w:r>
      <w:r w:rsidR="00E77B0B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.</w:t>
      </w:r>
      <w:r w:rsidR="002053A8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973343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Sustainable development is constrained by environmental </w:t>
      </w:r>
      <w:r w:rsidR="00345BE4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degradation</w:t>
      </w:r>
      <w:r w:rsidR="00973343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,</w:t>
      </w:r>
      <w:r w:rsidR="00345BE4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49703F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including air pollution, unsafe drinking water, contamination from the Chernobyl disaster and deforestation</w:t>
      </w:r>
      <w:r w:rsidR="002D2FA8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. </w:t>
      </w:r>
      <w:r w:rsidR="009E25A2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Forty </w:t>
      </w:r>
      <w:r w:rsidR="004E1662">
        <w:rPr>
          <w:rFonts w:ascii="Times New Roman" w:eastAsia="Cambria" w:hAnsi="Times New Roman" w:cs="Times New Roman"/>
          <w:sz w:val="20"/>
          <w:szCs w:val="20"/>
          <w:lang w:val="en-GB"/>
        </w:rPr>
        <w:t>per cent</w:t>
      </w:r>
      <w:r w:rsidR="00B90980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of Ukraine’s territory is </w:t>
      </w:r>
      <w:r w:rsidR="00701326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eroded land</w:t>
      </w:r>
      <w:r w:rsidR="0085175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(</w:t>
      </w:r>
      <w:r w:rsidR="00E56AF0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expanding </w:t>
      </w:r>
      <w:r w:rsidR="00B90980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at 100,000 hectares annually</w:t>
      </w:r>
      <w:r w:rsidR="0085175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)</w:t>
      </w:r>
      <w:r w:rsidR="00A31840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,</w:t>
      </w:r>
      <w:r w:rsidR="00B90980" w:rsidRPr="001302DE">
        <w:rPr>
          <w:rStyle w:val="FootnoteReference"/>
          <w:rFonts w:ascii="Times New Roman" w:eastAsia="Cambria" w:hAnsi="Times New Roman"/>
          <w:sz w:val="20"/>
          <w:szCs w:val="20"/>
          <w:lang w:val="en-GB"/>
        </w:rPr>
        <w:footnoteReference w:id="13"/>
      </w:r>
      <w:r w:rsidR="00B90980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A31840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leading to </w:t>
      </w:r>
      <w:r w:rsidR="00B90980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$6 billion</w:t>
      </w:r>
      <w:r w:rsidR="00A31840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in </w:t>
      </w:r>
      <w:r w:rsidR="0011353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annual </w:t>
      </w:r>
      <w:r w:rsidR="00A31840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economic losses</w:t>
      </w:r>
      <w:r w:rsidR="00B90980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.</w:t>
      </w:r>
      <w:r w:rsidR="00B90980" w:rsidRPr="001302DE">
        <w:rPr>
          <w:rStyle w:val="FootnoteReference"/>
          <w:rFonts w:ascii="Times New Roman" w:eastAsia="Cambria" w:hAnsi="Times New Roman"/>
          <w:sz w:val="20"/>
          <w:szCs w:val="20"/>
          <w:lang w:val="en-GB"/>
        </w:rPr>
        <w:footnoteReference w:id="14"/>
      </w:r>
      <w:r w:rsidR="00056D18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575ACB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Despite rich 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natural environments and resources</w:t>
      </w:r>
      <w:r w:rsidR="00575ACB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,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575ACB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Ukraine 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is one of the </w:t>
      </w:r>
      <w:r w:rsidR="00E56AF0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most 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polluted countries in the region.</w:t>
      </w:r>
      <w:r w:rsidR="008E5C7C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E56AF0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O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ne of the least </w:t>
      </w:r>
      <w:r w:rsidR="00EE0089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energy</w:t>
      </w:r>
      <w:r w:rsidR="00EE0089">
        <w:rPr>
          <w:rFonts w:ascii="Times New Roman" w:eastAsia="Cambria" w:hAnsi="Times New Roman" w:cs="Times New Roman"/>
          <w:sz w:val="20"/>
          <w:szCs w:val="20"/>
          <w:lang w:val="en-GB"/>
        </w:rPr>
        <w:t>-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efficient countries in the world, </w:t>
      </w:r>
      <w:r w:rsidR="00E56AF0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Ukraine </w:t>
      </w:r>
      <w:r w:rsidR="00EE0089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relies 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heavily on high-cost imports.</w:t>
      </w:r>
      <w:r w:rsidR="0053720E" w:rsidRPr="001302DE">
        <w:rPr>
          <w:rStyle w:val="FootnoteReference"/>
          <w:rFonts w:ascii="Times New Roman" w:eastAsia="Cambria" w:hAnsi="Times New Roman"/>
          <w:sz w:val="20"/>
          <w:szCs w:val="20"/>
          <w:lang w:val="en-GB"/>
        </w:rPr>
        <w:footnoteReference w:id="15"/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</w:p>
    <w:p w14:paraId="6BC43270" w14:textId="4FAD93E8" w:rsidR="00AF5625" w:rsidRPr="001302DE" w:rsidRDefault="00672B2A" w:rsidP="00A20A54">
      <w:pPr>
        <w:pStyle w:val="Normal1"/>
        <w:spacing w:after="120" w:line="240" w:lineRule="auto"/>
        <w:jc w:val="both"/>
        <w:rPr>
          <w:rFonts w:ascii="Times New Roman" w:eastAsia="Cambria" w:hAnsi="Times New Roman" w:cs="Times New Roman"/>
          <w:sz w:val="20"/>
          <w:szCs w:val="20"/>
          <w:lang w:val="en-GB"/>
        </w:rPr>
      </w:pPr>
      <w:r>
        <w:rPr>
          <w:rFonts w:ascii="Times New Roman" w:eastAsia="Cambria" w:hAnsi="Times New Roman" w:cs="Times New Roman"/>
          <w:sz w:val="20"/>
          <w:szCs w:val="20"/>
          <w:lang w:val="en-GB"/>
        </w:rPr>
        <w:lastRenderedPageBreak/>
        <w:t>5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. </w:t>
      </w:r>
      <w:r w:rsidR="00F967A9">
        <w:rPr>
          <w:rFonts w:ascii="Times New Roman" w:eastAsia="Cambria" w:hAnsi="Times New Roman" w:cs="Times New Roman"/>
          <w:sz w:val="20"/>
          <w:szCs w:val="20"/>
          <w:lang w:val="en-GB"/>
        </w:rPr>
        <w:t>T</w:t>
      </w:r>
      <w:r w:rsidR="00D629FB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he</w:t>
      </w:r>
      <w:r w:rsidR="007C2A8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EE0089">
        <w:rPr>
          <w:rFonts w:ascii="Times New Roman" w:eastAsia="Cambria" w:hAnsi="Times New Roman" w:cs="Times New Roman"/>
          <w:sz w:val="20"/>
          <w:szCs w:val="20"/>
          <w:lang w:val="en-GB"/>
        </w:rPr>
        <w:t>G</w:t>
      </w:r>
      <w:r w:rsidR="00EE0089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overnment 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has stabilized the economy</w:t>
      </w:r>
      <w:r w:rsidR="00F0642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,</w:t>
      </w:r>
      <w:r w:rsidR="000131B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restrained inflation</w:t>
      </w:r>
      <w:r w:rsidR="00F0642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and achieved 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modest growth</w:t>
      </w:r>
      <w:r w:rsidR="00F0642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,</w:t>
      </w:r>
      <w:r w:rsidR="00886F7D" w:rsidRPr="001302DE">
        <w:rPr>
          <w:rStyle w:val="FootnoteReference"/>
          <w:rFonts w:ascii="Times New Roman" w:eastAsia="Cambria" w:hAnsi="Times New Roman"/>
          <w:sz w:val="20"/>
          <w:szCs w:val="20"/>
          <w:lang w:val="en-GB"/>
        </w:rPr>
        <w:footnoteReference w:id="16"/>
      </w:r>
      <w:r w:rsidR="008E5C7C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F967A9">
        <w:rPr>
          <w:rFonts w:ascii="Times New Roman" w:eastAsia="Cambria" w:hAnsi="Times New Roman" w:cs="Times New Roman"/>
          <w:sz w:val="20"/>
          <w:szCs w:val="20"/>
          <w:lang w:val="en-GB"/>
        </w:rPr>
        <w:t>but</w:t>
      </w:r>
      <w:r w:rsidR="00F0642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292648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recognizes </w:t>
      </w:r>
      <w:r w:rsidR="00292648">
        <w:rPr>
          <w:rFonts w:ascii="Times New Roman" w:eastAsia="Cambria" w:hAnsi="Times New Roman" w:cs="Times New Roman"/>
          <w:sz w:val="20"/>
          <w:szCs w:val="20"/>
          <w:lang w:val="en-GB"/>
        </w:rPr>
        <w:t>the</w:t>
      </w:r>
      <w:r w:rsidR="00F0642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F967A9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critical </w:t>
      </w:r>
      <w:r w:rsidR="00F0642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need</w:t>
      </w:r>
      <w:r w:rsidR="00F967A9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for</w:t>
      </w:r>
      <w:r w:rsidR="00F0642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D10EE3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innovative</w:t>
      </w:r>
      <w:r w:rsidR="00AF562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sustainable and inclusive development </w:t>
      </w:r>
      <w:r w:rsidR="00F967A9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strategies</w:t>
      </w:r>
      <w:r w:rsidR="006E44C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. </w:t>
      </w:r>
      <w:r w:rsidR="007C2A8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The </w:t>
      </w:r>
      <w:r w:rsidR="006E44C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President </w:t>
      </w:r>
      <w:r w:rsidR="00EE0089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has </w:t>
      </w:r>
      <w:r w:rsidR="007C2A8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declared </w:t>
      </w:r>
      <w:r w:rsidR="00EE0089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that </w:t>
      </w:r>
      <w:r w:rsidR="006E44C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the </w:t>
      </w:r>
      <w:r w:rsidR="004E7BEE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Sustainable Development Goals </w:t>
      </w:r>
      <w:r w:rsidR="006E44C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will serve as a common foundation </w:t>
      </w:r>
      <w:r w:rsidR="0002353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for reform</w:t>
      </w:r>
      <w:r w:rsidR="00000E9A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. </w:t>
      </w:r>
      <w:r w:rsidR="00D81A33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A m</w:t>
      </w:r>
      <w:r w:rsidR="00000E9A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ulti-stakeholder approach </w:t>
      </w:r>
      <w:r w:rsidR="00332E48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was</w:t>
      </w:r>
      <w:r w:rsidR="00000E9A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implemented </w:t>
      </w:r>
      <w:r w:rsidR="00A864D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in </w:t>
      </w:r>
      <w:r w:rsidR="00000E9A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all stages of </w:t>
      </w:r>
      <w:r w:rsidR="008D3E4A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adapt</w:t>
      </w:r>
      <w:r w:rsidR="008D3E4A">
        <w:rPr>
          <w:rFonts w:ascii="Times New Roman" w:eastAsia="Cambria" w:hAnsi="Times New Roman" w:cs="Times New Roman"/>
          <w:sz w:val="20"/>
          <w:szCs w:val="20"/>
          <w:lang w:val="en-GB"/>
        </w:rPr>
        <w:t>ing the Goals</w:t>
      </w:r>
      <w:r w:rsidR="00332E48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, </w:t>
      </w:r>
      <w:r w:rsidR="00902489">
        <w:rPr>
          <w:rFonts w:ascii="Times New Roman" w:eastAsia="Cambria" w:hAnsi="Times New Roman" w:cs="Times New Roman"/>
          <w:sz w:val="20"/>
          <w:szCs w:val="20"/>
          <w:lang w:val="en-GB"/>
        </w:rPr>
        <w:t>with</w:t>
      </w:r>
      <w:r w:rsidR="00902489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000E9A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U</w:t>
      </w:r>
      <w:r w:rsidR="008D3E4A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nited </w:t>
      </w:r>
      <w:r w:rsidR="00000E9A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N</w:t>
      </w:r>
      <w:r w:rsidR="008D3E4A">
        <w:rPr>
          <w:rFonts w:ascii="Times New Roman" w:eastAsia="Cambria" w:hAnsi="Times New Roman" w:cs="Times New Roman"/>
          <w:sz w:val="20"/>
          <w:szCs w:val="20"/>
          <w:lang w:val="en-GB"/>
        </w:rPr>
        <w:t>ations</w:t>
      </w:r>
      <w:r w:rsidR="00000E9A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agencies, </w:t>
      </w:r>
      <w:r w:rsidR="00FC34B5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government, academia and </w:t>
      </w:r>
      <w:r w:rsidR="008D3E4A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civil society organizations </w:t>
      </w:r>
      <w:r w:rsidR="00A3584E">
        <w:rPr>
          <w:rFonts w:ascii="Times New Roman" w:eastAsia="Cambria" w:hAnsi="Times New Roman" w:cs="Times New Roman"/>
          <w:sz w:val="20"/>
          <w:szCs w:val="20"/>
          <w:lang w:val="en-GB"/>
        </w:rPr>
        <w:t>(</w:t>
      </w:r>
      <w:r w:rsidR="00000E9A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CSO</w:t>
      </w:r>
      <w:r w:rsidR="00332E48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s</w:t>
      </w:r>
      <w:r w:rsidR="00A3584E">
        <w:rPr>
          <w:rFonts w:ascii="Times New Roman" w:eastAsia="Cambria" w:hAnsi="Times New Roman" w:cs="Times New Roman"/>
          <w:sz w:val="20"/>
          <w:szCs w:val="20"/>
          <w:lang w:val="en-GB"/>
        </w:rPr>
        <w:t>)</w:t>
      </w:r>
      <w:r w:rsidR="00332E48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902489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participating </w:t>
      </w:r>
      <w:r w:rsidR="00000E9A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in </w:t>
      </w:r>
      <w:r w:rsidR="00493F4C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50</w:t>
      </w:r>
      <w:r w:rsidR="00D6313A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national and regional </w:t>
      </w:r>
      <w:r w:rsidR="00000E9A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consultati</w:t>
      </w:r>
      <w:r w:rsidR="00D6313A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on</w:t>
      </w:r>
      <w:r w:rsidR="00332E48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s</w:t>
      </w:r>
      <w:r w:rsidR="00C8297E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.</w:t>
      </w:r>
      <w:r w:rsidR="00000E9A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</w:p>
    <w:p w14:paraId="60CFE194" w14:textId="7232E171" w:rsidR="00AF5625" w:rsidRPr="001302DE" w:rsidRDefault="00672B2A" w:rsidP="00A20A54">
      <w:pPr>
        <w:pStyle w:val="Normal1"/>
        <w:spacing w:after="120" w:line="240" w:lineRule="auto"/>
        <w:jc w:val="both"/>
        <w:rPr>
          <w:rFonts w:ascii="Times New Roman" w:eastAsia="Cambria" w:hAnsi="Times New Roman" w:cs="Times New Roman"/>
          <w:sz w:val="20"/>
          <w:szCs w:val="20"/>
          <w:lang w:val="en-GB"/>
        </w:rPr>
      </w:pPr>
      <w:r>
        <w:rPr>
          <w:rFonts w:ascii="Times New Roman" w:eastAsia="Cambria" w:hAnsi="Times New Roman" w:cs="Times New Roman"/>
          <w:sz w:val="20"/>
          <w:szCs w:val="20"/>
          <w:lang w:val="en-GB"/>
        </w:rPr>
        <w:t>6</w:t>
      </w:r>
      <w:r w:rsidR="00DD6B69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. </w:t>
      </w:r>
      <w:r w:rsidR="00D17226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T</w:t>
      </w:r>
      <w:r w:rsidR="00F8055A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he </w:t>
      </w:r>
      <w:r w:rsidR="009A59C7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2020 </w:t>
      </w:r>
      <w:r w:rsidR="009A59C7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Strategy</w:t>
      </w:r>
      <w:r w:rsidR="00D17226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for Sustainable Development</w:t>
      </w:r>
      <w:r w:rsidR="005A2BCD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of </w:t>
      </w:r>
      <w:r w:rsidR="009933F1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Ukraine </w:t>
      </w:r>
      <w:r w:rsidR="009933F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prioritizes</w:t>
      </w:r>
      <w:r w:rsidR="00D629FB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D17226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key r</w:t>
      </w:r>
      <w:r w:rsidR="00E60F2F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eforms</w:t>
      </w:r>
      <w:r w:rsidR="008D1C2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including</w:t>
      </w:r>
      <w:r w:rsidR="002B62DF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6D32C0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corruption, justice,</w:t>
      </w:r>
      <w:r w:rsidR="00D17226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E60F2F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health care</w:t>
      </w:r>
      <w:r w:rsidR="00D17226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2B62DF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and </w:t>
      </w:r>
      <w:r w:rsidR="008D1C2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environmental protection</w:t>
      </w:r>
      <w:r w:rsidR="006D32C0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.</w:t>
      </w:r>
      <w:r w:rsidR="006D32C0" w:rsidRPr="001302DE">
        <w:rPr>
          <w:rStyle w:val="FootnoteReference"/>
          <w:rFonts w:ascii="Times New Roman" w:eastAsia="Cambria" w:hAnsi="Times New Roman"/>
          <w:sz w:val="20"/>
          <w:szCs w:val="20"/>
          <w:lang w:val="en-GB"/>
        </w:rPr>
        <w:footnoteReference w:id="17"/>
      </w:r>
      <w:r w:rsidR="006D32C0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A17C4C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The </w:t>
      </w:r>
      <w:r w:rsidR="0057575B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E</w:t>
      </w:r>
      <w:r w:rsidR="00A3584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uropean </w:t>
      </w:r>
      <w:r w:rsidR="0057575B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U</w:t>
      </w:r>
      <w:r w:rsidR="00A3584E">
        <w:rPr>
          <w:rFonts w:ascii="Times New Roman" w:eastAsia="Cambria" w:hAnsi="Times New Roman" w:cs="Times New Roman"/>
          <w:sz w:val="20"/>
          <w:szCs w:val="20"/>
          <w:lang w:val="en-GB"/>
        </w:rPr>
        <w:t>nion</w:t>
      </w:r>
      <w:r w:rsidR="0057575B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9E25A2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(EU) </w:t>
      </w:r>
      <w:r w:rsidR="0057575B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Association Agreement </w:t>
      </w:r>
      <w:r w:rsidR="00AF562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and the </w:t>
      </w:r>
      <w:r w:rsidR="00F776C8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International Monetary Fund </w:t>
      </w:r>
      <w:r w:rsidR="00AF562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Memorandum on Reform</w:t>
      </w:r>
      <w:r w:rsidR="006B3C2E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AF562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outline further reform commitments, designed to promote an inclusive economy, accountable government</w:t>
      </w:r>
      <w:r w:rsidR="008D1C2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and </w:t>
      </w:r>
      <w:r w:rsidR="00AF562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human rights safeguards.</w:t>
      </w:r>
      <w:r w:rsidR="00AF5625" w:rsidRPr="001302DE">
        <w:rPr>
          <w:rStyle w:val="FootnoteReference"/>
          <w:rFonts w:ascii="Times New Roman" w:eastAsia="Cambria" w:hAnsi="Times New Roman"/>
          <w:sz w:val="20"/>
          <w:szCs w:val="20"/>
          <w:lang w:val="en-GB"/>
        </w:rPr>
        <w:footnoteReference w:id="18"/>
      </w:r>
      <w:r w:rsidR="00AF562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C266C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T</w:t>
      </w:r>
      <w:r w:rsidR="008D1C2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he State Targeted Programme (to be endorsed in 2017) prioritizes recovery and peacebuilding in </w:t>
      </w:r>
      <w:r w:rsidR="009E25A2">
        <w:rPr>
          <w:rFonts w:ascii="Times New Roman" w:eastAsia="Cambria" w:hAnsi="Times New Roman" w:cs="Times New Roman"/>
          <w:sz w:val="20"/>
          <w:szCs w:val="20"/>
          <w:lang w:val="en-GB"/>
        </w:rPr>
        <w:t>e</w:t>
      </w:r>
      <w:r w:rsidR="009E25A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astern </w:t>
      </w:r>
      <w:r w:rsidR="008D1C2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Ukraine. </w:t>
      </w:r>
      <w:r w:rsidR="006C36B6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All </w:t>
      </w:r>
      <w:r w:rsidR="00C266C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UNDP </w:t>
      </w:r>
      <w:r w:rsidR="006C36B6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programme </w:t>
      </w:r>
      <w:r w:rsidR="00E37059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outcomes reflect government priorities. </w:t>
      </w:r>
    </w:p>
    <w:p w14:paraId="220DE460" w14:textId="1E5B0D5D" w:rsidR="00E06CE4" w:rsidRDefault="00672B2A" w:rsidP="00A20A54">
      <w:pPr>
        <w:spacing w:after="120"/>
        <w:jc w:val="both"/>
        <w:rPr>
          <w:rFonts w:eastAsia="Cambria"/>
          <w:lang w:val="en-GB"/>
        </w:rPr>
      </w:pPr>
      <w:r>
        <w:rPr>
          <w:rFonts w:eastAsia="Cambria"/>
          <w:lang w:val="en-GB"/>
        </w:rPr>
        <w:t>7</w:t>
      </w:r>
      <w:r w:rsidR="00E06CE4" w:rsidRPr="001302DE">
        <w:rPr>
          <w:rFonts w:eastAsia="Cambria"/>
          <w:lang w:val="en-GB"/>
        </w:rPr>
        <w:t xml:space="preserve">. The </w:t>
      </w:r>
      <w:r w:rsidR="00332B1B" w:rsidRPr="001302DE">
        <w:rPr>
          <w:rFonts w:eastAsia="Cambria"/>
          <w:lang w:val="en-GB"/>
        </w:rPr>
        <w:t>United Nations Development Assistance Framework (</w:t>
      </w:r>
      <w:r w:rsidR="00E06CE4" w:rsidRPr="001302DE">
        <w:rPr>
          <w:rFonts w:eastAsia="Cambria"/>
        </w:rPr>
        <w:t>UNDAF</w:t>
      </w:r>
      <w:r w:rsidR="00332B1B" w:rsidRPr="001302DE">
        <w:rPr>
          <w:rFonts w:eastAsia="Cambria"/>
        </w:rPr>
        <w:t>)</w:t>
      </w:r>
      <w:r w:rsidR="00E06CE4" w:rsidRPr="001302DE">
        <w:rPr>
          <w:rFonts w:eastAsia="Cambria"/>
          <w:lang w:val="en-GB"/>
        </w:rPr>
        <w:t xml:space="preserve"> </w:t>
      </w:r>
      <w:r w:rsidR="008D3E4A">
        <w:rPr>
          <w:rFonts w:eastAsia="Cambria"/>
          <w:lang w:val="en-GB"/>
        </w:rPr>
        <w:t>e</w:t>
      </w:r>
      <w:r w:rsidR="008D3E4A" w:rsidRPr="001302DE">
        <w:rPr>
          <w:rFonts w:eastAsia="Cambria"/>
          <w:lang w:val="en-GB"/>
        </w:rPr>
        <w:t xml:space="preserve">valuation </w:t>
      </w:r>
      <w:r w:rsidR="00E06CE4" w:rsidRPr="001302DE">
        <w:rPr>
          <w:rFonts w:eastAsia="Cambria"/>
          <w:lang w:val="en-GB"/>
        </w:rPr>
        <w:t xml:space="preserve">commended </w:t>
      </w:r>
      <w:r w:rsidR="008D3E4A">
        <w:rPr>
          <w:rFonts w:eastAsia="Cambria"/>
          <w:lang w:val="en-GB"/>
        </w:rPr>
        <w:t xml:space="preserve">the early response by </w:t>
      </w:r>
      <w:r w:rsidR="00E06CE4" w:rsidRPr="001302DE">
        <w:rPr>
          <w:rFonts w:eastAsia="Cambria"/>
          <w:lang w:val="en-GB"/>
        </w:rPr>
        <w:t>UNDP to the eastern Ukraine</w:t>
      </w:r>
      <w:r w:rsidR="00456F59" w:rsidRPr="001302DE">
        <w:rPr>
          <w:rFonts w:eastAsia="Cambria"/>
          <w:lang w:val="en-GB"/>
        </w:rPr>
        <w:t xml:space="preserve"> crisis</w:t>
      </w:r>
      <w:r w:rsidR="00E06CE4" w:rsidRPr="001302DE">
        <w:rPr>
          <w:rFonts w:eastAsia="Cambria"/>
          <w:lang w:val="en-GB"/>
        </w:rPr>
        <w:t>.</w:t>
      </w:r>
      <w:r w:rsidR="00E06CE4" w:rsidRPr="001302DE">
        <w:rPr>
          <w:rStyle w:val="FootnoteReference"/>
          <w:rFonts w:eastAsia="Cambria"/>
          <w:lang w:val="en-GB"/>
        </w:rPr>
        <w:footnoteReference w:id="19"/>
      </w:r>
      <w:r w:rsidR="00E06CE4" w:rsidRPr="001302DE">
        <w:rPr>
          <w:rFonts w:eastAsia="Cambria"/>
          <w:lang w:val="en-GB"/>
        </w:rPr>
        <w:t xml:space="preserve"> The </w:t>
      </w:r>
      <w:r w:rsidR="003D7D9D" w:rsidRPr="001302DE">
        <w:rPr>
          <w:rFonts w:eastAsia="Cambria"/>
          <w:lang w:val="en-GB"/>
        </w:rPr>
        <w:t xml:space="preserve">Recovery and Peacebuilding Assessment </w:t>
      </w:r>
      <w:r w:rsidR="00E06CE4" w:rsidRPr="001302DE">
        <w:rPr>
          <w:rFonts w:eastAsia="Cambria"/>
          <w:lang w:val="en-GB"/>
        </w:rPr>
        <w:t xml:space="preserve">determined that </w:t>
      </w:r>
      <w:r w:rsidR="008D3E4A">
        <w:rPr>
          <w:rFonts w:eastAsia="Cambria"/>
          <w:lang w:val="en-GB"/>
        </w:rPr>
        <w:t xml:space="preserve">the </w:t>
      </w:r>
      <w:r w:rsidR="00E06CE4" w:rsidRPr="001302DE">
        <w:rPr>
          <w:rFonts w:eastAsia="Cambria"/>
          <w:lang w:val="en-GB"/>
        </w:rPr>
        <w:t xml:space="preserve">UNDP reputation as an honest broker and its close working relationships with national and local governments </w:t>
      </w:r>
      <w:r w:rsidR="0017405D" w:rsidRPr="001302DE">
        <w:rPr>
          <w:rFonts w:eastAsia="Cambria"/>
          <w:lang w:val="en-GB"/>
        </w:rPr>
        <w:t xml:space="preserve">strongly </w:t>
      </w:r>
      <w:r w:rsidR="00E06CE4" w:rsidRPr="001302DE">
        <w:rPr>
          <w:rFonts w:eastAsia="Cambria"/>
          <w:lang w:val="en-GB"/>
        </w:rPr>
        <w:t xml:space="preserve">positioned </w:t>
      </w:r>
      <w:r w:rsidR="0017405D" w:rsidRPr="001302DE">
        <w:rPr>
          <w:rFonts w:eastAsia="Cambria"/>
          <w:lang w:val="en-GB"/>
        </w:rPr>
        <w:t xml:space="preserve">UNDP </w:t>
      </w:r>
      <w:r w:rsidR="00E06CE4" w:rsidRPr="001302DE">
        <w:rPr>
          <w:rFonts w:eastAsia="Cambria"/>
          <w:lang w:val="en-GB"/>
        </w:rPr>
        <w:t xml:space="preserve">to support the </w:t>
      </w:r>
      <w:r w:rsidR="008D3E4A">
        <w:rPr>
          <w:rFonts w:eastAsia="Cambria"/>
          <w:lang w:val="en-GB"/>
        </w:rPr>
        <w:t>G</w:t>
      </w:r>
      <w:r w:rsidR="008D3E4A" w:rsidRPr="001302DE">
        <w:rPr>
          <w:rFonts w:eastAsia="Cambria"/>
          <w:lang w:val="en-GB"/>
        </w:rPr>
        <w:t xml:space="preserve">overnment </w:t>
      </w:r>
      <w:r w:rsidR="009E25A2">
        <w:rPr>
          <w:rFonts w:eastAsia="Cambria"/>
          <w:lang w:val="en-GB"/>
        </w:rPr>
        <w:t xml:space="preserve">in </w:t>
      </w:r>
      <w:r w:rsidR="009E25A2" w:rsidRPr="001302DE">
        <w:rPr>
          <w:rFonts w:eastAsia="Cambria"/>
          <w:lang w:val="en-GB"/>
        </w:rPr>
        <w:t>manag</w:t>
      </w:r>
      <w:r w:rsidR="009E25A2">
        <w:rPr>
          <w:rFonts w:eastAsia="Cambria"/>
          <w:lang w:val="en-GB"/>
        </w:rPr>
        <w:t>ing</w:t>
      </w:r>
      <w:r w:rsidR="009E25A2" w:rsidRPr="001302DE">
        <w:rPr>
          <w:rFonts w:eastAsia="Cambria"/>
          <w:lang w:val="en-GB"/>
        </w:rPr>
        <w:t xml:space="preserve"> </w:t>
      </w:r>
      <w:r w:rsidR="00E06CE4" w:rsidRPr="001302DE">
        <w:rPr>
          <w:rFonts w:eastAsia="Cambria"/>
          <w:lang w:val="en-GB"/>
        </w:rPr>
        <w:t>the recovery of conflict-affected areas</w:t>
      </w:r>
      <w:r w:rsidR="00A20A54">
        <w:rPr>
          <w:rFonts w:eastAsia="Cambria"/>
          <w:lang w:val="en-GB"/>
        </w:rPr>
        <w:t>.</w:t>
      </w:r>
      <w:r w:rsidR="00525396" w:rsidRPr="001302DE">
        <w:rPr>
          <w:rStyle w:val="FootnoteReference"/>
          <w:lang w:val="en-GB"/>
        </w:rPr>
        <w:footnoteReference w:id="20"/>
      </w:r>
      <w:r w:rsidR="00E06CE4" w:rsidRPr="001302DE">
        <w:rPr>
          <w:rFonts w:eastAsia="Cambria"/>
          <w:lang w:val="en-GB"/>
        </w:rPr>
        <w:t xml:space="preserve"> </w:t>
      </w:r>
      <w:r w:rsidR="007B11DA">
        <w:rPr>
          <w:rFonts w:eastAsia="Cambria"/>
          <w:lang w:val="en-GB"/>
        </w:rPr>
        <w:t>Due to e</w:t>
      </w:r>
      <w:r w:rsidR="002859DE">
        <w:rPr>
          <w:rFonts w:eastAsia="Cambria"/>
          <w:lang w:val="en-GB"/>
        </w:rPr>
        <w:t xml:space="preserve">ffective performance on the ground </w:t>
      </w:r>
      <w:r w:rsidR="007B11DA">
        <w:rPr>
          <w:rFonts w:eastAsia="Cambria"/>
          <w:lang w:val="en-GB"/>
        </w:rPr>
        <w:t xml:space="preserve">and its emphasis on democratic governance, </w:t>
      </w:r>
      <w:r w:rsidR="002859DE">
        <w:rPr>
          <w:rFonts w:eastAsia="Cambria"/>
          <w:lang w:val="en-GB"/>
        </w:rPr>
        <w:t>UNDP became</w:t>
      </w:r>
      <w:r w:rsidR="00E06CE4" w:rsidRPr="001302DE">
        <w:rPr>
          <w:rFonts w:eastAsia="Cambria"/>
          <w:lang w:val="en-GB"/>
        </w:rPr>
        <w:t xml:space="preserve"> a partner of choice in </w:t>
      </w:r>
      <w:r w:rsidR="008D3E4A">
        <w:rPr>
          <w:rFonts w:eastAsia="Cambria"/>
          <w:lang w:val="en-GB"/>
        </w:rPr>
        <w:t>e</w:t>
      </w:r>
      <w:r w:rsidR="008D3E4A" w:rsidRPr="001302DE">
        <w:rPr>
          <w:rFonts w:eastAsia="Cambria"/>
          <w:lang w:val="en-GB"/>
        </w:rPr>
        <w:t xml:space="preserve">astern </w:t>
      </w:r>
      <w:r w:rsidR="00E06CE4" w:rsidRPr="001302DE">
        <w:rPr>
          <w:rFonts w:eastAsia="Cambria"/>
          <w:lang w:val="en-GB"/>
        </w:rPr>
        <w:t>Ukraine.</w:t>
      </w:r>
      <w:r w:rsidR="00E06CE4" w:rsidRPr="001302DE">
        <w:rPr>
          <w:rStyle w:val="FootnoteReference"/>
          <w:rFonts w:eastAsia="Cambria"/>
          <w:lang w:val="en-GB"/>
        </w:rPr>
        <w:footnoteReference w:id="21"/>
      </w:r>
      <w:r w:rsidR="00E06CE4" w:rsidRPr="001302DE">
        <w:rPr>
          <w:rFonts w:eastAsia="Cambria"/>
          <w:lang w:val="en-GB"/>
        </w:rPr>
        <w:t xml:space="preserve"> The</w:t>
      </w:r>
      <w:r w:rsidR="00525396">
        <w:rPr>
          <w:rFonts w:eastAsia="Cambria"/>
          <w:lang w:val="en-GB"/>
        </w:rPr>
        <w:t xml:space="preserve"> outcome evaluation </w:t>
      </w:r>
      <w:r w:rsidR="00E06CE4" w:rsidRPr="001302DE">
        <w:rPr>
          <w:color w:val="000000"/>
          <w:lang w:val="en-GB"/>
        </w:rPr>
        <w:t>recommended clear</w:t>
      </w:r>
      <w:r w:rsidR="00834D1C" w:rsidRPr="001302DE">
        <w:rPr>
          <w:color w:val="000000"/>
          <w:lang w:val="en-GB"/>
        </w:rPr>
        <w:t>er</w:t>
      </w:r>
      <w:r w:rsidR="00E06CE4" w:rsidRPr="001302DE">
        <w:rPr>
          <w:color w:val="000000"/>
          <w:lang w:val="en-GB"/>
        </w:rPr>
        <w:t xml:space="preserve"> identification of </w:t>
      </w:r>
      <w:r w:rsidR="008D3E4A">
        <w:rPr>
          <w:color w:val="000000"/>
          <w:lang w:val="en-GB"/>
        </w:rPr>
        <w:t xml:space="preserve">the </w:t>
      </w:r>
      <w:r w:rsidR="00E06CE4" w:rsidRPr="001302DE">
        <w:rPr>
          <w:color w:val="000000"/>
          <w:lang w:val="en-GB"/>
        </w:rPr>
        <w:t>UNDP niche in recove</w:t>
      </w:r>
      <w:r>
        <w:rPr>
          <w:color w:val="000000"/>
          <w:lang w:val="en-GB"/>
        </w:rPr>
        <w:t>ry and economic development</w:t>
      </w:r>
      <w:r w:rsidR="00E06CE4" w:rsidRPr="001302DE">
        <w:rPr>
          <w:color w:val="000000"/>
          <w:lang w:val="en-GB"/>
        </w:rPr>
        <w:t xml:space="preserve">, and </w:t>
      </w:r>
      <w:r w:rsidR="00834D1C" w:rsidRPr="001302DE">
        <w:rPr>
          <w:lang w:val="en-GB"/>
        </w:rPr>
        <w:t>effective</w:t>
      </w:r>
      <w:r w:rsidR="00E06CE4" w:rsidRPr="001302DE">
        <w:rPr>
          <w:lang w:val="en-GB"/>
        </w:rPr>
        <w:t xml:space="preserve"> </w:t>
      </w:r>
      <w:r w:rsidR="00E06CE4" w:rsidRPr="001302DE">
        <w:rPr>
          <w:rFonts w:eastAsia="Cambria"/>
          <w:lang w:val="en-GB"/>
        </w:rPr>
        <w:t>target</w:t>
      </w:r>
      <w:r w:rsidR="00834D1C" w:rsidRPr="001302DE">
        <w:rPr>
          <w:rFonts w:eastAsia="Cambria"/>
          <w:lang w:val="en-GB"/>
        </w:rPr>
        <w:t>ing of</w:t>
      </w:r>
      <w:r w:rsidR="00E06CE4" w:rsidRPr="001302DE">
        <w:rPr>
          <w:rFonts w:eastAsia="Cambria"/>
          <w:lang w:val="en-GB"/>
        </w:rPr>
        <w:t xml:space="preserve"> vulnerabilities in conflict-affected areas</w:t>
      </w:r>
      <w:r w:rsidR="00B567CC">
        <w:rPr>
          <w:lang w:val="en-GB"/>
        </w:rPr>
        <w:t>;</w:t>
      </w:r>
      <w:r w:rsidR="0017405D" w:rsidRPr="001302DE">
        <w:rPr>
          <w:rFonts w:eastAsia="Cambria"/>
          <w:lang w:val="en-GB"/>
        </w:rPr>
        <w:t xml:space="preserve"> </w:t>
      </w:r>
      <w:r w:rsidR="00705889" w:rsidRPr="001302DE">
        <w:rPr>
          <w:rFonts w:eastAsia="Cambria"/>
          <w:lang w:val="en-GB"/>
        </w:rPr>
        <w:t xml:space="preserve">the new country programme addresses these </w:t>
      </w:r>
      <w:r w:rsidR="00E06CE4" w:rsidRPr="001302DE">
        <w:rPr>
          <w:rFonts w:eastAsia="Cambria"/>
          <w:lang w:val="en-GB"/>
        </w:rPr>
        <w:t>issues.</w:t>
      </w:r>
      <w:r w:rsidR="00A20A54">
        <w:rPr>
          <w:rStyle w:val="FootnoteReference"/>
          <w:rFonts w:eastAsia="Cambria"/>
          <w:lang w:val="en-GB"/>
        </w:rPr>
        <w:footnoteReference w:id="22"/>
      </w:r>
      <w:r w:rsidR="002053A8" w:rsidRPr="001302DE">
        <w:rPr>
          <w:rFonts w:eastAsia="Cambria"/>
          <w:lang w:val="en-GB"/>
        </w:rPr>
        <w:t xml:space="preserve"> </w:t>
      </w:r>
    </w:p>
    <w:p w14:paraId="09FF0926" w14:textId="60A986C4" w:rsidR="00DB4BB3" w:rsidRPr="001302DE" w:rsidRDefault="00672B2A" w:rsidP="00A20A54">
      <w:pPr>
        <w:spacing w:after="120"/>
        <w:jc w:val="both"/>
        <w:rPr>
          <w:rFonts w:eastAsia="Cambria"/>
          <w:lang w:val="en-GB"/>
        </w:rPr>
      </w:pPr>
      <w:r>
        <w:rPr>
          <w:lang w:val="en-GB"/>
        </w:rPr>
        <w:t>8</w:t>
      </w:r>
      <w:r w:rsidR="00AB7787" w:rsidRPr="001302DE">
        <w:rPr>
          <w:lang w:val="en-GB"/>
        </w:rPr>
        <w:t xml:space="preserve">. </w:t>
      </w:r>
      <w:r w:rsidR="006C16A2" w:rsidRPr="001302DE">
        <w:rPr>
          <w:lang w:val="en-GB"/>
        </w:rPr>
        <w:t xml:space="preserve">Outcome </w:t>
      </w:r>
      <w:r w:rsidR="00B26421">
        <w:rPr>
          <w:lang w:val="en-GB"/>
        </w:rPr>
        <w:t>e</w:t>
      </w:r>
      <w:r w:rsidR="006C16A2" w:rsidRPr="001302DE">
        <w:rPr>
          <w:lang w:val="en-GB"/>
        </w:rPr>
        <w:t>valuation</w:t>
      </w:r>
      <w:r w:rsidR="008B2E84">
        <w:rPr>
          <w:lang w:val="en-GB"/>
        </w:rPr>
        <w:t>s</w:t>
      </w:r>
      <w:r w:rsidR="006C16A2" w:rsidRPr="001302DE">
        <w:rPr>
          <w:lang w:val="en-GB"/>
        </w:rPr>
        <w:t xml:space="preserve"> highlighted </w:t>
      </w:r>
      <w:r w:rsidR="00C23867">
        <w:rPr>
          <w:lang w:val="en-GB"/>
        </w:rPr>
        <w:t xml:space="preserve">the relevance of the current programme and </w:t>
      </w:r>
      <w:r w:rsidR="006C16A2" w:rsidRPr="001302DE">
        <w:rPr>
          <w:lang w:val="en-GB"/>
        </w:rPr>
        <w:t xml:space="preserve">successful </w:t>
      </w:r>
      <w:r w:rsidR="008B2E84">
        <w:rPr>
          <w:lang w:val="en-GB"/>
        </w:rPr>
        <w:t xml:space="preserve">contributions to </w:t>
      </w:r>
      <w:r w:rsidR="006C16A2" w:rsidRPr="001302DE">
        <w:rPr>
          <w:lang w:val="en-GB"/>
        </w:rPr>
        <w:t xml:space="preserve">several reform initiatives, </w:t>
      </w:r>
      <w:r w:rsidR="005679CC" w:rsidRPr="001302DE">
        <w:rPr>
          <w:lang w:val="en-GB"/>
        </w:rPr>
        <w:t>especially anti</w:t>
      </w:r>
      <w:r w:rsidR="009F2189" w:rsidRPr="001302DE">
        <w:rPr>
          <w:lang w:val="en-GB"/>
        </w:rPr>
        <w:t>-</w:t>
      </w:r>
      <w:r w:rsidR="005679CC" w:rsidRPr="001302DE">
        <w:rPr>
          <w:lang w:val="en-GB"/>
        </w:rPr>
        <w:t>corruption</w:t>
      </w:r>
      <w:r w:rsidR="00995503" w:rsidRPr="001302DE">
        <w:rPr>
          <w:lang w:val="en-GB"/>
        </w:rPr>
        <w:t xml:space="preserve">. </w:t>
      </w:r>
      <w:r w:rsidR="005679CC" w:rsidRPr="001302DE">
        <w:rPr>
          <w:lang w:val="en-GB"/>
        </w:rPr>
        <w:t xml:space="preserve">The </w:t>
      </w:r>
      <w:r w:rsidR="009F2189" w:rsidRPr="001302DE">
        <w:rPr>
          <w:lang w:val="en-GB"/>
        </w:rPr>
        <w:t>UNDP-</w:t>
      </w:r>
      <w:r w:rsidR="00AD67EE" w:rsidRPr="001302DE">
        <w:rPr>
          <w:lang w:val="en-GB"/>
        </w:rPr>
        <w:t xml:space="preserve">supported </w:t>
      </w:r>
      <w:r w:rsidR="00AD67EE">
        <w:rPr>
          <w:lang w:val="en-GB"/>
        </w:rPr>
        <w:t>electronic</w:t>
      </w:r>
      <w:r w:rsidR="009E25A2">
        <w:rPr>
          <w:lang w:val="en-GB"/>
        </w:rPr>
        <w:t xml:space="preserve"> </w:t>
      </w:r>
      <w:r w:rsidR="006C16A2" w:rsidRPr="001302DE">
        <w:rPr>
          <w:lang w:val="en-GB"/>
        </w:rPr>
        <w:t>asset declaration</w:t>
      </w:r>
      <w:r w:rsidR="009F2189" w:rsidRPr="001302DE">
        <w:rPr>
          <w:lang w:val="en-GB"/>
        </w:rPr>
        <w:t xml:space="preserve"> </w:t>
      </w:r>
      <w:r w:rsidR="00F92BE2" w:rsidRPr="001302DE">
        <w:rPr>
          <w:lang w:val="en-GB"/>
        </w:rPr>
        <w:t xml:space="preserve">was </w:t>
      </w:r>
      <w:r w:rsidR="006C16A2" w:rsidRPr="001302DE">
        <w:rPr>
          <w:lang w:val="en-GB"/>
        </w:rPr>
        <w:t xml:space="preserve">recognized as one of </w:t>
      </w:r>
      <w:r w:rsidR="005679CC" w:rsidRPr="001302DE">
        <w:rPr>
          <w:lang w:val="en-GB"/>
        </w:rPr>
        <w:t xml:space="preserve">Ukraine’s </w:t>
      </w:r>
      <w:r w:rsidR="006C16A2" w:rsidRPr="001302DE">
        <w:rPr>
          <w:lang w:val="en-GB"/>
        </w:rPr>
        <w:t xml:space="preserve">most important </w:t>
      </w:r>
      <w:r w:rsidR="005679CC" w:rsidRPr="001302DE">
        <w:rPr>
          <w:lang w:val="en-GB"/>
        </w:rPr>
        <w:t>anti-corruption initiatives</w:t>
      </w:r>
      <w:r w:rsidR="006D32C0" w:rsidRPr="001302DE">
        <w:rPr>
          <w:lang w:val="en-GB"/>
        </w:rPr>
        <w:t>.</w:t>
      </w:r>
      <w:r w:rsidR="00F74459" w:rsidRPr="001302DE">
        <w:rPr>
          <w:rStyle w:val="FootnoteReference"/>
          <w:lang w:val="en-GB"/>
        </w:rPr>
        <w:footnoteReference w:id="23"/>
      </w:r>
      <w:r w:rsidR="006C16A2" w:rsidRPr="001302DE">
        <w:rPr>
          <w:lang w:val="en-GB"/>
        </w:rPr>
        <w:t xml:space="preserve"> </w:t>
      </w:r>
      <w:r w:rsidR="0067592F" w:rsidRPr="001302DE">
        <w:rPr>
          <w:lang w:val="en-GB"/>
        </w:rPr>
        <w:t xml:space="preserve">In a 10-year partnership with the </w:t>
      </w:r>
      <w:r w:rsidR="008D3E4A">
        <w:rPr>
          <w:lang w:val="en-GB"/>
        </w:rPr>
        <w:t>EU</w:t>
      </w:r>
      <w:r w:rsidR="00E93528" w:rsidRPr="001302DE">
        <w:rPr>
          <w:lang w:val="en-GB"/>
        </w:rPr>
        <w:t>,</w:t>
      </w:r>
      <w:r w:rsidR="0067592F" w:rsidRPr="001302DE">
        <w:rPr>
          <w:lang w:val="en-GB"/>
        </w:rPr>
        <w:t xml:space="preserve"> </w:t>
      </w:r>
      <w:r w:rsidR="000C5402" w:rsidRPr="001302DE">
        <w:rPr>
          <w:lang w:val="en-GB"/>
        </w:rPr>
        <w:t>UNDP</w:t>
      </w:r>
      <w:r w:rsidR="006D32C0" w:rsidRPr="001302DE">
        <w:rPr>
          <w:lang w:val="en-GB"/>
        </w:rPr>
        <w:t xml:space="preserve"> advanced </w:t>
      </w:r>
      <w:r w:rsidR="000C5402" w:rsidRPr="001302DE">
        <w:rPr>
          <w:lang w:val="en-GB"/>
        </w:rPr>
        <w:t xml:space="preserve">participatory and inclusive approaches to development </w:t>
      </w:r>
      <w:r w:rsidR="00E06CE4" w:rsidRPr="001302DE">
        <w:rPr>
          <w:lang w:val="en-GB"/>
        </w:rPr>
        <w:t>through</w:t>
      </w:r>
      <w:r w:rsidR="000C5402" w:rsidRPr="001302DE">
        <w:rPr>
          <w:lang w:val="en-GB"/>
        </w:rPr>
        <w:t xml:space="preserve"> the Community-Based </w:t>
      </w:r>
      <w:r w:rsidR="00AD67EE" w:rsidRPr="001302DE">
        <w:rPr>
          <w:lang w:val="en-GB"/>
        </w:rPr>
        <w:t xml:space="preserve">Approach </w:t>
      </w:r>
      <w:r w:rsidR="00AD67EE">
        <w:rPr>
          <w:lang w:val="en-GB"/>
        </w:rPr>
        <w:t>to</w:t>
      </w:r>
      <w:r w:rsidR="000C5402" w:rsidRPr="001302DE">
        <w:rPr>
          <w:lang w:val="en-GB"/>
        </w:rPr>
        <w:t xml:space="preserve"> Local Development</w:t>
      </w:r>
      <w:r w:rsidR="004D7274" w:rsidRPr="001302DE">
        <w:rPr>
          <w:lang w:val="en-GB"/>
        </w:rPr>
        <w:t xml:space="preserve"> </w:t>
      </w:r>
      <w:r w:rsidR="00941662" w:rsidRPr="001302DE">
        <w:rPr>
          <w:lang w:val="en-GB"/>
        </w:rPr>
        <w:t>programme</w:t>
      </w:r>
      <w:r w:rsidR="001B5E25" w:rsidRPr="001302DE">
        <w:rPr>
          <w:lang w:val="en-GB"/>
        </w:rPr>
        <w:t xml:space="preserve">, resulting in a </w:t>
      </w:r>
      <w:r w:rsidR="00FC34B5">
        <w:rPr>
          <w:lang w:val="en-GB"/>
        </w:rPr>
        <w:t>high impact</w:t>
      </w:r>
      <w:r w:rsidR="00E06CE4" w:rsidRPr="001302DE">
        <w:rPr>
          <w:lang w:val="en-GB"/>
        </w:rPr>
        <w:t xml:space="preserve"> on</w:t>
      </w:r>
      <w:r w:rsidR="00254D38" w:rsidRPr="001302DE">
        <w:rPr>
          <w:lang w:val="en-GB"/>
        </w:rPr>
        <w:t xml:space="preserve"> individual</w:t>
      </w:r>
      <w:r w:rsidR="001B5E25" w:rsidRPr="001302DE">
        <w:rPr>
          <w:lang w:val="en-GB"/>
        </w:rPr>
        <w:t xml:space="preserve">s </w:t>
      </w:r>
      <w:r w:rsidR="00254D38" w:rsidRPr="001302DE">
        <w:rPr>
          <w:lang w:val="en-GB"/>
        </w:rPr>
        <w:t>and communities.</w:t>
      </w:r>
      <w:r w:rsidR="006A2FD8" w:rsidRPr="001302DE">
        <w:rPr>
          <w:rStyle w:val="FootnoteReference"/>
          <w:lang w:val="en-GB"/>
        </w:rPr>
        <w:footnoteReference w:id="24"/>
      </w:r>
      <w:r w:rsidR="00607083" w:rsidRPr="001302DE">
        <w:rPr>
          <w:lang w:val="en-GB"/>
        </w:rPr>
        <w:t xml:space="preserve"> </w:t>
      </w:r>
      <w:r w:rsidR="00B567CC">
        <w:rPr>
          <w:lang w:val="en-GB"/>
        </w:rPr>
        <w:t>These</w:t>
      </w:r>
      <w:r w:rsidR="00B567CC" w:rsidRPr="001302DE">
        <w:rPr>
          <w:lang w:val="en-GB"/>
        </w:rPr>
        <w:t xml:space="preserve"> </w:t>
      </w:r>
      <w:r w:rsidR="00995503" w:rsidRPr="001302DE">
        <w:rPr>
          <w:lang w:val="en-GB"/>
        </w:rPr>
        <w:t xml:space="preserve">approaches will </w:t>
      </w:r>
      <w:r w:rsidR="00607083" w:rsidRPr="001302DE">
        <w:rPr>
          <w:lang w:val="en-GB"/>
        </w:rPr>
        <w:t>be</w:t>
      </w:r>
      <w:r w:rsidR="00995503" w:rsidRPr="001302DE">
        <w:rPr>
          <w:lang w:val="en-GB"/>
        </w:rPr>
        <w:t xml:space="preserve"> scaled up</w:t>
      </w:r>
      <w:r w:rsidR="001B5E25" w:rsidRPr="001302DE">
        <w:rPr>
          <w:lang w:val="en-GB"/>
        </w:rPr>
        <w:t xml:space="preserve"> and integrated with other </w:t>
      </w:r>
      <w:r w:rsidR="00B764A4">
        <w:rPr>
          <w:lang w:val="en-GB"/>
        </w:rPr>
        <w:t xml:space="preserve">programmes funded by the </w:t>
      </w:r>
      <w:r w:rsidR="009E25A2">
        <w:rPr>
          <w:lang w:val="en-GB"/>
        </w:rPr>
        <w:t xml:space="preserve">EU and </w:t>
      </w:r>
      <w:r w:rsidR="00B764A4">
        <w:rPr>
          <w:lang w:val="en-GB"/>
        </w:rPr>
        <w:t xml:space="preserve">United States Agency for International Development </w:t>
      </w:r>
      <w:r w:rsidR="00995503" w:rsidRPr="001302DE">
        <w:rPr>
          <w:lang w:val="en-GB"/>
        </w:rPr>
        <w:t xml:space="preserve">to support ongoing decentralization reforms. </w:t>
      </w:r>
      <w:r w:rsidR="00B567CC">
        <w:rPr>
          <w:lang w:val="en-GB"/>
        </w:rPr>
        <w:t>O</w:t>
      </w:r>
      <w:r w:rsidR="00EC427E" w:rsidRPr="001302DE">
        <w:rPr>
          <w:lang w:val="en-GB"/>
        </w:rPr>
        <w:t xml:space="preserve">utcome evaluations also </w:t>
      </w:r>
      <w:r w:rsidR="00E435BA" w:rsidRPr="001302DE">
        <w:rPr>
          <w:lang w:val="en-GB"/>
        </w:rPr>
        <w:t>note</w:t>
      </w:r>
      <w:r w:rsidR="000647D6" w:rsidRPr="001302DE">
        <w:rPr>
          <w:lang w:val="en-GB"/>
        </w:rPr>
        <w:t>d</w:t>
      </w:r>
      <w:r w:rsidR="00E435BA" w:rsidRPr="001302DE">
        <w:rPr>
          <w:lang w:val="en-GB"/>
        </w:rPr>
        <w:t xml:space="preserve"> </w:t>
      </w:r>
      <w:r w:rsidR="008B2E84">
        <w:rPr>
          <w:lang w:val="en-GB"/>
        </w:rPr>
        <w:t xml:space="preserve">the benefits of </w:t>
      </w:r>
      <w:r w:rsidR="008824A8">
        <w:rPr>
          <w:lang w:val="en-GB"/>
        </w:rPr>
        <w:t>South-South</w:t>
      </w:r>
      <w:r w:rsidR="00EC427E" w:rsidRPr="001302DE">
        <w:rPr>
          <w:lang w:val="en-GB"/>
        </w:rPr>
        <w:t xml:space="preserve"> </w:t>
      </w:r>
      <w:r w:rsidR="0023675C" w:rsidRPr="001302DE">
        <w:rPr>
          <w:lang w:val="en-GB"/>
        </w:rPr>
        <w:t>cooperation,</w:t>
      </w:r>
      <w:r w:rsidR="00EC427E" w:rsidRPr="001302DE">
        <w:rPr>
          <w:lang w:val="en-GB"/>
        </w:rPr>
        <w:t xml:space="preserve"> </w:t>
      </w:r>
      <w:r w:rsidR="008B2E84">
        <w:rPr>
          <w:lang w:val="en-GB"/>
        </w:rPr>
        <w:t xml:space="preserve">particularly </w:t>
      </w:r>
      <w:r w:rsidR="00B26421">
        <w:rPr>
          <w:lang w:val="en-GB"/>
        </w:rPr>
        <w:t xml:space="preserve">from EU accession </w:t>
      </w:r>
      <w:r w:rsidR="00B764A4">
        <w:rPr>
          <w:lang w:val="en-GB"/>
        </w:rPr>
        <w:t>States</w:t>
      </w:r>
      <w:r w:rsidR="00B26421">
        <w:rPr>
          <w:lang w:val="en-GB"/>
        </w:rPr>
        <w:t xml:space="preserve">, </w:t>
      </w:r>
      <w:r w:rsidR="008B2E84">
        <w:rPr>
          <w:lang w:val="en-GB"/>
        </w:rPr>
        <w:t xml:space="preserve">in </w:t>
      </w:r>
      <w:r w:rsidR="00EC427E" w:rsidRPr="001302DE">
        <w:rPr>
          <w:lang w:val="en-GB"/>
        </w:rPr>
        <w:t xml:space="preserve">areas of energy efficiency, civic engagement, decentralization </w:t>
      </w:r>
      <w:r w:rsidR="00B15D5D" w:rsidRPr="001302DE">
        <w:rPr>
          <w:lang w:val="en-GB"/>
        </w:rPr>
        <w:t xml:space="preserve">and </w:t>
      </w:r>
      <w:r w:rsidR="00EC427E" w:rsidRPr="001302DE">
        <w:rPr>
          <w:lang w:val="en-GB"/>
        </w:rPr>
        <w:t xml:space="preserve">anti-corruption. </w:t>
      </w:r>
    </w:p>
    <w:p w14:paraId="180EBB38" w14:textId="5EEB8C33" w:rsidR="006C16A2" w:rsidRPr="001302DE" w:rsidRDefault="00206E57" w:rsidP="00FC34B5">
      <w:pPr>
        <w:jc w:val="both"/>
        <w:rPr>
          <w:lang w:val="en-GB"/>
        </w:rPr>
      </w:pPr>
      <w:r w:rsidRPr="00A20A54">
        <w:rPr>
          <w:lang w:val="en-GB"/>
        </w:rPr>
        <w:t>9</w:t>
      </w:r>
      <w:r w:rsidR="00E06CE4" w:rsidRPr="00A20A54">
        <w:rPr>
          <w:lang w:val="en-GB"/>
        </w:rPr>
        <w:t>. UNDP o</w:t>
      </w:r>
      <w:r w:rsidR="00DB4BB3" w:rsidRPr="00A20A54">
        <w:rPr>
          <w:lang w:val="en-GB"/>
        </w:rPr>
        <w:t xml:space="preserve">utcome </w:t>
      </w:r>
      <w:r w:rsidR="00E06CE4" w:rsidRPr="00A20A54">
        <w:rPr>
          <w:lang w:val="en-GB"/>
        </w:rPr>
        <w:t>e</w:t>
      </w:r>
      <w:r w:rsidR="00AB7787" w:rsidRPr="00A20A54">
        <w:rPr>
          <w:lang w:val="en-GB"/>
        </w:rPr>
        <w:t>valuation</w:t>
      </w:r>
      <w:r w:rsidR="00DB4BB3" w:rsidRPr="00A20A54">
        <w:rPr>
          <w:lang w:val="en-GB"/>
        </w:rPr>
        <w:t>s</w:t>
      </w:r>
      <w:r w:rsidR="00A20A54" w:rsidRPr="00FC34B5">
        <w:rPr>
          <w:vertAlign w:val="superscript"/>
        </w:rPr>
        <w:footnoteReference w:id="25"/>
      </w:r>
      <w:r w:rsidR="00AB7787" w:rsidRPr="00A20A54">
        <w:rPr>
          <w:lang w:val="en-GB"/>
        </w:rPr>
        <w:t xml:space="preserve"> and </w:t>
      </w:r>
      <w:r w:rsidR="00DB4BB3" w:rsidRPr="00A20A54">
        <w:rPr>
          <w:lang w:val="en-GB"/>
        </w:rPr>
        <w:t>the</w:t>
      </w:r>
      <w:r w:rsidR="00515DD4" w:rsidRPr="00A20A54">
        <w:rPr>
          <w:lang w:val="en-GB"/>
        </w:rPr>
        <w:t xml:space="preserve"> U</w:t>
      </w:r>
      <w:r w:rsidR="00B764A4">
        <w:rPr>
          <w:lang w:val="en-GB"/>
        </w:rPr>
        <w:t xml:space="preserve">nited </w:t>
      </w:r>
      <w:r w:rsidR="00515DD4" w:rsidRPr="00A20A54">
        <w:rPr>
          <w:lang w:val="en-GB"/>
        </w:rPr>
        <w:t>N</w:t>
      </w:r>
      <w:r w:rsidR="00B764A4">
        <w:rPr>
          <w:lang w:val="en-GB"/>
        </w:rPr>
        <w:t>ations</w:t>
      </w:r>
      <w:r w:rsidR="00515DD4" w:rsidRPr="00A20A54">
        <w:rPr>
          <w:lang w:val="en-GB"/>
        </w:rPr>
        <w:t xml:space="preserve"> Country Team</w:t>
      </w:r>
      <w:r w:rsidR="0029459D" w:rsidRPr="00A20A54">
        <w:rPr>
          <w:lang w:val="en-GB"/>
        </w:rPr>
        <w:t xml:space="preserve"> score</w:t>
      </w:r>
      <w:r w:rsidR="00AB7787" w:rsidRPr="00A20A54">
        <w:rPr>
          <w:lang w:val="en-GB"/>
        </w:rPr>
        <w:t xml:space="preserve">card </w:t>
      </w:r>
      <w:r w:rsidR="00DB4BB3" w:rsidRPr="00A20A54">
        <w:rPr>
          <w:lang w:val="en-GB"/>
        </w:rPr>
        <w:t>highlighted</w:t>
      </w:r>
      <w:r w:rsidR="00AB7787" w:rsidRPr="00A20A54">
        <w:rPr>
          <w:lang w:val="en-GB"/>
        </w:rPr>
        <w:t xml:space="preserve"> weaknesses in gender m</w:t>
      </w:r>
      <w:r w:rsidR="0029459D" w:rsidRPr="00A20A54">
        <w:rPr>
          <w:lang w:val="en-GB"/>
        </w:rPr>
        <w:t>ainstreaming in programming</w:t>
      </w:r>
      <w:r w:rsidR="00EF667A" w:rsidRPr="00A20A54">
        <w:rPr>
          <w:lang w:val="en-GB"/>
        </w:rPr>
        <w:t xml:space="preserve">. </w:t>
      </w:r>
      <w:r w:rsidR="00E06CE4" w:rsidRPr="00A20A54">
        <w:rPr>
          <w:lang w:val="en-GB"/>
        </w:rPr>
        <w:t>S</w:t>
      </w:r>
      <w:r w:rsidR="00AB7787" w:rsidRPr="00A20A54">
        <w:rPr>
          <w:lang w:val="en-GB"/>
        </w:rPr>
        <w:t>tudies have highlighted women’s disproportionate vulnerabili</w:t>
      </w:r>
      <w:r w:rsidR="00DB4BB3" w:rsidRPr="00A20A54">
        <w:rPr>
          <w:lang w:val="en-GB"/>
        </w:rPr>
        <w:t>ties in conflict-affected areas</w:t>
      </w:r>
      <w:r w:rsidR="00AB7787" w:rsidRPr="00A20A54">
        <w:rPr>
          <w:lang w:val="en-GB"/>
        </w:rPr>
        <w:t xml:space="preserve"> and the need to recognize and support </w:t>
      </w:r>
      <w:r w:rsidR="00B764A4">
        <w:rPr>
          <w:lang w:val="en-GB"/>
        </w:rPr>
        <w:t xml:space="preserve">the role of </w:t>
      </w:r>
      <w:r w:rsidR="00AB7787" w:rsidRPr="00A20A54">
        <w:rPr>
          <w:lang w:val="en-GB"/>
        </w:rPr>
        <w:t>women in conflict prevention, resolution and reconciliation</w:t>
      </w:r>
      <w:r w:rsidR="0012395D" w:rsidRPr="00A20A54">
        <w:rPr>
          <w:lang w:val="en-GB"/>
        </w:rPr>
        <w:t>.</w:t>
      </w:r>
      <w:r w:rsidR="00AB7787" w:rsidRPr="004E29A7">
        <w:rPr>
          <w:vertAlign w:val="superscript"/>
          <w:lang w:val="en-GB"/>
        </w:rPr>
        <w:footnoteReference w:id="26"/>
      </w:r>
      <w:r w:rsidR="00AB7787" w:rsidRPr="004E29A7">
        <w:rPr>
          <w:vertAlign w:val="superscript"/>
          <w:lang w:val="en-GB"/>
        </w:rPr>
        <w:t xml:space="preserve"> </w:t>
      </w:r>
      <w:r w:rsidR="0029459D" w:rsidRPr="001302DE">
        <w:rPr>
          <w:lang w:val="en-GB"/>
        </w:rPr>
        <w:t>T</w:t>
      </w:r>
      <w:r w:rsidR="00DB4BB3" w:rsidRPr="001302DE">
        <w:rPr>
          <w:lang w:val="en-GB"/>
        </w:rPr>
        <w:t xml:space="preserve">he new </w:t>
      </w:r>
      <w:r w:rsidR="0029459D" w:rsidRPr="001302DE">
        <w:rPr>
          <w:lang w:val="en-GB"/>
        </w:rPr>
        <w:t xml:space="preserve">country </w:t>
      </w:r>
      <w:r w:rsidR="00DB4BB3" w:rsidRPr="001302DE">
        <w:rPr>
          <w:lang w:val="en-GB"/>
        </w:rPr>
        <w:t>programme</w:t>
      </w:r>
      <w:r w:rsidR="00AB7787" w:rsidRPr="001302DE">
        <w:rPr>
          <w:lang w:val="en-GB"/>
        </w:rPr>
        <w:t xml:space="preserve"> </w:t>
      </w:r>
      <w:r w:rsidR="00DB4BB3" w:rsidRPr="001302DE">
        <w:rPr>
          <w:lang w:val="en-GB"/>
        </w:rPr>
        <w:t xml:space="preserve">will </w:t>
      </w:r>
      <w:r w:rsidR="006D6145">
        <w:rPr>
          <w:lang w:val="en-GB"/>
        </w:rPr>
        <w:t>ring-fence</w:t>
      </w:r>
      <w:r w:rsidR="00637E7C">
        <w:rPr>
          <w:lang w:val="en-GB"/>
        </w:rPr>
        <w:t xml:space="preserve"> at least 15</w:t>
      </w:r>
      <w:r w:rsidR="004E1662">
        <w:rPr>
          <w:lang w:val="en-GB"/>
        </w:rPr>
        <w:t xml:space="preserve"> per cent</w:t>
      </w:r>
      <w:r w:rsidR="00637E7C">
        <w:rPr>
          <w:lang w:val="en-GB"/>
        </w:rPr>
        <w:t xml:space="preserve"> of</w:t>
      </w:r>
      <w:r w:rsidR="007A30DF" w:rsidRPr="001302DE">
        <w:rPr>
          <w:lang w:val="en-GB"/>
        </w:rPr>
        <w:t xml:space="preserve"> resource</w:t>
      </w:r>
      <w:r w:rsidR="00637E7C">
        <w:rPr>
          <w:lang w:val="en-GB"/>
        </w:rPr>
        <w:t xml:space="preserve">s for gender equality and women’s empowerment, </w:t>
      </w:r>
      <w:r w:rsidR="007A30DF" w:rsidRPr="001302DE">
        <w:rPr>
          <w:lang w:val="en-GB"/>
        </w:rPr>
        <w:t xml:space="preserve">strengthen gender </w:t>
      </w:r>
      <w:r w:rsidR="007B11DA">
        <w:rPr>
          <w:lang w:val="en-GB"/>
        </w:rPr>
        <w:t xml:space="preserve">expertise </w:t>
      </w:r>
      <w:r w:rsidR="007A30DF" w:rsidRPr="001302DE">
        <w:rPr>
          <w:lang w:val="en-GB"/>
        </w:rPr>
        <w:t xml:space="preserve">and </w:t>
      </w:r>
      <w:r w:rsidR="00DB4BB3" w:rsidRPr="001302DE">
        <w:rPr>
          <w:lang w:val="en-GB"/>
        </w:rPr>
        <w:t>prioritize the needs of women in conflict-affected areas and in other vulnerable situations.</w:t>
      </w:r>
    </w:p>
    <w:p w14:paraId="0831009B" w14:textId="77777777" w:rsidR="00EF667A" w:rsidRPr="001302DE" w:rsidRDefault="00EF667A" w:rsidP="00FC34B5">
      <w:pPr>
        <w:jc w:val="both"/>
        <w:rPr>
          <w:lang w:val="en-GB"/>
        </w:rPr>
      </w:pPr>
    </w:p>
    <w:p w14:paraId="5AF0E2B2" w14:textId="785D7684" w:rsidR="00886F7D" w:rsidRPr="00346DB7" w:rsidRDefault="00886F7D" w:rsidP="00FC34B5">
      <w:pPr>
        <w:pStyle w:val="Heading2"/>
        <w:tabs>
          <w:tab w:val="left" w:pos="810"/>
        </w:tabs>
        <w:ind w:hanging="270"/>
        <w:jc w:val="both"/>
        <w:rPr>
          <w:rFonts w:ascii="Times New Roman" w:hAnsi="Times New Roman"/>
          <w:color w:val="000000"/>
          <w:spacing w:val="-3"/>
          <w:sz w:val="24"/>
          <w:szCs w:val="24"/>
          <w:lang w:val="en-GB"/>
        </w:rPr>
      </w:pPr>
      <w:r w:rsidRPr="00346DB7">
        <w:rPr>
          <w:rFonts w:ascii="Times New Roman" w:hAnsi="Times New Roman"/>
          <w:bCs/>
          <w:color w:val="000000"/>
          <w:sz w:val="24"/>
          <w:szCs w:val="24"/>
          <w:lang w:val="en-GB"/>
        </w:rPr>
        <w:lastRenderedPageBreak/>
        <w:t xml:space="preserve">II. Programme </w:t>
      </w:r>
      <w:r w:rsidR="007A76F4">
        <w:rPr>
          <w:rFonts w:ascii="Times New Roman" w:hAnsi="Times New Roman"/>
          <w:bCs/>
          <w:color w:val="000000"/>
          <w:sz w:val="24"/>
          <w:szCs w:val="24"/>
          <w:lang w:val="en-GB"/>
        </w:rPr>
        <w:t>p</w:t>
      </w:r>
      <w:r w:rsidRPr="00346DB7">
        <w:rPr>
          <w:rFonts w:ascii="Times New Roman" w:hAnsi="Times New Roman"/>
          <w:bCs/>
          <w:color w:val="000000"/>
          <w:sz w:val="24"/>
          <w:szCs w:val="24"/>
          <w:lang w:val="en-GB"/>
        </w:rPr>
        <w:t xml:space="preserve">riorities and </w:t>
      </w:r>
      <w:r w:rsidR="007A76F4">
        <w:rPr>
          <w:rFonts w:ascii="Times New Roman" w:hAnsi="Times New Roman"/>
          <w:bCs/>
          <w:color w:val="000000"/>
          <w:sz w:val="24"/>
          <w:szCs w:val="24"/>
          <w:lang w:val="en-GB"/>
        </w:rPr>
        <w:t>p</w:t>
      </w:r>
      <w:r w:rsidRPr="00346DB7">
        <w:rPr>
          <w:rFonts w:ascii="Times New Roman" w:hAnsi="Times New Roman"/>
          <w:bCs/>
          <w:color w:val="000000"/>
          <w:sz w:val="24"/>
          <w:szCs w:val="24"/>
          <w:lang w:val="en-GB"/>
        </w:rPr>
        <w:t xml:space="preserve">artnerships </w:t>
      </w:r>
    </w:p>
    <w:p w14:paraId="66359CD4" w14:textId="77777777" w:rsidR="00886F7D" w:rsidRPr="001302DE" w:rsidRDefault="00886F7D" w:rsidP="00FC34B5">
      <w:pPr>
        <w:rPr>
          <w:lang w:val="en-GB"/>
        </w:rPr>
      </w:pPr>
    </w:p>
    <w:p w14:paraId="31CE6CE0" w14:textId="5EBD8151" w:rsidR="001470BC" w:rsidRPr="001302DE" w:rsidRDefault="00206E57" w:rsidP="00A20A54">
      <w:pPr>
        <w:pStyle w:val="Normal1"/>
        <w:spacing w:after="120" w:line="240" w:lineRule="auto"/>
        <w:jc w:val="both"/>
        <w:rPr>
          <w:rFonts w:ascii="Times New Roman" w:eastAsia="Cambria" w:hAnsi="Times New Roman" w:cs="Times New Roman"/>
          <w:sz w:val="20"/>
          <w:szCs w:val="20"/>
          <w:lang w:val="en-GB"/>
        </w:rPr>
      </w:pPr>
      <w:r>
        <w:rPr>
          <w:rFonts w:ascii="Times New Roman" w:eastAsia="Cambria" w:hAnsi="Times New Roman" w:cs="Times New Roman"/>
          <w:sz w:val="20"/>
          <w:szCs w:val="20"/>
          <w:lang w:val="en-GB"/>
        </w:rPr>
        <w:t>10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. </w:t>
      </w:r>
      <w:r w:rsidR="0002121E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The country </w:t>
      </w:r>
      <w:r w:rsidR="0023675C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programme</w:t>
      </w:r>
      <w:r w:rsidR="0023675C">
        <w:rPr>
          <w:rFonts w:ascii="Times New Roman" w:eastAsia="Cambria" w:hAnsi="Times New Roman" w:cs="Times New Roman"/>
          <w:sz w:val="20"/>
          <w:szCs w:val="20"/>
          <w:lang w:val="en-GB"/>
        </w:rPr>
        <w:t>,</w:t>
      </w:r>
      <w:r w:rsidR="00E0159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developed </w:t>
      </w:r>
      <w:r w:rsidR="002859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in consultation </w:t>
      </w:r>
      <w:r w:rsidR="00F3740E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with</w:t>
      </w:r>
      <w:r w:rsidR="00672B2A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B764A4">
        <w:rPr>
          <w:rFonts w:ascii="Times New Roman" w:eastAsia="Cambria" w:hAnsi="Times New Roman" w:cs="Times New Roman"/>
          <w:sz w:val="20"/>
          <w:szCs w:val="20"/>
          <w:lang w:val="en-GB"/>
        </w:rPr>
        <w:t>G</w:t>
      </w:r>
      <w:r w:rsidR="00B764A4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overnment</w:t>
      </w:r>
      <w:r w:rsidR="00E0159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, CSO</w:t>
      </w:r>
      <w:r w:rsidR="002859DE">
        <w:rPr>
          <w:rFonts w:ascii="Times New Roman" w:eastAsia="Cambria" w:hAnsi="Times New Roman" w:cs="Times New Roman"/>
          <w:sz w:val="20"/>
          <w:szCs w:val="20"/>
          <w:lang w:val="en-GB"/>
        </w:rPr>
        <w:t>s</w:t>
      </w:r>
      <w:r w:rsidR="00E0159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and </w:t>
      </w:r>
      <w:r w:rsidR="00525396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other </w:t>
      </w:r>
      <w:r w:rsidR="00E0159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partner</w:t>
      </w:r>
      <w:r w:rsidR="002859DE">
        <w:rPr>
          <w:rFonts w:ascii="Times New Roman" w:eastAsia="Cambria" w:hAnsi="Times New Roman" w:cs="Times New Roman"/>
          <w:sz w:val="20"/>
          <w:szCs w:val="20"/>
          <w:lang w:val="en-GB"/>
        </w:rPr>
        <w:t>s</w:t>
      </w:r>
      <w:r w:rsidR="00E0159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,</w:t>
      </w:r>
      <w:r w:rsidR="0002121E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will support </w:t>
      </w:r>
      <w:r w:rsidR="00FC414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the </w:t>
      </w:r>
      <w:r w:rsidR="00B764A4">
        <w:rPr>
          <w:rFonts w:ascii="Times New Roman" w:eastAsia="Cambria" w:hAnsi="Times New Roman" w:cs="Times New Roman"/>
          <w:sz w:val="20"/>
          <w:szCs w:val="20"/>
          <w:lang w:val="en-GB"/>
        </w:rPr>
        <w:t>G</w:t>
      </w:r>
      <w:r w:rsidR="00B764A4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overnment’s </w:t>
      </w:r>
      <w:r w:rsidR="00444CCE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N</w:t>
      </w:r>
      <w:r w:rsidR="00FC414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ational </w:t>
      </w:r>
      <w:r w:rsidR="00444CCE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D</w:t>
      </w:r>
      <w:r w:rsidR="00FC414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evelopment </w:t>
      </w:r>
      <w:r w:rsidR="00444CCE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S</w:t>
      </w:r>
      <w:r w:rsidR="00FC414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trategy and </w:t>
      </w:r>
      <w:r w:rsidR="00444CCE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A</w:t>
      </w:r>
      <w:r w:rsidR="00FC414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ction </w:t>
      </w:r>
      <w:r w:rsidR="00444CCE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P</w:t>
      </w:r>
      <w:r w:rsidR="00FC414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lan</w:t>
      </w:r>
      <w:r w:rsidR="0002121E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by promoting 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sustainable and inclusive </w:t>
      </w:r>
      <w:r w:rsidR="00967BB0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human development 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with </w:t>
      </w:r>
      <w:r w:rsidR="0048314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a focus on empowerment and </w:t>
      </w:r>
      <w:r w:rsidR="00DB4BB3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the </w:t>
      </w:r>
      <w:r w:rsidR="0048314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needs of 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vulnerable </w:t>
      </w:r>
      <w:r w:rsidR="00376BFB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and marginalized </w:t>
      </w:r>
      <w:r w:rsidR="00D76D3C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people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.</w:t>
      </w:r>
      <w:r w:rsidR="00E1115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1470BC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UNDP will ensure efficient use of resources </w:t>
      </w:r>
      <w:r w:rsidR="00882809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by</w:t>
      </w:r>
      <w:r w:rsidR="00B966E6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:</w:t>
      </w:r>
      <w:r w:rsidR="00882809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1470BC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p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romoti</w:t>
      </w:r>
      <w:r w:rsidR="00F5041E">
        <w:rPr>
          <w:rFonts w:ascii="Times New Roman" w:eastAsia="Cambria" w:hAnsi="Times New Roman" w:cs="Times New Roman"/>
          <w:sz w:val="20"/>
          <w:szCs w:val="20"/>
          <w:lang w:val="en-GB"/>
        </w:rPr>
        <w:t>ng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383FCC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risk-informed development</w:t>
      </w:r>
      <w:r w:rsidR="001470BC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; </w:t>
      </w:r>
      <w:r w:rsidR="00882809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pursing </w:t>
      </w:r>
      <w:r w:rsidR="001470BC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opportunities for </w:t>
      </w:r>
      <w:r w:rsidR="00B966E6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South-</w:t>
      </w:r>
      <w:r w:rsidR="001470BC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South collaboration</w:t>
      </w:r>
      <w:r w:rsidR="00B966E6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(</w:t>
      </w:r>
      <w:r w:rsidR="00882809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particularly </w:t>
      </w:r>
      <w:r w:rsidR="001470BC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with new EU </w:t>
      </w:r>
      <w:r w:rsidR="00B764A4">
        <w:rPr>
          <w:rFonts w:ascii="Times New Roman" w:eastAsia="Cambria" w:hAnsi="Times New Roman" w:cs="Times New Roman"/>
          <w:sz w:val="20"/>
          <w:szCs w:val="20"/>
          <w:lang w:val="en-GB"/>
        </w:rPr>
        <w:t>M</w:t>
      </w:r>
      <w:r w:rsidR="00B764A4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ember </w:t>
      </w:r>
      <w:r w:rsidR="00B764A4">
        <w:rPr>
          <w:rFonts w:ascii="Times New Roman" w:eastAsia="Cambria" w:hAnsi="Times New Roman" w:cs="Times New Roman"/>
          <w:sz w:val="20"/>
          <w:szCs w:val="20"/>
          <w:lang w:val="en-GB"/>
        </w:rPr>
        <w:t>S</w:t>
      </w:r>
      <w:r w:rsidR="00B764A4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tates</w:t>
      </w:r>
      <w:r w:rsidR="00B966E6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);</w:t>
      </w:r>
      <w:r w:rsidR="001470BC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B13A33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integrating </w:t>
      </w:r>
      <w:r w:rsidR="00E1115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g</w:t>
      </w:r>
      <w:r w:rsidR="001470BC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ender equality and human rights into programme interventions</w:t>
      </w:r>
      <w:r w:rsidR="00E1115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; </w:t>
      </w:r>
      <w:r w:rsidR="00F5041E">
        <w:rPr>
          <w:rFonts w:ascii="Times New Roman" w:eastAsia="Cambria" w:hAnsi="Times New Roman" w:cs="Times New Roman"/>
          <w:sz w:val="20"/>
          <w:szCs w:val="20"/>
          <w:lang w:val="en-GB"/>
        </w:rPr>
        <w:t>assessing</w:t>
      </w:r>
      <w:r w:rsidR="00F5041E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1470BC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environmental and social impact </w:t>
      </w:r>
      <w:r w:rsidR="00F5041E">
        <w:rPr>
          <w:rFonts w:ascii="Times New Roman" w:eastAsia="Cambria" w:hAnsi="Times New Roman" w:cs="Times New Roman"/>
          <w:sz w:val="20"/>
          <w:szCs w:val="20"/>
          <w:lang w:val="en-GB"/>
        </w:rPr>
        <w:t>of all initiatives</w:t>
      </w:r>
      <w:r w:rsidR="00E1115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; </w:t>
      </w:r>
      <w:r w:rsidR="00F5041E">
        <w:rPr>
          <w:rFonts w:ascii="Times New Roman" w:eastAsia="Cambria" w:hAnsi="Times New Roman" w:cs="Times New Roman"/>
          <w:sz w:val="20"/>
          <w:szCs w:val="20"/>
          <w:lang w:val="en-GB"/>
        </w:rPr>
        <w:t>using</w:t>
      </w:r>
      <w:r w:rsidR="00A368F4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data, </w:t>
      </w:r>
      <w:r w:rsidR="00E1115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analysis and research to generate policy dialog</w:t>
      </w:r>
      <w:r w:rsidR="00E33760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u</w:t>
      </w:r>
      <w:r w:rsidR="00E1115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e</w:t>
      </w:r>
      <w:r w:rsidR="009F764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;</w:t>
      </w:r>
      <w:r w:rsidR="00E819E3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and by </w:t>
      </w:r>
      <w:r w:rsidR="009F764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s</w:t>
      </w:r>
      <w:r w:rsidR="00E1115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caling up cost-effective</w:t>
      </w:r>
      <w:r w:rsidR="00F5041E">
        <w:rPr>
          <w:rFonts w:ascii="Times New Roman" w:eastAsia="Cambria" w:hAnsi="Times New Roman" w:cs="Times New Roman"/>
          <w:sz w:val="20"/>
          <w:szCs w:val="20"/>
          <w:lang w:val="en-GB"/>
        </w:rPr>
        <w:t>,</w:t>
      </w:r>
      <w:r w:rsidR="00E1115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innovative models</w:t>
      </w:r>
      <w:r w:rsidR="00765F42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(including open data platforms</w:t>
      </w:r>
      <w:r w:rsidR="00E1115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) to reach out </w:t>
      </w:r>
      <w:r w:rsidR="00E819E3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to </w:t>
      </w:r>
      <w:r w:rsidR="00185013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vulnerable </w:t>
      </w:r>
      <w:r w:rsidR="00E1115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groups. </w:t>
      </w:r>
    </w:p>
    <w:p w14:paraId="57338A84" w14:textId="6A0693BA" w:rsidR="00CB7BA3" w:rsidRPr="001302DE" w:rsidRDefault="00292648" w:rsidP="00A20A54">
      <w:pPr>
        <w:pStyle w:val="Normal1"/>
        <w:spacing w:after="120" w:line="240" w:lineRule="auto"/>
        <w:jc w:val="both"/>
        <w:rPr>
          <w:rFonts w:ascii="Times New Roman" w:eastAsia="Cambria" w:hAnsi="Times New Roman" w:cs="Times New Roman"/>
          <w:sz w:val="20"/>
          <w:szCs w:val="20"/>
          <w:lang w:val="en-GB"/>
        </w:rPr>
      </w:pPr>
      <w:r>
        <w:rPr>
          <w:rFonts w:ascii="Times New Roman" w:eastAsia="Cambria" w:hAnsi="Times New Roman" w:cs="Times New Roman"/>
          <w:sz w:val="20"/>
          <w:szCs w:val="20"/>
          <w:lang w:val="en-GB"/>
        </w:rPr>
        <w:t>11</w:t>
      </w:r>
      <w:r w:rsidR="009C4D3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. </w:t>
      </w:r>
      <w:r w:rsidR="009F764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T</w:t>
      </w:r>
      <w:r w:rsidR="006A4747" w:rsidRPr="001302DE">
        <w:rPr>
          <w:rFonts w:ascii="Times New Roman" w:eastAsia="Times New Roman" w:hAnsi="Times New Roman" w:cs="Times New Roman"/>
          <w:color w:val="auto"/>
          <w:sz w:val="20"/>
          <w:szCs w:val="20"/>
          <w:lang w:val="en-GB"/>
        </w:rPr>
        <w:t xml:space="preserve">he 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program</w:t>
      </w:r>
      <w:r w:rsidR="00DE569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me strategy is built </w:t>
      </w:r>
      <w:r w:rsidR="002859DE">
        <w:rPr>
          <w:rFonts w:ascii="Times New Roman" w:eastAsia="Cambria" w:hAnsi="Times New Roman" w:cs="Times New Roman"/>
          <w:sz w:val="20"/>
          <w:szCs w:val="20"/>
          <w:lang w:val="en-GB"/>
        </w:rPr>
        <w:t>on</w:t>
      </w:r>
      <w:r w:rsidR="002859DE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FD0533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three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FC414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interlinked </w:t>
      </w:r>
      <w:r w:rsidR="00E1115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development pathway</w:t>
      </w:r>
      <w:r w:rsidR="009F764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s</w:t>
      </w:r>
      <w:r w:rsidR="00CF4826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: inclusive and effective democratic governance; inclusive and gender-responsive sustainable development; and recovery and peacebuilding in conflict-affected areas</w:t>
      </w:r>
      <w:r w:rsidR="002859DE">
        <w:rPr>
          <w:rFonts w:ascii="Times New Roman" w:eastAsia="Cambria" w:hAnsi="Times New Roman" w:cs="Times New Roman"/>
          <w:sz w:val="20"/>
          <w:szCs w:val="20"/>
          <w:lang w:val="en-GB"/>
        </w:rPr>
        <w:t>. These</w:t>
      </w:r>
      <w:r w:rsidR="00A368F4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are i</w:t>
      </w:r>
      <w:r w:rsidR="00CD7F7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n line with the priorities of the </w:t>
      </w:r>
      <w:r w:rsidR="00343C69">
        <w:rPr>
          <w:rFonts w:ascii="Times New Roman" w:eastAsia="Cambria" w:hAnsi="Times New Roman" w:cs="Times New Roman"/>
          <w:sz w:val="20"/>
          <w:szCs w:val="20"/>
          <w:lang w:val="en-GB"/>
        </w:rPr>
        <w:t>G</w:t>
      </w:r>
      <w:r w:rsidR="00343C69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overnment’s </w:t>
      </w:r>
      <w:r w:rsidR="002021C8">
        <w:rPr>
          <w:rFonts w:ascii="Times New Roman" w:eastAsia="Cambria" w:hAnsi="Times New Roman" w:cs="Times New Roman"/>
          <w:sz w:val="20"/>
          <w:szCs w:val="20"/>
          <w:lang w:val="en-GB"/>
        </w:rPr>
        <w:t>d</w:t>
      </w:r>
      <w:r w:rsidR="00F02038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evelopment </w:t>
      </w:r>
      <w:r w:rsidR="002021C8">
        <w:rPr>
          <w:rFonts w:ascii="Times New Roman" w:eastAsia="Cambria" w:hAnsi="Times New Roman" w:cs="Times New Roman"/>
          <w:sz w:val="20"/>
          <w:szCs w:val="20"/>
          <w:lang w:val="en-GB"/>
        </w:rPr>
        <w:t>s</w:t>
      </w:r>
      <w:r w:rsidR="0054765B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trategy and reform agenda</w:t>
      </w:r>
      <w:r w:rsidR="00F02038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, </w:t>
      </w:r>
      <w:r w:rsidR="00A368F4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and </w:t>
      </w:r>
      <w:r w:rsidR="00CD7F7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anchored in the </w:t>
      </w:r>
      <w:r w:rsidR="00343C69">
        <w:rPr>
          <w:rFonts w:ascii="Times New Roman" w:eastAsia="Cambria" w:hAnsi="Times New Roman" w:cs="Times New Roman"/>
          <w:sz w:val="20"/>
          <w:szCs w:val="20"/>
          <w:lang w:val="en-GB"/>
        </w:rPr>
        <w:t>UNDAF,</w:t>
      </w:r>
      <w:r w:rsidR="00525396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2018-202</w:t>
      </w:r>
      <w:r w:rsidR="00FC34B5">
        <w:rPr>
          <w:rFonts w:ascii="Times New Roman" w:eastAsia="Cambria" w:hAnsi="Times New Roman" w:cs="Times New Roman"/>
          <w:sz w:val="20"/>
          <w:szCs w:val="20"/>
          <w:lang w:val="en-GB"/>
        </w:rPr>
        <w:t>2</w:t>
      </w:r>
      <w:r w:rsidR="00CD7F7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.</w:t>
      </w:r>
      <w:r w:rsidR="002053A8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9F764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The programme builds on </w:t>
      </w:r>
      <w:r w:rsidR="00343C69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the </w:t>
      </w:r>
      <w:r w:rsidR="009F764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U</w:t>
      </w:r>
      <w:r w:rsidR="00343C69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nited </w:t>
      </w:r>
      <w:r w:rsidR="009F764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N</w:t>
      </w:r>
      <w:r w:rsidR="00343C69">
        <w:rPr>
          <w:rFonts w:ascii="Times New Roman" w:eastAsia="Cambria" w:hAnsi="Times New Roman" w:cs="Times New Roman"/>
          <w:sz w:val="20"/>
          <w:szCs w:val="20"/>
          <w:lang w:val="en-GB"/>
        </w:rPr>
        <w:t>ations</w:t>
      </w:r>
      <w:r w:rsidR="009F764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common country analysis</w:t>
      </w:r>
      <w:r w:rsidR="00CF5EE9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,</w:t>
      </w:r>
      <w:r w:rsidR="009F764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7E5AA2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national </w:t>
      </w:r>
      <w:r w:rsidR="009F764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consultations</w:t>
      </w:r>
      <w:r w:rsidR="007E5AA2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, </w:t>
      </w:r>
      <w:r w:rsidR="009F764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theory of change and </w:t>
      </w:r>
      <w:r w:rsidR="007E5AA2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lessons </w:t>
      </w:r>
      <w:r w:rsidR="003B633D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learned </w:t>
      </w:r>
      <w:r w:rsidR="007E5AA2">
        <w:rPr>
          <w:rFonts w:ascii="Times New Roman" w:eastAsia="Cambria" w:hAnsi="Times New Roman" w:cs="Times New Roman"/>
          <w:sz w:val="20"/>
          <w:szCs w:val="20"/>
          <w:lang w:val="en-GB"/>
        </w:rPr>
        <w:t>from evaluations</w:t>
      </w:r>
      <w:r w:rsidR="009F764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, which identify </w:t>
      </w:r>
      <w:r w:rsidR="00343C69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the </w:t>
      </w:r>
      <w:r w:rsidR="009F764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UNDP comparative advantage based </w:t>
      </w:r>
      <w:r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on </w:t>
      </w:r>
      <w:r w:rsidR="009D68A4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its </w:t>
      </w:r>
      <w:r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proven</w:t>
      </w:r>
      <w:r w:rsidR="009F764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successes, </w:t>
      </w:r>
      <w:r w:rsidR="002859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nationwide </w:t>
      </w:r>
      <w:r w:rsidR="009F764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field presence, strong partnerships with national and local administrations</w:t>
      </w:r>
      <w:r w:rsidR="009D68A4">
        <w:rPr>
          <w:rFonts w:ascii="Times New Roman" w:eastAsia="Cambria" w:hAnsi="Times New Roman" w:cs="Times New Roman"/>
          <w:sz w:val="20"/>
          <w:szCs w:val="20"/>
          <w:lang w:val="en-GB"/>
        </w:rPr>
        <w:t>,</w:t>
      </w:r>
      <w:r w:rsidR="009F764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and recognized leadership and coordination (e.g.</w:t>
      </w:r>
      <w:r w:rsidR="00343C69">
        <w:rPr>
          <w:rFonts w:ascii="Times New Roman" w:eastAsia="Cambria" w:hAnsi="Times New Roman" w:cs="Times New Roman"/>
          <w:sz w:val="20"/>
          <w:szCs w:val="20"/>
          <w:lang w:val="en-GB"/>
        </w:rPr>
        <w:t>,</w:t>
      </w:r>
      <w:r w:rsidR="009F764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4A7814">
        <w:rPr>
          <w:rFonts w:ascii="Times New Roman" w:eastAsia="Cambria" w:hAnsi="Times New Roman" w:cs="Times New Roman"/>
          <w:sz w:val="20"/>
          <w:szCs w:val="20"/>
          <w:lang w:val="en-GB"/>
        </w:rPr>
        <w:t>as</w:t>
      </w:r>
      <w:r w:rsidR="004A7814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9F764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chair of </w:t>
      </w:r>
      <w:r w:rsidR="00343C69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the </w:t>
      </w:r>
      <w:r w:rsidR="009F764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anti</w:t>
      </w:r>
      <w:r w:rsidR="009D68A4">
        <w:rPr>
          <w:rFonts w:ascii="Times New Roman" w:eastAsia="Cambria" w:hAnsi="Times New Roman" w:cs="Times New Roman"/>
          <w:sz w:val="20"/>
          <w:szCs w:val="20"/>
          <w:lang w:val="en-GB"/>
        </w:rPr>
        <w:t>-</w:t>
      </w:r>
      <w:r w:rsidR="009F764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corruption and human rights coordination groups). </w:t>
      </w:r>
      <w:r w:rsidR="00DB5E80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While maintaining a country</w:t>
      </w:r>
      <w:r w:rsidR="004262E3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-</w:t>
      </w:r>
      <w:r w:rsidR="00DB5E80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wide focus, the programme will </w:t>
      </w:r>
      <w:r w:rsidR="00B02EAB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target</w:t>
      </w:r>
      <w:r w:rsidR="00DB5E80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the needs of vulnerable populations in conflict-affected regions and </w:t>
      </w:r>
      <w:r w:rsidR="001B5E2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poor rural areas. Other target groups </w:t>
      </w:r>
      <w:r w:rsidR="007730E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include </w:t>
      </w:r>
      <w:r w:rsidR="00DB5E80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unemployed youth and women, </w:t>
      </w:r>
      <w:r w:rsidR="00D865B3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victims of violence</w:t>
      </w:r>
      <w:r w:rsidR="007730E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(</w:t>
      </w:r>
      <w:r w:rsidR="00D865B3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including domestic violence</w:t>
      </w:r>
      <w:r w:rsidR="007730E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)</w:t>
      </w:r>
      <w:r w:rsidR="00D865B3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, </w:t>
      </w:r>
      <w:r w:rsidR="00FC34B5">
        <w:rPr>
          <w:rFonts w:ascii="Times New Roman" w:eastAsia="Cambria" w:hAnsi="Times New Roman" w:cs="Times New Roman"/>
          <w:sz w:val="20"/>
          <w:szCs w:val="20"/>
          <w:lang w:val="en-GB"/>
        </w:rPr>
        <w:t>persons with disabilities</w:t>
      </w:r>
      <w:r w:rsidR="00343C69">
        <w:rPr>
          <w:rFonts w:ascii="Times New Roman" w:eastAsia="Cambria" w:hAnsi="Times New Roman" w:cs="Times New Roman"/>
          <w:sz w:val="20"/>
          <w:szCs w:val="20"/>
          <w:lang w:val="en-GB"/>
        </w:rPr>
        <w:t>,</w:t>
      </w:r>
      <w:r w:rsidR="00FC34B5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12652C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people affected by HIV </w:t>
      </w:r>
      <w:r w:rsidR="00DB5E80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and lesbian, gay, bisexual, transgender and intersexual individuals.</w:t>
      </w:r>
      <w:r w:rsidR="00CB7BA3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</w:p>
    <w:p w14:paraId="6F55CC2E" w14:textId="2C0FA873" w:rsidR="00886F7D" w:rsidRPr="00346DB7" w:rsidRDefault="00886F7D" w:rsidP="00A20A54">
      <w:pPr>
        <w:pStyle w:val="Normal1"/>
        <w:spacing w:after="120"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346DB7">
        <w:rPr>
          <w:rFonts w:ascii="Times New Roman" w:eastAsia="Cambria" w:hAnsi="Times New Roman" w:cs="Times New Roman"/>
          <w:b/>
          <w:sz w:val="20"/>
          <w:szCs w:val="20"/>
          <w:lang w:val="en-GB"/>
        </w:rPr>
        <w:t>P</w:t>
      </w:r>
      <w:r w:rsidR="00FD0533" w:rsidRPr="00346DB7">
        <w:rPr>
          <w:rFonts w:ascii="Times New Roman" w:eastAsia="Cambria" w:hAnsi="Times New Roman" w:cs="Times New Roman"/>
          <w:b/>
          <w:sz w:val="20"/>
          <w:szCs w:val="20"/>
          <w:lang w:val="en-GB"/>
        </w:rPr>
        <w:t>athway</w:t>
      </w:r>
      <w:r w:rsidRPr="00346DB7">
        <w:rPr>
          <w:rFonts w:ascii="Times New Roman" w:eastAsia="Cambria" w:hAnsi="Times New Roman" w:cs="Times New Roman"/>
          <w:b/>
          <w:sz w:val="20"/>
          <w:szCs w:val="20"/>
          <w:lang w:val="en-GB"/>
        </w:rPr>
        <w:t xml:space="preserve"> </w:t>
      </w:r>
      <w:r w:rsidR="00FD0533" w:rsidRPr="00346DB7">
        <w:rPr>
          <w:rFonts w:ascii="Times New Roman" w:eastAsia="Cambria" w:hAnsi="Times New Roman" w:cs="Times New Roman"/>
          <w:b/>
          <w:sz w:val="20"/>
          <w:szCs w:val="20"/>
          <w:lang w:val="en-GB"/>
        </w:rPr>
        <w:t>I</w:t>
      </w:r>
      <w:r w:rsidR="00343C69">
        <w:rPr>
          <w:rFonts w:ascii="Times New Roman" w:eastAsia="Cambria" w:hAnsi="Times New Roman" w:cs="Times New Roman"/>
          <w:b/>
          <w:sz w:val="20"/>
          <w:szCs w:val="20"/>
          <w:lang w:val="en-GB"/>
        </w:rPr>
        <w:t>.</w:t>
      </w:r>
      <w:r w:rsidR="00343C69" w:rsidRPr="00346DB7">
        <w:rPr>
          <w:rFonts w:ascii="Times New Roman" w:eastAsia="Cambria" w:hAnsi="Times New Roman" w:cs="Times New Roman"/>
          <w:b/>
          <w:sz w:val="20"/>
          <w:szCs w:val="20"/>
          <w:lang w:val="en-GB"/>
        </w:rPr>
        <w:t xml:space="preserve"> </w:t>
      </w:r>
      <w:r w:rsidR="00F107C8" w:rsidRPr="00346DB7">
        <w:rPr>
          <w:rFonts w:ascii="Times New Roman" w:eastAsia="Cambria" w:hAnsi="Times New Roman" w:cs="Times New Roman"/>
          <w:b/>
          <w:sz w:val="20"/>
          <w:szCs w:val="20"/>
          <w:lang w:val="en-GB"/>
        </w:rPr>
        <w:t xml:space="preserve">Inclusive and </w:t>
      </w:r>
      <w:r w:rsidR="00343C69">
        <w:rPr>
          <w:rFonts w:ascii="Times New Roman" w:eastAsia="Cambria" w:hAnsi="Times New Roman" w:cs="Times New Roman"/>
          <w:b/>
          <w:sz w:val="20"/>
          <w:szCs w:val="20"/>
          <w:lang w:val="en-GB"/>
        </w:rPr>
        <w:t>e</w:t>
      </w:r>
      <w:r w:rsidR="00343C69" w:rsidRPr="00346DB7">
        <w:rPr>
          <w:rFonts w:ascii="Times New Roman" w:eastAsia="Cambria" w:hAnsi="Times New Roman" w:cs="Times New Roman"/>
          <w:b/>
          <w:sz w:val="20"/>
          <w:szCs w:val="20"/>
          <w:lang w:val="en-GB"/>
        </w:rPr>
        <w:t xml:space="preserve">ffective </w:t>
      </w:r>
      <w:r w:rsidR="00343C69">
        <w:rPr>
          <w:rFonts w:ascii="Times New Roman" w:eastAsia="Cambria" w:hAnsi="Times New Roman" w:cs="Times New Roman"/>
          <w:b/>
          <w:sz w:val="20"/>
          <w:szCs w:val="20"/>
          <w:lang w:val="en-GB"/>
        </w:rPr>
        <w:t>d</w:t>
      </w:r>
      <w:r w:rsidR="00343C69" w:rsidRPr="00346DB7">
        <w:rPr>
          <w:rFonts w:ascii="Times New Roman" w:eastAsia="Cambria" w:hAnsi="Times New Roman" w:cs="Times New Roman"/>
          <w:b/>
          <w:sz w:val="20"/>
          <w:szCs w:val="20"/>
          <w:lang w:val="en-GB"/>
        </w:rPr>
        <w:t xml:space="preserve">emocratic </w:t>
      </w:r>
      <w:r w:rsidR="00343C69">
        <w:rPr>
          <w:rFonts w:ascii="Times New Roman" w:eastAsia="Cambria" w:hAnsi="Times New Roman" w:cs="Times New Roman"/>
          <w:b/>
          <w:sz w:val="20"/>
          <w:szCs w:val="20"/>
          <w:lang w:val="en-GB"/>
        </w:rPr>
        <w:t>g</w:t>
      </w:r>
      <w:r w:rsidR="00343C69" w:rsidRPr="00346DB7">
        <w:rPr>
          <w:rFonts w:ascii="Times New Roman" w:eastAsia="Cambria" w:hAnsi="Times New Roman" w:cs="Times New Roman"/>
          <w:b/>
          <w:sz w:val="20"/>
          <w:szCs w:val="20"/>
          <w:lang w:val="en-GB"/>
        </w:rPr>
        <w:t xml:space="preserve">overnance </w:t>
      </w:r>
    </w:p>
    <w:p w14:paraId="23DB3C26" w14:textId="2C9F4F41" w:rsidR="0090528F" w:rsidRPr="001302DE" w:rsidRDefault="00206E57" w:rsidP="00A20A54">
      <w:pPr>
        <w:pStyle w:val="Normal1"/>
        <w:spacing w:after="120" w:line="240" w:lineRule="auto"/>
        <w:jc w:val="both"/>
        <w:rPr>
          <w:rFonts w:ascii="Times New Roman" w:eastAsia="Cambria" w:hAnsi="Times New Roman" w:cs="Times New Roman"/>
          <w:sz w:val="20"/>
          <w:szCs w:val="20"/>
          <w:lang w:val="en-GB"/>
        </w:rPr>
      </w:pPr>
      <w:r>
        <w:rPr>
          <w:rFonts w:ascii="Times New Roman" w:eastAsia="Cambria" w:hAnsi="Times New Roman" w:cs="Times New Roman"/>
          <w:sz w:val="20"/>
          <w:szCs w:val="20"/>
          <w:lang w:val="en-GB"/>
        </w:rPr>
        <w:t>1</w:t>
      </w:r>
      <w:r w:rsidR="00292648">
        <w:rPr>
          <w:rFonts w:ascii="Times New Roman" w:eastAsia="Cambria" w:hAnsi="Times New Roman" w:cs="Times New Roman"/>
          <w:sz w:val="20"/>
          <w:szCs w:val="20"/>
          <w:lang w:val="en-GB"/>
        </w:rPr>
        <w:t>2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. </w:t>
      </w:r>
      <w:r w:rsidR="00C23867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In line with the national strategy and reform agenda, </w:t>
      </w:r>
      <w:r w:rsidR="00574E7F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UNDP</w:t>
      </w:r>
      <w:r w:rsidR="00C749B8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185013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will support 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institutional and policy reforms that foster inclusive</w:t>
      </w:r>
      <w:r w:rsidR="00986A53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, gender-responsive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and</w:t>
      </w:r>
      <w:r w:rsidR="009B5646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sustainable human development. </w:t>
      </w:r>
    </w:p>
    <w:p w14:paraId="5BFB7A2A" w14:textId="195E261B" w:rsidR="00986A53" w:rsidRPr="001302DE" w:rsidRDefault="0090528F" w:rsidP="00A20A54">
      <w:pPr>
        <w:pStyle w:val="Normal1"/>
        <w:spacing w:after="120" w:line="240" w:lineRule="auto"/>
        <w:jc w:val="both"/>
        <w:rPr>
          <w:rFonts w:ascii="Times New Roman" w:eastAsia="Cambria" w:hAnsi="Times New Roman" w:cs="Times New Roman"/>
          <w:sz w:val="20"/>
          <w:szCs w:val="20"/>
          <w:lang w:val="en-GB"/>
        </w:rPr>
      </w:pPr>
      <w:r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13. </w:t>
      </w:r>
      <w:r w:rsidR="004D5D51" w:rsidRPr="001302DE">
        <w:rPr>
          <w:rFonts w:ascii="Times New Roman" w:eastAsia="Cambria" w:hAnsi="Times New Roman" w:cs="Times New Roman"/>
          <w:b/>
          <w:sz w:val="20"/>
          <w:szCs w:val="20"/>
          <w:lang w:val="en-GB"/>
        </w:rPr>
        <w:t>I</w:t>
      </w:r>
      <w:r w:rsidR="009F6A92" w:rsidRPr="001302DE">
        <w:rPr>
          <w:rFonts w:ascii="Times New Roman" w:eastAsia="Cambria" w:hAnsi="Times New Roman" w:cs="Times New Roman"/>
          <w:b/>
          <w:sz w:val="20"/>
          <w:szCs w:val="20"/>
          <w:lang w:val="en-GB"/>
        </w:rPr>
        <w:t xml:space="preserve">nclusive </w:t>
      </w:r>
      <w:r w:rsidR="002F5B44" w:rsidRPr="001302DE">
        <w:rPr>
          <w:rFonts w:ascii="Times New Roman" w:eastAsia="Cambria" w:hAnsi="Times New Roman" w:cs="Times New Roman"/>
          <w:b/>
          <w:sz w:val="20"/>
          <w:szCs w:val="20"/>
          <w:lang w:val="en-GB"/>
        </w:rPr>
        <w:t xml:space="preserve">and </w:t>
      </w:r>
      <w:r w:rsidR="00343C69">
        <w:rPr>
          <w:rFonts w:ascii="Times New Roman" w:eastAsia="Cambria" w:hAnsi="Times New Roman" w:cs="Times New Roman"/>
          <w:b/>
          <w:sz w:val="20"/>
          <w:szCs w:val="20"/>
          <w:lang w:val="en-GB"/>
        </w:rPr>
        <w:t>r</w:t>
      </w:r>
      <w:r w:rsidR="00343C69" w:rsidRPr="001302DE">
        <w:rPr>
          <w:rFonts w:ascii="Times New Roman" w:eastAsia="Cambria" w:hAnsi="Times New Roman" w:cs="Times New Roman"/>
          <w:b/>
          <w:sz w:val="20"/>
          <w:szCs w:val="20"/>
          <w:lang w:val="en-GB"/>
        </w:rPr>
        <w:t xml:space="preserve">esponsive </w:t>
      </w:r>
      <w:r w:rsidR="00343C69">
        <w:rPr>
          <w:rFonts w:ascii="Times New Roman" w:eastAsia="Cambria" w:hAnsi="Times New Roman" w:cs="Times New Roman"/>
          <w:b/>
          <w:sz w:val="20"/>
          <w:szCs w:val="20"/>
          <w:lang w:val="en-GB"/>
        </w:rPr>
        <w:t>d</w:t>
      </w:r>
      <w:r w:rsidR="00343C69" w:rsidRPr="001302DE">
        <w:rPr>
          <w:rFonts w:ascii="Times New Roman" w:eastAsia="Cambria" w:hAnsi="Times New Roman" w:cs="Times New Roman"/>
          <w:b/>
          <w:sz w:val="20"/>
          <w:szCs w:val="20"/>
          <w:lang w:val="en-GB"/>
        </w:rPr>
        <w:t>ecision</w:t>
      </w:r>
      <w:r w:rsidR="004D5D51" w:rsidRPr="001302DE">
        <w:rPr>
          <w:rFonts w:ascii="Times New Roman" w:eastAsia="Cambria" w:hAnsi="Times New Roman" w:cs="Times New Roman"/>
          <w:b/>
          <w:sz w:val="20"/>
          <w:szCs w:val="20"/>
          <w:lang w:val="en-GB"/>
        </w:rPr>
        <w:t>-making</w:t>
      </w:r>
      <w:r w:rsidR="002F5B44" w:rsidRPr="001302DE">
        <w:rPr>
          <w:rFonts w:ascii="Times New Roman" w:eastAsia="Cambria" w:hAnsi="Times New Roman" w:cs="Times New Roman"/>
          <w:b/>
          <w:sz w:val="20"/>
          <w:szCs w:val="20"/>
          <w:lang w:val="en-GB"/>
        </w:rPr>
        <w:t xml:space="preserve"> and policies</w:t>
      </w:r>
      <w:r w:rsidR="00343C69">
        <w:rPr>
          <w:rFonts w:ascii="Times New Roman" w:eastAsia="Cambria" w:hAnsi="Times New Roman" w:cs="Times New Roman"/>
          <w:b/>
          <w:sz w:val="20"/>
          <w:szCs w:val="20"/>
          <w:lang w:val="en-GB"/>
        </w:rPr>
        <w:t>.</w:t>
      </w:r>
      <w:r w:rsidR="00343C69" w:rsidRPr="001302DE">
        <w:rPr>
          <w:rFonts w:ascii="Times New Roman" w:eastAsia="Cambria" w:hAnsi="Times New Roman" w:cs="Times New Roman"/>
          <w:b/>
          <w:sz w:val="20"/>
          <w:szCs w:val="20"/>
          <w:lang w:val="en-GB"/>
        </w:rPr>
        <w:t xml:space="preserve"> 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Working with </w:t>
      </w:r>
      <w:r w:rsidR="00D04CCA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the 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Mini</w:t>
      </w:r>
      <w:r w:rsidR="002F5B44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stry</w:t>
      </w:r>
      <w:r w:rsidR="00D04CCA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of </w:t>
      </w:r>
      <w:r w:rsidR="009B5646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Regional Development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, </w:t>
      </w:r>
      <w:r w:rsidR="009B278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UNDP 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will strengthen capacities to integrate the sustainable human development agenda into development plans and</w:t>
      </w:r>
      <w:r w:rsidR="002021C8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525396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statistical 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systems</w:t>
      </w:r>
      <w:r w:rsidR="00391A5A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,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and to engage civil society</w:t>
      </w:r>
      <w:r w:rsidR="00075D3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, women and youth 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in </w:t>
      </w:r>
      <w:r w:rsidR="007A4234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transparent 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development </w:t>
      </w:r>
      <w:r w:rsidR="00097EA8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processes. UNDP will 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use its convening power to forge effective partnerships</w:t>
      </w:r>
      <w:r w:rsidR="00C05114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a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mong </w:t>
      </w:r>
      <w:r w:rsidR="003F09FF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the 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private sector</w:t>
      </w:r>
      <w:r w:rsidR="00DE569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2021C8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and </w:t>
      </w:r>
      <w:r w:rsidR="00137D36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community-</w:t>
      </w:r>
      <w:r w:rsidR="00DE569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based organizations</w:t>
      </w:r>
      <w:r w:rsidR="00402397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(</w:t>
      </w:r>
      <w:r w:rsidR="00D04CCA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including women’s organizations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and civil society </w:t>
      </w:r>
      <w:r w:rsidR="00DE569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hubs established in the </w:t>
      </w:r>
      <w:r w:rsidR="00097EA8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previous </w:t>
      </w:r>
      <w:r w:rsidR="009B278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cycle</w:t>
      </w:r>
      <w:r w:rsidR="00402397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)</w:t>
      </w:r>
      <w:r w:rsidR="009B278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. </w:t>
      </w:r>
      <w:r w:rsidR="001816BA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Partnering </w:t>
      </w:r>
      <w:r w:rsidR="002F5B44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with </w:t>
      </w:r>
      <w:r w:rsidR="00177FE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EU</w:t>
      </w:r>
      <w:r w:rsidR="002F5B44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and </w:t>
      </w:r>
      <w:r w:rsidR="00540B37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building on successful community-based programming</w:t>
      </w:r>
      <w:r w:rsidR="0098510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, 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UNDP will support local governments </w:t>
      </w:r>
      <w:r w:rsidR="000C7346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to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strengthen </w:t>
      </w:r>
      <w:r w:rsidR="00DF44DB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public service 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delivery</w:t>
      </w:r>
      <w:r w:rsidR="009D46C4">
        <w:rPr>
          <w:rFonts w:ascii="Times New Roman" w:eastAsia="Cambria" w:hAnsi="Times New Roman" w:cs="Times New Roman"/>
          <w:sz w:val="20"/>
          <w:szCs w:val="20"/>
          <w:lang w:val="en-GB"/>
        </w:rPr>
        <w:t>,</w:t>
      </w:r>
      <w:r w:rsidR="00B35DB2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2021C8">
        <w:rPr>
          <w:rFonts w:ascii="Times New Roman" w:eastAsia="Cambria" w:hAnsi="Times New Roman" w:cs="Times New Roman"/>
          <w:sz w:val="20"/>
          <w:szCs w:val="20"/>
          <w:lang w:val="en-GB"/>
        </w:rPr>
        <w:t>focusing on</w:t>
      </w:r>
      <w:r w:rsidR="00810E2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poverty reduction and environmental sustainability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.</w:t>
      </w:r>
      <w:r w:rsidR="0043368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2021C8">
        <w:rPr>
          <w:rFonts w:ascii="Times New Roman" w:eastAsia="Cambria" w:hAnsi="Times New Roman" w:cs="Times New Roman"/>
          <w:sz w:val="20"/>
          <w:szCs w:val="20"/>
          <w:lang w:val="en-GB"/>
        </w:rPr>
        <w:t>Responding to</w:t>
      </w:r>
      <w:r w:rsidR="00986A53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the parliamentary needs assessment</w:t>
      </w:r>
      <w:r w:rsidR="00525396">
        <w:rPr>
          <w:rFonts w:ascii="Times New Roman" w:eastAsia="Cambria" w:hAnsi="Times New Roman" w:cs="Times New Roman"/>
          <w:sz w:val="20"/>
          <w:szCs w:val="20"/>
          <w:lang w:val="en-GB"/>
        </w:rPr>
        <w:t>,</w:t>
      </w:r>
      <w:r w:rsidR="00986A53" w:rsidRPr="001302DE">
        <w:rPr>
          <w:rStyle w:val="FootnoteReference"/>
          <w:rFonts w:ascii="Times New Roman" w:eastAsia="Cambria" w:hAnsi="Times New Roman"/>
          <w:sz w:val="20"/>
          <w:szCs w:val="20"/>
          <w:lang w:val="en-GB"/>
        </w:rPr>
        <w:footnoteReference w:id="27"/>
      </w:r>
      <w:r w:rsidR="00525396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986A53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UNDP will continue partnering with </w:t>
      </w:r>
      <w:r w:rsidR="00C429D0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the </w:t>
      </w:r>
      <w:r w:rsidR="00986A53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EU </w:t>
      </w:r>
      <w:r w:rsidR="00FB0B2A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and </w:t>
      </w:r>
      <w:r w:rsidR="00C429D0">
        <w:rPr>
          <w:rFonts w:ascii="Times New Roman" w:eastAsia="Cambria" w:hAnsi="Times New Roman" w:cs="Times New Roman"/>
          <w:sz w:val="20"/>
          <w:szCs w:val="20"/>
          <w:lang w:val="en-GB"/>
        </w:rPr>
        <w:t>its M</w:t>
      </w:r>
      <w:r w:rsidR="00C429D0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ember </w:t>
      </w:r>
      <w:r w:rsidR="00C429D0">
        <w:rPr>
          <w:rFonts w:ascii="Times New Roman" w:eastAsia="Cambria" w:hAnsi="Times New Roman" w:cs="Times New Roman"/>
          <w:sz w:val="20"/>
          <w:szCs w:val="20"/>
          <w:lang w:val="en-GB"/>
        </w:rPr>
        <w:t>S</w:t>
      </w:r>
      <w:r w:rsidR="00FB0B2A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tates </w:t>
      </w:r>
      <w:r w:rsidR="00986A53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to strengthen </w:t>
      </w:r>
      <w:r w:rsidR="00E17FBB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parliamentary </w:t>
      </w:r>
      <w:r w:rsidR="00D865B3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capacities.</w:t>
      </w:r>
      <w:r w:rsidR="002053A8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D865B3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Working closely with the </w:t>
      </w:r>
      <w:r w:rsidR="00B35DB2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Parliament’s </w:t>
      </w:r>
      <w:r w:rsidR="00D865B3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Gender Public Council and </w:t>
      </w:r>
      <w:r w:rsidR="00E17FBB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with </w:t>
      </w:r>
      <w:r w:rsidR="00D865B3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local authorities, UNDP will </w:t>
      </w:r>
      <w:r w:rsidR="00E17FBB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promote </w:t>
      </w:r>
      <w:r w:rsidR="00986A53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women’s </w:t>
      </w:r>
      <w:r w:rsidR="00E17FBB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national- and local-level </w:t>
      </w:r>
      <w:r w:rsidR="00986A53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representation and leadership</w:t>
      </w:r>
      <w:r w:rsidR="00D865B3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. </w:t>
      </w:r>
    </w:p>
    <w:p w14:paraId="598A7D04" w14:textId="2D126E1C" w:rsidR="00886F7D" w:rsidRPr="001302DE" w:rsidRDefault="0090528F" w:rsidP="00A20A54">
      <w:pPr>
        <w:pStyle w:val="Normal1"/>
        <w:spacing w:after="120" w:line="240" w:lineRule="auto"/>
        <w:jc w:val="both"/>
        <w:rPr>
          <w:rFonts w:ascii="Times New Roman" w:eastAsia="Cambria" w:hAnsi="Times New Roman" w:cs="Times New Roman"/>
          <w:sz w:val="20"/>
          <w:szCs w:val="20"/>
          <w:lang w:val="en-GB"/>
        </w:rPr>
      </w:pPr>
      <w:r>
        <w:rPr>
          <w:rFonts w:ascii="Times New Roman" w:eastAsia="Cambria" w:hAnsi="Times New Roman" w:cs="Times New Roman"/>
          <w:sz w:val="20"/>
          <w:szCs w:val="20"/>
          <w:lang w:val="en-GB"/>
        </w:rPr>
        <w:t>14</w:t>
      </w:r>
      <w:r w:rsidR="00C429D0">
        <w:rPr>
          <w:rFonts w:ascii="Times New Roman" w:eastAsia="Cambria" w:hAnsi="Times New Roman" w:cs="Times New Roman"/>
          <w:sz w:val="20"/>
          <w:szCs w:val="20"/>
          <w:lang w:val="en-GB"/>
        </w:rPr>
        <w:t>.</w:t>
      </w:r>
      <w:r w:rsidR="00886F7D" w:rsidRPr="001302DE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886F7D" w:rsidRPr="001302DE">
        <w:rPr>
          <w:rFonts w:ascii="Times New Roman" w:eastAsia="Cambria" w:hAnsi="Times New Roman" w:cs="Times New Roman"/>
          <w:b/>
          <w:sz w:val="20"/>
          <w:szCs w:val="20"/>
          <w:lang w:val="en-GB"/>
        </w:rPr>
        <w:t>Accountable institutions</w:t>
      </w:r>
      <w:r w:rsidR="002F5B44" w:rsidRPr="001302DE">
        <w:rPr>
          <w:rFonts w:ascii="Times New Roman" w:eastAsia="Cambria" w:hAnsi="Times New Roman" w:cs="Times New Roman"/>
          <w:b/>
          <w:sz w:val="20"/>
          <w:szCs w:val="20"/>
          <w:lang w:val="en-GB"/>
        </w:rPr>
        <w:t xml:space="preserve"> </w:t>
      </w:r>
      <w:r w:rsidR="00C36254" w:rsidRPr="001302DE">
        <w:rPr>
          <w:rFonts w:ascii="Times New Roman" w:eastAsia="Cambria" w:hAnsi="Times New Roman" w:cs="Times New Roman"/>
          <w:b/>
          <w:sz w:val="20"/>
          <w:szCs w:val="20"/>
          <w:lang w:val="en-GB"/>
        </w:rPr>
        <w:t>and human rights</w:t>
      </w:r>
      <w:r w:rsidR="00C429D0">
        <w:rPr>
          <w:rFonts w:ascii="Times New Roman" w:eastAsia="Cambria" w:hAnsi="Times New Roman" w:cs="Times New Roman"/>
          <w:b/>
          <w:sz w:val="20"/>
          <w:szCs w:val="20"/>
          <w:lang w:val="en-GB"/>
        </w:rPr>
        <w:t>.</w:t>
      </w:r>
      <w:r w:rsidR="00C429D0" w:rsidRPr="001302DE">
        <w:rPr>
          <w:rFonts w:ascii="Times New Roman" w:eastAsia="Cambria" w:hAnsi="Times New Roman" w:cs="Times New Roman"/>
          <w:b/>
          <w:sz w:val="20"/>
          <w:szCs w:val="20"/>
          <w:lang w:val="en-GB"/>
        </w:rPr>
        <w:t xml:space="preserve"> 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UNDP will </w:t>
      </w:r>
      <w:r w:rsidR="00075D3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enhance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institutional capacities for democratic representation and accountability at central and local </w:t>
      </w:r>
      <w:r w:rsidR="00D865B3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levels.</w:t>
      </w:r>
      <w:r w:rsidR="00DE569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027B9E">
        <w:rPr>
          <w:rFonts w:ascii="Times New Roman" w:eastAsia="Cambria" w:hAnsi="Times New Roman" w:cs="Times New Roman"/>
          <w:sz w:val="20"/>
          <w:szCs w:val="20"/>
          <w:lang w:val="en-GB"/>
        </w:rPr>
        <w:t>C</w:t>
      </w:r>
      <w:r w:rsidR="006A4747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o-chair</w:t>
      </w:r>
      <w:r w:rsidR="00033866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ing</w:t>
      </w:r>
      <w:r w:rsidR="006A4747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the </w:t>
      </w:r>
      <w:r w:rsidR="00DE569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anti</w:t>
      </w:r>
      <w:r w:rsidR="0066238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-</w:t>
      </w:r>
      <w:r w:rsidR="00DE569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corruption donor coordination group,</w:t>
      </w:r>
      <w:r w:rsidR="009617C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DE569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UNDP </w:t>
      </w:r>
      <w:r w:rsidR="009D68A4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and </w:t>
      </w:r>
      <w:r w:rsidR="006A4747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partners </w:t>
      </w:r>
      <w:r w:rsidR="009D68A4">
        <w:rPr>
          <w:rFonts w:ascii="Times New Roman" w:eastAsia="Cambria" w:hAnsi="Times New Roman" w:cs="Times New Roman"/>
          <w:sz w:val="20"/>
          <w:szCs w:val="20"/>
          <w:lang w:val="en-GB"/>
        </w:rPr>
        <w:t>will</w:t>
      </w:r>
      <w:r w:rsidR="009D68A4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support the </w:t>
      </w:r>
      <w:r w:rsidR="00E2127B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development of 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transparent </w:t>
      </w:r>
      <w:r w:rsidR="00075D3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systems</w:t>
      </w:r>
      <w:r w:rsidR="005C3BD7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075D3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and processes</w:t>
      </w:r>
      <w:r w:rsidR="00FB0B2A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.</w:t>
      </w:r>
      <w:r w:rsidR="00146CA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E20CCA">
        <w:rPr>
          <w:rFonts w:ascii="Times New Roman" w:eastAsia="Cambria" w:hAnsi="Times New Roman" w:cs="Times New Roman"/>
          <w:sz w:val="20"/>
          <w:szCs w:val="20"/>
          <w:lang w:val="en-GB"/>
        </w:rPr>
        <w:t>South-South</w:t>
      </w:r>
      <w:r w:rsidR="00146CA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partnership</w:t>
      </w:r>
      <w:r w:rsidR="006E2CA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s</w:t>
      </w:r>
      <w:r w:rsidR="00146CA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will be </w:t>
      </w:r>
      <w:r w:rsidR="00027B9E">
        <w:rPr>
          <w:rFonts w:ascii="Times New Roman" w:eastAsia="Cambria" w:hAnsi="Times New Roman" w:cs="Times New Roman"/>
          <w:sz w:val="20"/>
          <w:szCs w:val="20"/>
          <w:lang w:val="en-GB"/>
        </w:rPr>
        <w:t>harnessed</w:t>
      </w:r>
      <w:r w:rsidR="00027B9E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865FD9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to strengthen </w:t>
      </w:r>
      <w:r w:rsidR="00146CA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Ukraine’s </w:t>
      </w:r>
      <w:r w:rsidR="00033866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anticorruption</w:t>
      </w:r>
      <w:r w:rsidR="00146CA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architecture</w:t>
      </w:r>
      <w:r w:rsidR="006E2CA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(e.g.</w:t>
      </w:r>
      <w:r w:rsidR="00C429D0">
        <w:rPr>
          <w:rFonts w:ascii="Times New Roman" w:eastAsia="Cambria" w:hAnsi="Times New Roman" w:cs="Times New Roman"/>
          <w:sz w:val="20"/>
          <w:szCs w:val="20"/>
          <w:lang w:val="en-GB"/>
        </w:rPr>
        <w:t>,</w:t>
      </w:r>
      <w:r w:rsidR="00146CA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engagement with </w:t>
      </w:r>
      <w:r w:rsidR="009D68A4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the </w:t>
      </w:r>
      <w:r w:rsidR="006E2CA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Romanian </w:t>
      </w:r>
      <w:r w:rsidR="00033866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anti-corruption</w:t>
      </w:r>
      <w:r w:rsidR="00146CA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agency </w:t>
      </w:r>
      <w:r w:rsidR="00027B9E">
        <w:rPr>
          <w:rFonts w:ascii="Times New Roman" w:eastAsia="Cambria" w:hAnsi="Times New Roman" w:cs="Times New Roman"/>
          <w:sz w:val="20"/>
          <w:szCs w:val="20"/>
          <w:lang w:val="en-GB"/>
        </w:rPr>
        <w:t>on</w:t>
      </w:r>
      <w:r w:rsidR="00146CA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FB0B2A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electronic </w:t>
      </w:r>
      <w:r w:rsidR="00865FD9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verification </w:t>
      </w:r>
      <w:r w:rsidR="00FB0B2A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and conflict </w:t>
      </w:r>
      <w:r w:rsidR="00865FD9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of </w:t>
      </w:r>
      <w:r w:rsidR="00FB0B2A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interest</w:t>
      </w:r>
      <w:r w:rsidR="00865FD9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)</w:t>
      </w:r>
      <w:r w:rsidR="00146CA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. </w:t>
      </w:r>
      <w:r w:rsidR="009B278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UNDP will work</w:t>
      </w:r>
      <w:r w:rsidR="00CC4023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with </w:t>
      </w:r>
      <w:r w:rsidR="00C429D0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the </w:t>
      </w:r>
      <w:r w:rsidR="00CC4023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Ombudsperson, Ministr</w:t>
      </w:r>
      <w:r w:rsidR="00B35DB2">
        <w:rPr>
          <w:rFonts w:ascii="Times New Roman" w:eastAsia="Cambria" w:hAnsi="Times New Roman" w:cs="Times New Roman"/>
          <w:sz w:val="20"/>
          <w:szCs w:val="20"/>
          <w:lang w:val="en-GB"/>
        </w:rPr>
        <w:t>y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of Justic</w:t>
      </w:r>
      <w:r w:rsidR="00CC4023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e 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and CSOs</w:t>
      </w:r>
      <w:r w:rsidR="009B278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to </w:t>
      </w:r>
      <w:r w:rsidR="009B278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strengthen </w:t>
      </w:r>
      <w:r w:rsidR="00A1659A" w:rsidRPr="001302DE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systems, laws and policies </w:t>
      </w:r>
      <w:r w:rsidR="00E016C9" w:rsidRPr="001302DE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that advance </w:t>
      </w:r>
      <w:r w:rsidR="00A1659A" w:rsidRPr="001302DE">
        <w:rPr>
          <w:rFonts w:ascii="Times New Roman" w:eastAsia="Calibri" w:hAnsi="Times New Roman" w:cs="Times New Roman"/>
          <w:color w:val="auto"/>
          <w:sz w:val="20"/>
          <w:szCs w:val="20"/>
          <w:lang w:val="en-GB"/>
        </w:rPr>
        <w:t xml:space="preserve">realization </w:t>
      </w:r>
      <w:r w:rsidR="00A1659A" w:rsidRPr="001302DE">
        <w:rPr>
          <w:rFonts w:ascii="Times New Roman" w:eastAsia="Calibri" w:hAnsi="Times New Roman" w:cs="Times New Roman"/>
          <w:sz w:val="20"/>
          <w:szCs w:val="20"/>
          <w:lang w:val="en-GB"/>
        </w:rPr>
        <w:t>of human rights</w:t>
      </w:r>
      <w:r w:rsidR="009D68A4">
        <w:rPr>
          <w:rFonts w:ascii="Times New Roman" w:eastAsia="Calibri" w:hAnsi="Times New Roman" w:cs="Times New Roman"/>
          <w:sz w:val="20"/>
          <w:szCs w:val="20"/>
          <w:lang w:val="en-GB"/>
        </w:rPr>
        <w:t>,</w:t>
      </w:r>
      <w:r w:rsidR="00A1659A" w:rsidRPr="001302DE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r w:rsidR="00E016C9" w:rsidRPr="001302DE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and </w:t>
      </w:r>
      <w:r w:rsidR="00611F63" w:rsidRPr="001302DE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to </w:t>
      </w:r>
      <w:r w:rsidR="00E016C9" w:rsidRPr="001302DE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improve access to justice, </w:t>
      </w:r>
      <w:r w:rsidR="00A1659A" w:rsidRPr="001302DE">
        <w:rPr>
          <w:rFonts w:ascii="Times New Roman" w:eastAsia="Calibri" w:hAnsi="Times New Roman" w:cs="Times New Roman"/>
          <w:sz w:val="20"/>
          <w:szCs w:val="20"/>
          <w:lang w:val="en-GB"/>
        </w:rPr>
        <w:t>esp</w:t>
      </w:r>
      <w:r w:rsidR="00E016C9" w:rsidRPr="001302DE">
        <w:rPr>
          <w:rFonts w:ascii="Times New Roman" w:eastAsia="Calibri" w:hAnsi="Times New Roman" w:cs="Times New Roman"/>
          <w:sz w:val="20"/>
          <w:szCs w:val="20"/>
          <w:lang w:val="en-GB"/>
        </w:rPr>
        <w:t>ecially for vulnerable groups</w:t>
      </w:r>
      <w:r w:rsidR="009B278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. </w:t>
      </w:r>
      <w:r w:rsidR="00CF44BF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Other initiatives will focus on empowering vulnerable persons and groups to assert their rights and seek remedies for grievances, including discrimination</w:t>
      </w:r>
      <w:r w:rsidR="000E368A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and </w:t>
      </w:r>
      <w:r w:rsidR="00CF44BF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domestic and gender-based violence. </w:t>
      </w:r>
      <w:r w:rsidR="009B278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UNDP will </w:t>
      </w:r>
      <w:r w:rsidR="00986A53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continue to </w:t>
      </w:r>
      <w:r w:rsidR="009B278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work with </w:t>
      </w:r>
      <w:r w:rsidR="00234926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the Office of the United Nations High Commissioner for Human Rights (</w:t>
      </w:r>
      <w:r w:rsidR="009B278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OHCHR</w:t>
      </w:r>
      <w:r w:rsidR="00234926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)</w:t>
      </w:r>
      <w:r w:rsidR="00986A53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and </w:t>
      </w:r>
      <w:r w:rsidR="00C429D0">
        <w:rPr>
          <w:rFonts w:ascii="Times New Roman" w:eastAsia="Cambria" w:hAnsi="Times New Roman" w:cs="Times New Roman"/>
          <w:sz w:val="20"/>
          <w:szCs w:val="20"/>
          <w:lang w:val="en-GB"/>
        </w:rPr>
        <w:t>United Nations Entity for Gender Equality and the Empowerment of Women (</w:t>
      </w:r>
      <w:r w:rsidR="00C429D0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UN</w:t>
      </w:r>
      <w:r w:rsidR="00C429D0">
        <w:rPr>
          <w:rFonts w:ascii="Times New Roman" w:eastAsia="Cambria" w:hAnsi="Times New Roman" w:cs="Times New Roman"/>
          <w:sz w:val="20"/>
          <w:szCs w:val="20"/>
          <w:lang w:val="en-GB"/>
        </w:rPr>
        <w:t>-</w:t>
      </w:r>
      <w:r w:rsidR="00986A53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Women</w:t>
      </w:r>
      <w:r w:rsidR="00C429D0">
        <w:rPr>
          <w:rFonts w:ascii="Times New Roman" w:eastAsia="Cambria" w:hAnsi="Times New Roman" w:cs="Times New Roman"/>
          <w:sz w:val="20"/>
          <w:szCs w:val="20"/>
          <w:lang w:val="en-GB"/>
        </w:rPr>
        <w:t>)</w:t>
      </w:r>
      <w:r w:rsidR="00075D3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to support </w:t>
      </w:r>
      <w:r w:rsidR="00730238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implementation of </w:t>
      </w:r>
      <w:r w:rsidR="009B278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the </w:t>
      </w:r>
      <w:r w:rsidR="009B278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lastRenderedPageBreak/>
        <w:t xml:space="preserve">recommendations of the </w:t>
      </w:r>
      <w:r w:rsidR="00C429D0">
        <w:rPr>
          <w:rFonts w:ascii="Times New Roman" w:eastAsia="Cambria" w:hAnsi="Times New Roman" w:cs="Times New Roman"/>
          <w:sz w:val="20"/>
          <w:szCs w:val="20"/>
          <w:lang w:val="en-GB"/>
        </w:rPr>
        <w:t>u</w:t>
      </w:r>
      <w:r w:rsidR="00C429D0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niversal </w:t>
      </w:r>
      <w:r w:rsidR="00C429D0">
        <w:rPr>
          <w:rFonts w:ascii="Times New Roman" w:eastAsia="Cambria" w:hAnsi="Times New Roman" w:cs="Times New Roman"/>
          <w:sz w:val="20"/>
          <w:szCs w:val="20"/>
          <w:lang w:val="en-GB"/>
        </w:rPr>
        <w:t>p</w:t>
      </w:r>
      <w:r w:rsidR="00C429D0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eriodic </w:t>
      </w:r>
      <w:r w:rsidR="00C429D0">
        <w:rPr>
          <w:rFonts w:ascii="Times New Roman" w:eastAsia="Cambria" w:hAnsi="Times New Roman" w:cs="Times New Roman"/>
          <w:sz w:val="20"/>
          <w:szCs w:val="20"/>
          <w:lang w:val="en-GB"/>
        </w:rPr>
        <w:t>r</w:t>
      </w:r>
      <w:r w:rsidR="00C429D0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eview</w:t>
      </w:r>
      <w:r w:rsidR="00C429D0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B35DB2">
        <w:rPr>
          <w:rFonts w:ascii="Times New Roman" w:eastAsia="Cambria" w:hAnsi="Times New Roman" w:cs="Times New Roman"/>
          <w:sz w:val="20"/>
          <w:szCs w:val="20"/>
          <w:lang w:val="en-GB"/>
        </w:rPr>
        <w:t>and</w:t>
      </w:r>
      <w:r w:rsidR="006B286A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the </w:t>
      </w:r>
      <w:r w:rsidR="00C429D0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Committee </w:t>
      </w:r>
      <w:r w:rsidR="00986A53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on the Elimination of Discrimination against </w:t>
      </w:r>
      <w:r w:rsidR="00730238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Women</w:t>
      </w:r>
      <w:r w:rsidR="00EF58DD">
        <w:rPr>
          <w:rFonts w:ascii="Times New Roman" w:eastAsia="Cambria" w:hAnsi="Times New Roman" w:cs="Times New Roman"/>
          <w:sz w:val="20"/>
          <w:szCs w:val="20"/>
          <w:lang w:val="en-GB"/>
        </w:rPr>
        <w:t>.</w:t>
      </w:r>
      <w:r w:rsidR="002053A8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</w:p>
    <w:p w14:paraId="30EAE18A" w14:textId="68DB2238" w:rsidR="00886F7D" w:rsidRPr="00346DB7" w:rsidRDefault="00886F7D" w:rsidP="00A20A54">
      <w:pPr>
        <w:spacing w:after="120"/>
        <w:rPr>
          <w:rFonts w:eastAsia="Cambria"/>
          <w:b/>
          <w:color w:val="000000"/>
          <w:lang w:val="en-GB"/>
        </w:rPr>
      </w:pPr>
      <w:r w:rsidRPr="00346DB7">
        <w:rPr>
          <w:rFonts w:eastAsia="Cambria"/>
          <w:b/>
          <w:lang w:val="en-GB"/>
        </w:rPr>
        <w:t>P</w:t>
      </w:r>
      <w:r w:rsidR="00FD0533" w:rsidRPr="00346DB7">
        <w:rPr>
          <w:rFonts w:eastAsia="Cambria"/>
          <w:b/>
          <w:lang w:val="en-GB"/>
        </w:rPr>
        <w:t>athway</w:t>
      </w:r>
      <w:r w:rsidRPr="00346DB7">
        <w:rPr>
          <w:rFonts w:eastAsia="Cambria"/>
          <w:b/>
          <w:lang w:val="en-GB"/>
        </w:rPr>
        <w:t xml:space="preserve"> </w:t>
      </w:r>
      <w:r w:rsidR="00FD0533" w:rsidRPr="00346DB7">
        <w:rPr>
          <w:rFonts w:eastAsia="Cambria"/>
          <w:b/>
          <w:lang w:val="en-GB"/>
        </w:rPr>
        <w:t>II</w:t>
      </w:r>
      <w:r w:rsidR="0090528F">
        <w:rPr>
          <w:rFonts w:eastAsia="Cambria"/>
          <w:b/>
          <w:lang w:val="en-GB"/>
        </w:rPr>
        <w:t>.</w:t>
      </w:r>
      <w:r w:rsidR="0090528F" w:rsidRPr="00346DB7">
        <w:rPr>
          <w:rFonts w:eastAsia="Cambria"/>
          <w:b/>
          <w:lang w:val="en-GB"/>
        </w:rPr>
        <w:t xml:space="preserve"> </w:t>
      </w:r>
      <w:r w:rsidR="00BB4A9F" w:rsidRPr="00346DB7">
        <w:rPr>
          <w:rFonts w:eastAsia="Cambria"/>
          <w:b/>
          <w:lang w:val="en-GB"/>
        </w:rPr>
        <w:t xml:space="preserve">Inclusive and </w:t>
      </w:r>
      <w:r w:rsidR="0090528F">
        <w:rPr>
          <w:rFonts w:eastAsia="Cambria"/>
          <w:b/>
          <w:lang w:val="en-GB"/>
        </w:rPr>
        <w:t>g</w:t>
      </w:r>
      <w:r w:rsidR="0090528F" w:rsidRPr="00346DB7">
        <w:rPr>
          <w:rFonts w:eastAsia="Cambria"/>
          <w:b/>
          <w:lang w:val="en-GB"/>
        </w:rPr>
        <w:t>ender</w:t>
      </w:r>
      <w:r w:rsidR="00BB4A9F" w:rsidRPr="00346DB7">
        <w:rPr>
          <w:rFonts w:eastAsia="Cambria"/>
          <w:b/>
          <w:lang w:val="en-GB"/>
        </w:rPr>
        <w:t>-</w:t>
      </w:r>
      <w:r w:rsidR="00CF4826" w:rsidRPr="00346DB7">
        <w:rPr>
          <w:rFonts w:eastAsia="Cambria"/>
          <w:b/>
          <w:lang w:val="en-GB"/>
        </w:rPr>
        <w:t>r</w:t>
      </w:r>
      <w:r w:rsidR="00BB4A9F" w:rsidRPr="00346DB7">
        <w:rPr>
          <w:rFonts w:eastAsia="Cambria"/>
          <w:b/>
          <w:lang w:val="en-GB"/>
        </w:rPr>
        <w:t xml:space="preserve">esponsive </w:t>
      </w:r>
      <w:r w:rsidR="0090528F">
        <w:rPr>
          <w:rFonts w:eastAsia="Cambria"/>
          <w:b/>
          <w:lang w:val="en-GB"/>
        </w:rPr>
        <w:t>s</w:t>
      </w:r>
      <w:r w:rsidR="0090528F" w:rsidRPr="00346DB7">
        <w:rPr>
          <w:rFonts w:eastAsia="Cambria"/>
          <w:b/>
          <w:lang w:val="en-GB"/>
        </w:rPr>
        <w:t xml:space="preserve">ustainable </w:t>
      </w:r>
      <w:r w:rsidR="0090528F">
        <w:rPr>
          <w:rFonts w:eastAsia="Cambria"/>
          <w:b/>
          <w:lang w:val="en-GB"/>
        </w:rPr>
        <w:t>d</w:t>
      </w:r>
      <w:r w:rsidR="0090528F" w:rsidRPr="00346DB7">
        <w:rPr>
          <w:rFonts w:eastAsia="Cambria"/>
          <w:b/>
          <w:lang w:val="en-GB"/>
        </w:rPr>
        <w:t>evelopment</w:t>
      </w:r>
    </w:p>
    <w:p w14:paraId="3DDB31DE" w14:textId="31F5CE97" w:rsidR="00886F7D" w:rsidRDefault="0090528F" w:rsidP="00A20A54">
      <w:pPr>
        <w:pStyle w:val="Normal1"/>
        <w:spacing w:after="120" w:line="240" w:lineRule="auto"/>
        <w:jc w:val="both"/>
        <w:rPr>
          <w:rFonts w:ascii="Times New Roman" w:eastAsia="Cambria" w:hAnsi="Times New Roman" w:cs="Times New Roman"/>
          <w:sz w:val="20"/>
          <w:szCs w:val="20"/>
          <w:lang w:val="en-GB"/>
        </w:rPr>
      </w:pPr>
      <w:r>
        <w:rPr>
          <w:rFonts w:ascii="Times New Roman" w:eastAsia="Cambria" w:hAnsi="Times New Roman" w:cs="Times New Roman"/>
          <w:sz w:val="20"/>
          <w:szCs w:val="20"/>
          <w:lang w:val="en-GB"/>
        </w:rPr>
        <w:t>15</w:t>
      </w:r>
      <w:r w:rsidR="00352333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. T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o maximize Ukraine’s economic potent</w:t>
      </w:r>
      <w:r w:rsidR="004379D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ial and protect its 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natural resource base</w:t>
      </w:r>
      <w:r w:rsidR="004379D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,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E551EF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UNDP will assist the </w:t>
      </w:r>
      <w:r>
        <w:rPr>
          <w:rFonts w:ascii="Times New Roman" w:eastAsia="Cambria" w:hAnsi="Times New Roman" w:cs="Times New Roman"/>
          <w:sz w:val="20"/>
          <w:szCs w:val="20"/>
          <w:lang w:val="en-GB"/>
        </w:rPr>
        <w:t>G</w:t>
      </w:r>
      <w:r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overnment</w:t>
      </w:r>
      <w:r w:rsidR="00E551EF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, 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communities</w:t>
      </w:r>
      <w:r w:rsidR="00383E08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and </w:t>
      </w:r>
      <w:r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the </w:t>
      </w:r>
      <w:r w:rsidR="00383E08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private sector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to plan and manage a low-carbon, energy-efficient economy</w:t>
      </w:r>
      <w:r w:rsidR="003F273F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,</w:t>
      </w:r>
      <w:r w:rsidR="004379D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ensuring</w:t>
      </w:r>
      <w:r w:rsidR="00D6313A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075D3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equitable </w:t>
      </w:r>
      <w:r w:rsidR="00926BF6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access to resources</w:t>
      </w:r>
      <w:r w:rsidR="00D0215C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, </w:t>
      </w:r>
      <w:r w:rsidR="00075D3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particular</w:t>
      </w:r>
      <w:r w:rsidR="0099322F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ly</w:t>
      </w:r>
      <w:r w:rsidR="00075D3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for marginalized groups.</w:t>
      </w:r>
      <w:r w:rsidR="002053A8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810E2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Programme interventions </w:t>
      </w:r>
      <w:r w:rsidR="00372FC0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will be </w:t>
      </w:r>
      <w:r w:rsidR="00810E2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guided by environmental and social assessments to avoid adverse impact, </w:t>
      </w:r>
      <w:r w:rsidR="002924EA">
        <w:rPr>
          <w:rFonts w:ascii="Times New Roman" w:eastAsia="Cambria" w:hAnsi="Times New Roman" w:cs="Times New Roman"/>
          <w:sz w:val="20"/>
          <w:szCs w:val="20"/>
          <w:lang w:val="en-GB"/>
        </w:rPr>
        <w:t>and</w:t>
      </w:r>
      <w:r w:rsidR="002924EA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810E2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address the environmental risks of </w:t>
      </w:r>
      <w:r w:rsidR="00372FC0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Chernobyl-</w:t>
      </w:r>
      <w:r w:rsidR="00810E2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contaminated areas, </w:t>
      </w:r>
      <w:r w:rsidR="00FA3907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conflict-affected areas, </w:t>
      </w:r>
      <w:r w:rsidR="00810E2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industrial regions, land erosion and waste management. </w:t>
      </w:r>
    </w:p>
    <w:p w14:paraId="1D14D71C" w14:textId="55FEF046" w:rsidR="004D5D51" w:rsidRPr="001302DE" w:rsidRDefault="0090528F" w:rsidP="00A20A54">
      <w:pPr>
        <w:pStyle w:val="Normal1"/>
        <w:spacing w:after="120" w:line="240" w:lineRule="auto"/>
        <w:jc w:val="both"/>
        <w:rPr>
          <w:rFonts w:ascii="Times New Roman" w:eastAsia="Cambria" w:hAnsi="Times New Roman" w:cs="Times New Roman"/>
          <w:sz w:val="20"/>
          <w:szCs w:val="20"/>
          <w:lang w:val="en-GB"/>
        </w:rPr>
      </w:pPr>
      <w:r>
        <w:rPr>
          <w:rFonts w:ascii="Times New Roman" w:eastAsia="Cambria" w:hAnsi="Times New Roman" w:cs="Times New Roman"/>
          <w:sz w:val="20"/>
          <w:szCs w:val="20"/>
          <w:lang w:val="en-GB"/>
        </w:rPr>
        <w:t>16.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BB4A9F" w:rsidRPr="001302DE">
        <w:rPr>
          <w:rFonts w:ascii="Times New Roman" w:eastAsia="Cambria" w:hAnsi="Times New Roman" w:cs="Times New Roman"/>
          <w:b/>
          <w:sz w:val="20"/>
          <w:szCs w:val="20"/>
          <w:lang w:val="en-GB"/>
        </w:rPr>
        <w:t xml:space="preserve">Green </w:t>
      </w:r>
      <w:r w:rsidR="00FC2E57" w:rsidRPr="001302DE">
        <w:rPr>
          <w:rFonts w:ascii="Times New Roman" w:eastAsia="Cambria" w:hAnsi="Times New Roman" w:cs="Times New Roman"/>
          <w:b/>
          <w:sz w:val="20"/>
          <w:szCs w:val="20"/>
          <w:lang w:val="en-GB"/>
        </w:rPr>
        <w:t>economic develop</w:t>
      </w:r>
      <w:r w:rsidR="00886F7D" w:rsidRPr="001302DE">
        <w:rPr>
          <w:rFonts w:ascii="Times New Roman" w:eastAsia="Cambria" w:hAnsi="Times New Roman" w:cs="Times New Roman"/>
          <w:b/>
          <w:sz w:val="20"/>
          <w:szCs w:val="20"/>
          <w:lang w:val="en-GB"/>
        </w:rPr>
        <w:t>ment</w:t>
      </w:r>
      <w:r>
        <w:rPr>
          <w:rFonts w:ascii="Times New Roman" w:eastAsia="Cambria" w:hAnsi="Times New Roman" w:cs="Times New Roman"/>
          <w:b/>
          <w:sz w:val="20"/>
          <w:szCs w:val="20"/>
          <w:lang w:val="en-GB"/>
        </w:rPr>
        <w:t>.</w:t>
      </w:r>
      <w:r w:rsidRPr="001302DE">
        <w:rPr>
          <w:rFonts w:ascii="Times New Roman" w:eastAsia="Cambria" w:hAnsi="Times New Roman" w:cs="Times New Roman"/>
          <w:b/>
          <w:sz w:val="20"/>
          <w:szCs w:val="20"/>
          <w:lang w:val="en-GB"/>
        </w:rPr>
        <w:t xml:space="preserve"> </w:t>
      </w:r>
      <w:r w:rsidR="0067592F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Through dedicated policy advocacy and </w:t>
      </w:r>
      <w:r w:rsidR="009D68A4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capacity</w:t>
      </w:r>
      <w:r w:rsidR="009D68A4">
        <w:rPr>
          <w:rFonts w:ascii="Times New Roman" w:eastAsia="Cambria" w:hAnsi="Times New Roman" w:cs="Times New Roman"/>
          <w:sz w:val="20"/>
          <w:szCs w:val="20"/>
          <w:lang w:val="en-GB"/>
        </w:rPr>
        <w:t>-</w:t>
      </w:r>
      <w:r w:rsidR="0067592F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building interventions,</w:t>
      </w:r>
      <w:r w:rsidR="005C0B39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UNDP will support the </w:t>
      </w:r>
      <w:r w:rsidR="009C4D3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Ministr</w:t>
      </w:r>
      <w:r w:rsidR="0067592F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y</w:t>
      </w:r>
      <w:r w:rsidR="009C4D3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of Economic Development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093953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and Trade 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and </w:t>
      </w:r>
      <w:r w:rsidR="0067592F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other ministries </w:t>
      </w:r>
      <w:r w:rsidR="003F273F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to align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Ukraine’s Sustainable Development Strategy</w:t>
      </w:r>
      <w:r w:rsidR="00926BF6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with </w:t>
      </w:r>
      <w:r w:rsidR="0067592F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national policies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383FCC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an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d</w:t>
      </w:r>
      <w:r w:rsidR="00383FCC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promot</w:t>
      </w:r>
      <w:r w:rsidR="003F273F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e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383FCC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climate-resilient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policies</w:t>
      </w:r>
      <w:r w:rsidR="003F273F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.</w:t>
      </w:r>
      <w:r w:rsidR="0071345B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>
        <w:rPr>
          <w:rFonts w:ascii="Times New Roman" w:eastAsia="Cambria" w:hAnsi="Times New Roman" w:cs="Times New Roman"/>
          <w:sz w:val="20"/>
          <w:szCs w:val="20"/>
          <w:lang w:val="en-GB"/>
        </w:rPr>
        <w:t>W</w:t>
      </w:r>
      <w:r w:rsidR="00ED025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ith </w:t>
      </w:r>
      <w:r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the </w:t>
      </w:r>
      <w:r w:rsidR="00D22793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International Labour Organization</w:t>
      </w:r>
      <w:r w:rsidR="00CD6B79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(</w:t>
      </w:r>
      <w:r w:rsidR="00ED025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ILO</w:t>
      </w:r>
      <w:r w:rsidR="00CD6B79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)</w:t>
      </w:r>
      <w:r w:rsidR="000A5A0C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and </w:t>
      </w:r>
      <w:r w:rsidR="00CD6B79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United Nations Population Fund (</w:t>
      </w:r>
      <w:r w:rsidR="00ED025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UNFPA</w:t>
      </w:r>
      <w:r w:rsidR="00CD6B79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)</w:t>
      </w:r>
      <w:r w:rsidR="00ED025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, </w:t>
      </w:r>
      <w:r w:rsidR="00E9429A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UNDP will </w:t>
      </w:r>
      <w:r w:rsidR="0036792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invest in </w:t>
      </w:r>
      <w:r w:rsidR="000A5A0C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the </w:t>
      </w:r>
      <w:r w:rsidR="00BB4A9F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cr</w:t>
      </w:r>
      <w:r w:rsidR="0036792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eation </w:t>
      </w:r>
      <w:r w:rsidR="00BB4A9F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of green jobs </w:t>
      </w:r>
      <w:r w:rsidR="0036792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and livelihood opportunities for vulnerable groups</w:t>
      </w:r>
      <w:r w:rsidR="000A5A0C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, with a s</w:t>
      </w:r>
      <w:r w:rsidR="0093579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pecial focus on youth employment</w:t>
      </w:r>
      <w:r w:rsidR="00607083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6806F1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and business development </w:t>
      </w:r>
      <w:r w:rsidR="00607083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in new </w:t>
      </w:r>
      <w:r w:rsidR="000A5A0C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economic </w:t>
      </w:r>
      <w:r w:rsidR="00607083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sectors, such as </w:t>
      </w:r>
      <w:r>
        <w:rPr>
          <w:rFonts w:ascii="Times New Roman" w:eastAsia="Cambria" w:hAnsi="Times New Roman" w:cs="Times New Roman"/>
          <w:sz w:val="20"/>
          <w:szCs w:val="20"/>
          <w:lang w:val="en-GB"/>
        </w:rPr>
        <w:t>information and communication technology</w:t>
      </w:r>
      <w:r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607083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and biotechnology</w:t>
      </w:r>
      <w:r w:rsidR="006806F1">
        <w:rPr>
          <w:rFonts w:ascii="Times New Roman" w:eastAsia="Cambria" w:hAnsi="Times New Roman" w:cs="Times New Roman"/>
          <w:sz w:val="20"/>
          <w:szCs w:val="20"/>
          <w:lang w:val="en-GB"/>
        </w:rPr>
        <w:t>.</w:t>
      </w:r>
      <w:r w:rsidR="00177FE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4D5D5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Following the results of assessments</w:t>
      </w:r>
      <w:r w:rsidR="004D5D51" w:rsidRPr="001302DE">
        <w:rPr>
          <w:rStyle w:val="FootnoteReference"/>
          <w:rFonts w:ascii="Times New Roman" w:eastAsia="Cambria" w:hAnsi="Times New Roman"/>
          <w:sz w:val="20"/>
          <w:szCs w:val="20"/>
          <w:lang w:val="en-GB"/>
        </w:rPr>
        <w:footnoteReference w:id="28"/>
      </w:r>
      <w:r w:rsidR="004D5D5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and building on partnership</w:t>
      </w:r>
      <w:r w:rsidR="005F2EA4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s</w:t>
      </w:r>
      <w:r w:rsidR="004D5D5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with regional business associations, </w:t>
      </w:r>
      <w:r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the </w:t>
      </w:r>
      <w:r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Ministry of Economic Development </w:t>
      </w:r>
      <w:r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and Trade </w:t>
      </w:r>
      <w:r w:rsidR="004D5D5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and ILO, UNDP will strengthen advocacy and programming to address gender pay gap</w:t>
      </w:r>
      <w:r w:rsidR="005F2EA4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s</w:t>
      </w:r>
      <w:r w:rsidR="004D5D5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and </w:t>
      </w:r>
      <w:r w:rsidR="00D22793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promote </w:t>
      </w:r>
      <w:r w:rsidR="004D5D5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women’s economic empowerment. </w:t>
      </w:r>
    </w:p>
    <w:p w14:paraId="438D0F42" w14:textId="39CFC5F5" w:rsidR="0030359C" w:rsidRPr="001302DE" w:rsidRDefault="0090528F" w:rsidP="00A20A54">
      <w:pPr>
        <w:pStyle w:val="Normal1"/>
        <w:widowControl w:val="0"/>
        <w:spacing w:after="12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n-GB"/>
        </w:rPr>
      </w:pPr>
      <w:r>
        <w:rPr>
          <w:rFonts w:ascii="Times New Roman" w:eastAsia="Cambria" w:hAnsi="Times New Roman" w:cs="Times New Roman"/>
          <w:sz w:val="20"/>
          <w:szCs w:val="20"/>
          <w:lang w:val="en-GB"/>
        </w:rPr>
        <w:t>17.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886F7D" w:rsidRPr="001302DE">
        <w:rPr>
          <w:rFonts w:ascii="Times New Roman" w:eastAsia="Cambria" w:hAnsi="Times New Roman" w:cs="Times New Roman"/>
          <w:b/>
          <w:sz w:val="20"/>
          <w:szCs w:val="20"/>
          <w:lang w:val="en-GB"/>
        </w:rPr>
        <w:t>Improved energy efficiency and sustainable access to energy</w:t>
      </w:r>
      <w:r w:rsidR="004A0D0C">
        <w:rPr>
          <w:rFonts w:ascii="Times New Roman" w:eastAsia="Cambria" w:hAnsi="Times New Roman" w:cs="Times New Roman"/>
          <w:sz w:val="20"/>
          <w:szCs w:val="20"/>
          <w:lang w:val="en-GB"/>
        </w:rPr>
        <w:t>.</w:t>
      </w:r>
      <w:r w:rsidR="004A0D0C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UNDP will provide policy advice and tech</w:t>
      </w:r>
      <w:r w:rsidR="00CF44BF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nical assistance to the Cabinet, </w:t>
      </w:r>
      <w:r w:rsidR="00093953">
        <w:rPr>
          <w:rFonts w:ascii="Times New Roman" w:eastAsia="Cambria" w:hAnsi="Times New Roman" w:cs="Times New Roman"/>
          <w:sz w:val="20"/>
          <w:szCs w:val="20"/>
          <w:lang w:val="en-GB"/>
        </w:rPr>
        <w:t>Ministry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of Energy</w:t>
      </w:r>
      <w:r w:rsidR="00D0215C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, </w:t>
      </w:r>
      <w:r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Ministry of Regional Development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and the State Agency for Energy Efficiency on address</w:t>
      </w:r>
      <w:r w:rsidR="00ED3C53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ing 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barriers that hinder implementat</w:t>
      </w:r>
      <w:r w:rsidR="00FC048F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ion of Ukraine’s energy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C23867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efficiency 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strategy.</w:t>
      </w:r>
      <w:r w:rsidR="00886F7D" w:rsidRPr="001302DE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r w:rsidR="009617CD" w:rsidRPr="001302DE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Building on its partnership with </w:t>
      </w:r>
      <w:r w:rsidR="00AE11D2" w:rsidRPr="001302DE">
        <w:rPr>
          <w:rFonts w:ascii="Times New Roman" w:eastAsia="Calibri" w:hAnsi="Times New Roman" w:cs="Times New Roman"/>
          <w:sz w:val="20"/>
          <w:szCs w:val="20"/>
          <w:lang w:val="en-GB"/>
        </w:rPr>
        <w:t>the International Finance Corporation</w:t>
      </w:r>
      <w:r w:rsidR="00AB07D7">
        <w:rPr>
          <w:rFonts w:ascii="Times New Roman" w:eastAsia="Calibri" w:hAnsi="Times New Roman" w:cs="Times New Roman"/>
          <w:sz w:val="20"/>
          <w:szCs w:val="20"/>
          <w:lang w:val="en-GB"/>
        </w:rPr>
        <w:t>,</w:t>
      </w:r>
      <w:r w:rsidR="002702DD" w:rsidRPr="001302DE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r w:rsidR="005C0B39" w:rsidRPr="001302DE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UNDP will </w:t>
      </w:r>
      <w:r w:rsidR="00367921" w:rsidRPr="001302DE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partner with the banking sector to </w:t>
      </w:r>
      <w:r w:rsidR="003F273F" w:rsidRPr="001302DE">
        <w:rPr>
          <w:rFonts w:ascii="Times New Roman" w:eastAsia="Calibri" w:hAnsi="Times New Roman" w:cs="Times New Roman"/>
          <w:sz w:val="20"/>
          <w:szCs w:val="20"/>
          <w:lang w:val="en-GB"/>
        </w:rPr>
        <w:t>launch a new</w:t>
      </w:r>
      <w:r w:rsidR="009617CD" w:rsidRPr="001302DE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financing mechanism </w:t>
      </w:r>
      <w:r w:rsidR="00185013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for energy efficiency. </w:t>
      </w:r>
      <w:r w:rsidR="00206E57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Harnessing its convening power, UNDP will bring together </w:t>
      </w:r>
      <w:r w:rsidR="002B046A">
        <w:rPr>
          <w:rFonts w:ascii="Times New Roman" w:eastAsia="Cambria" w:hAnsi="Times New Roman" w:cs="Times New Roman"/>
          <w:sz w:val="20"/>
          <w:szCs w:val="20"/>
          <w:lang w:val="en-GB"/>
        </w:rPr>
        <w:t>the G</w:t>
      </w:r>
      <w:r w:rsidR="002B046A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overnment</w:t>
      </w:r>
      <w:r w:rsidR="00206E57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, private sector, CSOs and communities to debate policy settings and scale up proven </w:t>
      </w:r>
      <w:r w:rsidR="00ED3C53" w:rsidRPr="001302DE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solutions for </w:t>
      </w:r>
      <w:r w:rsidR="00C02F05" w:rsidRPr="001302DE">
        <w:rPr>
          <w:rFonts w:ascii="Times New Roman" w:eastAsia="Calibri" w:hAnsi="Times New Roman" w:cs="Times New Roman"/>
          <w:sz w:val="20"/>
          <w:szCs w:val="20"/>
          <w:lang w:val="en-GB"/>
        </w:rPr>
        <w:t>promoting</w:t>
      </w:r>
      <w:r w:rsidR="00ED3C53" w:rsidRPr="001302DE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energy efficiency</w:t>
      </w:r>
      <w:r w:rsidR="00C02F05" w:rsidRPr="001302DE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, use of </w:t>
      </w:r>
      <w:r w:rsidR="00ED3C53" w:rsidRPr="001302DE">
        <w:rPr>
          <w:rFonts w:ascii="Times New Roman" w:eastAsia="Calibri" w:hAnsi="Times New Roman" w:cs="Times New Roman"/>
          <w:sz w:val="20"/>
          <w:szCs w:val="20"/>
          <w:lang w:val="en-GB"/>
        </w:rPr>
        <w:t>renewable</w:t>
      </w:r>
      <w:r w:rsidR="003F273F" w:rsidRPr="001302DE">
        <w:rPr>
          <w:rFonts w:ascii="Times New Roman" w:eastAsia="Calibri" w:hAnsi="Times New Roman" w:cs="Times New Roman"/>
          <w:sz w:val="20"/>
          <w:szCs w:val="20"/>
          <w:lang w:val="en-GB"/>
        </w:rPr>
        <w:t>s</w:t>
      </w:r>
      <w:r w:rsidR="00C21B88" w:rsidRPr="001302DE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and </w:t>
      </w:r>
      <w:r w:rsidR="00C02F05" w:rsidRPr="001302DE">
        <w:rPr>
          <w:rFonts w:ascii="Times New Roman" w:eastAsia="Calibri" w:hAnsi="Times New Roman" w:cs="Times New Roman"/>
          <w:sz w:val="20"/>
          <w:szCs w:val="20"/>
          <w:lang w:val="en-GB"/>
        </w:rPr>
        <w:t>biodiversity</w:t>
      </w:r>
      <w:r w:rsidR="00C21B88" w:rsidRPr="001302DE">
        <w:rPr>
          <w:rFonts w:ascii="Times New Roman" w:eastAsia="Calibri" w:hAnsi="Times New Roman" w:cs="Times New Roman"/>
          <w:sz w:val="20"/>
          <w:szCs w:val="20"/>
          <w:lang w:val="en-GB"/>
        </w:rPr>
        <w:t>,</w:t>
      </w:r>
      <w:r w:rsidR="00C02F05" w:rsidRPr="001302DE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r w:rsidR="00C21B88" w:rsidRPr="001302DE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turning </w:t>
      </w:r>
      <w:r w:rsidR="00C02F05" w:rsidRPr="001302DE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environmental challenges into economic opportunities. </w:t>
      </w:r>
      <w:r w:rsidR="00E20CCA">
        <w:rPr>
          <w:rFonts w:ascii="Times New Roman" w:eastAsia="Calibri" w:hAnsi="Times New Roman" w:cs="Times New Roman"/>
          <w:sz w:val="20"/>
          <w:szCs w:val="20"/>
          <w:lang w:val="en-GB"/>
        </w:rPr>
        <w:t>South-South</w:t>
      </w:r>
      <w:r w:rsidR="00146CA5" w:rsidRPr="001302DE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and </w:t>
      </w:r>
      <w:r w:rsidR="00151665" w:rsidRPr="001302DE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triangular </w:t>
      </w:r>
      <w:r w:rsidR="00146CA5" w:rsidRPr="001302DE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cooperation will be pursued with </w:t>
      </w:r>
      <w:r w:rsidR="00D0215C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new </w:t>
      </w:r>
      <w:r w:rsidR="00146CA5" w:rsidRPr="001302DE">
        <w:rPr>
          <w:rFonts w:ascii="Times New Roman" w:eastAsia="Calibri" w:hAnsi="Times New Roman" w:cs="Times New Roman"/>
          <w:sz w:val="20"/>
          <w:szCs w:val="20"/>
          <w:lang w:val="en-GB"/>
        </w:rPr>
        <w:t>E</w:t>
      </w:r>
      <w:r w:rsidR="00314A55" w:rsidRPr="001302DE">
        <w:rPr>
          <w:rFonts w:ascii="Times New Roman" w:eastAsia="Calibri" w:hAnsi="Times New Roman" w:cs="Times New Roman"/>
          <w:sz w:val="20"/>
          <w:szCs w:val="20"/>
          <w:lang w:val="en-GB"/>
        </w:rPr>
        <w:t>U</w:t>
      </w:r>
      <w:r w:rsidR="00146CA5" w:rsidRPr="001302DE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r w:rsidR="002B046A">
        <w:rPr>
          <w:rFonts w:ascii="Times New Roman" w:eastAsia="Calibri" w:hAnsi="Times New Roman" w:cs="Times New Roman"/>
          <w:sz w:val="20"/>
          <w:szCs w:val="20"/>
          <w:lang w:val="en-GB"/>
        </w:rPr>
        <w:t>Member States</w:t>
      </w:r>
      <w:r w:rsidR="002B046A" w:rsidRPr="001302DE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r w:rsidR="00146CA5" w:rsidRPr="001302DE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that have implemented </w:t>
      </w:r>
      <w:r w:rsidR="00FD7F51" w:rsidRPr="001302DE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sustainable and </w:t>
      </w:r>
      <w:r w:rsidR="00146CA5" w:rsidRPr="001302DE">
        <w:rPr>
          <w:rFonts w:ascii="Times New Roman" w:eastAsia="Calibri" w:hAnsi="Times New Roman" w:cs="Times New Roman"/>
          <w:sz w:val="20"/>
          <w:szCs w:val="20"/>
          <w:lang w:val="en-GB"/>
        </w:rPr>
        <w:t>modern energy-efficient solutions</w:t>
      </w:r>
      <w:r w:rsidR="00FD7F51" w:rsidRPr="001302DE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and </w:t>
      </w:r>
      <w:r w:rsidR="00146CA5" w:rsidRPr="001302DE">
        <w:rPr>
          <w:rFonts w:ascii="Times New Roman" w:eastAsia="Calibri" w:hAnsi="Times New Roman" w:cs="Times New Roman"/>
          <w:sz w:val="20"/>
          <w:szCs w:val="20"/>
          <w:lang w:val="en-GB"/>
        </w:rPr>
        <w:t>funding mechanisms.</w:t>
      </w:r>
      <w:r w:rsidR="008E5C7C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</w:p>
    <w:p w14:paraId="158F38C3" w14:textId="467970BE" w:rsidR="00886F7D" w:rsidRPr="00346DB7" w:rsidRDefault="00886F7D" w:rsidP="00A20A54">
      <w:pPr>
        <w:pStyle w:val="Normal1"/>
        <w:spacing w:after="120"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346DB7">
        <w:rPr>
          <w:rFonts w:ascii="Times New Roman" w:eastAsia="Cambria" w:hAnsi="Times New Roman" w:cs="Times New Roman"/>
          <w:b/>
          <w:sz w:val="20"/>
          <w:szCs w:val="20"/>
          <w:lang w:val="en-GB"/>
        </w:rPr>
        <w:t>P</w:t>
      </w:r>
      <w:r w:rsidR="00FD0533" w:rsidRPr="00346DB7">
        <w:rPr>
          <w:rFonts w:ascii="Times New Roman" w:eastAsia="Cambria" w:hAnsi="Times New Roman" w:cs="Times New Roman"/>
          <w:b/>
          <w:sz w:val="20"/>
          <w:szCs w:val="20"/>
          <w:lang w:val="en-GB"/>
        </w:rPr>
        <w:t>athway</w:t>
      </w:r>
      <w:r w:rsidRPr="00346DB7">
        <w:rPr>
          <w:rFonts w:ascii="Times New Roman" w:eastAsia="Cambria" w:hAnsi="Times New Roman" w:cs="Times New Roman"/>
          <w:b/>
          <w:sz w:val="20"/>
          <w:szCs w:val="20"/>
          <w:lang w:val="en-GB"/>
        </w:rPr>
        <w:t xml:space="preserve"> </w:t>
      </w:r>
      <w:r w:rsidR="00FD0533" w:rsidRPr="00346DB7">
        <w:rPr>
          <w:rFonts w:ascii="Times New Roman" w:eastAsia="Cambria" w:hAnsi="Times New Roman" w:cs="Times New Roman"/>
          <w:b/>
          <w:sz w:val="20"/>
          <w:szCs w:val="20"/>
          <w:lang w:val="en-GB"/>
        </w:rPr>
        <w:t>III</w:t>
      </w:r>
      <w:r w:rsidR="002B046A">
        <w:rPr>
          <w:rFonts w:ascii="Times New Roman" w:eastAsia="Cambria" w:hAnsi="Times New Roman" w:cs="Times New Roman"/>
          <w:b/>
          <w:sz w:val="20"/>
          <w:szCs w:val="20"/>
          <w:lang w:val="en-GB"/>
        </w:rPr>
        <w:t>.</w:t>
      </w:r>
      <w:r w:rsidR="002B046A" w:rsidRPr="00346DB7">
        <w:rPr>
          <w:rFonts w:ascii="Times New Roman" w:eastAsia="Cambria" w:hAnsi="Times New Roman" w:cs="Times New Roman"/>
          <w:b/>
          <w:sz w:val="20"/>
          <w:szCs w:val="20"/>
          <w:lang w:val="en-GB"/>
        </w:rPr>
        <w:t xml:space="preserve"> </w:t>
      </w:r>
      <w:r w:rsidRPr="00346DB7">
        <w:rPr>
          <w:rFonts w:ascii="Times New Roman" w:eastAsia="Cambria" w:hAnsi="Times New Roman" w:cs="Times New Roman"/>
          <w:b/>
          <w:sz w:val="20"/>
          <w:szCs w:val="20"/>
          <w:lang w:val="en-GB"/>
        </w:rPr>
        <w:t xml:space="preserve">Recovery and </w:t>
      </w:r>
      <w:r w:rsidR="002B046A">
        <w:rPr>
          <w:rFonts w:ascii="Times New Roman" w:eastAsia="Cambria" w:hAnsi="Times New Roman" w:cs="Times New Roman"/>
          <w:b/>
          <w:sz w:val="20"/>
          <w:szCs w:val="20"/>
          <w:lang w:val="en-GB"/>
        </w:rPr>
        <w:t>p</w:t>
      </w:r>
      <w:r w:rsidR="002B046A" w:rsidRPr="00346DB7">
        <w:rPr>
          <w:rFonts w:ascii="Times New Roman" w:eastAsia="Cambria" w:hAnsi="Times New Roman" w:cs="Times New Roman"/>
          <w:b/>
          <w:sz w:val="20"/>
          <w:szCs w:val="20"/>
          <w:lang w:val="en-GB"/>
        </w:rPr>
        <w:t xml:space="preserve">eacebuilding </w:t>
      </w:r>
      <w:r w:rsidRPr="00346DB7">
        <w:rPr>
          <w:rFonts w:ascii="Times New Roman" w:eastAsia="Cambria" w:hAnsi="Times New Roman" w:cs="Times New Roman"/>
          <w:b/>
          <w:sz w:val="20"/>
          <w:szCs w:val="20"/>
          <w:lang w:val="en-GB"/>
        </w:rPr>
        <w:t xml:space="preserve">in </w:t>
      </w:r>
      <w:r w:rsidR="002B046A">
        <w:rPr>
          <w:rFonts w:ascii="Times New Roman" w:eastAsia="Cambria" w:hAnsi="Times New Roman" w:cs="Times New Roman"/>
          <w:b/>
          <w:sz w:val="20"/>
          <w:szCs w:val="20"/>
          <w:lang w:val="en-GB"/>
        </w:rPr>
        <w:t>c</w:t>
      </w:r>
      <w:r w:rsidR="002B046A" w:rsidRPr="00346DB7">
        <w:rPr>
          <w:rFonts w:ascii="Times New Roman" w:eastAsia="Cambria" w:hAnsi="Times New Roman" w:cs="Times New Roman"/>
          <w:b/>
          <w:sz w:val="20"/>
          <w:szCs w:val="20"/>
          <w:lang w:val="en-GB"/>
        </w:rPr>
        <w:t>onflict</w:t>
      </w:r>
      <w:r w:rsidRPr="00346DB7">
        <w:rPr>
          <w:rFonts w:ascii="Times New Roman" w:eastAsia="Cambria" w:hAnsi="Times New Roman" w:cs="Times New Roman"/>
          <w:b/>
          <w:sz w:val="20"/>
          <w:szCs w:val="20"/>
          <w:lang w:val="en-GB"/>
        </w:rPr>
        <w:t xml:space="preserve">-affected </w:t>
      </w:r>
      <w:r w:rsidR="002B046A">
        <w:rPr>
          <w:rFonts w:ascii="Times New Roman" w:eastAsia="Cambria" w:hAnsi="Times New Roman" w:cs="Times New Roman"/>
          <w:b/>
          <w:sz w:val="20"/>
          <w:szCs w:val="20"/>
          <w:lang w:val="en-GB"/>
        </w:rPr>
        <w:t>a</w:t>
      </w:r>
      <w:r w:rsidR="002B046A" w:rsidRPr="00346DB7">
        <w:rPr>
          <w:rFonts w:ascii="Times New Roman" w:eastAsia="Cambria" w:hAnsi="Times New Roman" w:cs="Times New Roman"/>
          <w:b/>
          <w:sz w:val="20"/>
          <w:szCs w:val="20"/>
          <w:lang w:val="en-GB"/>
        </w:rPr>
        <w:t>reas</w:t>
      </w:r>
    </w:p>
    <w:p w14:paraId="328145E4" w14:textId="1AE7AFBB" w:rsidR="00886F7D" w:rsidRPr="00D0215C" w:rsidRDefault="00E826E5" w:rsidP="00D0215C">
      <w:pPr>
        <w:pStyle w:val="Normal1"/>
        <w:spacing w:after="120" w:line="240" w:lineRule="auto"/>
        <w:jc w:val="both"/>
        <w:rPr>
          <w:rFonts w:ascii="Times New Roman" w:eastAsia="Cambria" w:hAnsi="Times New Roman" w:cs="Times New Roman"/>
          <w:sz w:val="20"/>
          <w:szCs w:val="20"/>
          <w:lang w:val="en-GB"/>
        </w:rPr>
      </w:pPr>
      <w:r w:rsidRPr="00D0215C">
        <w:rPr>
          <w:rFonts w:ascii="Times New Roman" w:eastAsia="Cambria" w:hAnsi="Times New Roman" w:cs="Times New Roman"/>
          <w:sz w:val="20"/>
          <w:szCs w:val="20"/>
          <w:lang w:val="en-GB"/>
        </w:rPr>
        <w:t>1</w:t>
      </w:r>
      <w:r>
        <w:rPr>
          <w:rFonts w:ascii="Times New Roman" w:eastAsia="Cambria" w:hAnsi="Times New Roman" w:cs="Times New Roman"/>
          <w:sz w:val="20"/>
          <w:szCs w:val="20"/>
          <w:lang w:val="en-GB"/>
        </w:rPr>
        <w:t>8</w:t>
      </w:r>
      <w:r w:rsidR="00886F7D" w:rsidRPr="00D0215C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. </w:t>
      </w:r>
      <w:r w:rsidR="00481616" w:rsidRPr="00D0215C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UNDP </w:t>
      </w:r>
      <w:r w:rsidR="009B2785" w:rsidRPr="00D0215C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interventions in </w:t>
      </w:r>
      <w:r w:rsidR="00886F7D" w:rsidRPr="00D0215C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eastern Ukraine will </w:t>
      </w:r>
      <w:r w:rsidR="00B36AC5" w:rsidRPr="00D0215C">
        <w:rPr>
          <w:rFonts w:ascii="Times New Roman" w:eastAsia="Cambria" w:hAnsi="Times New Roman" w:cs="Times New Roman"/>
          <w:sz w:val="20"/>
          <w:szCs w:val="20"/>
          <w:lang w:val="en-GB"/>
        </w:rPr>
        <w:t>support</w:t>
      </w:r>
      <w:r w:rsidR="00886F7D" w:rsidRPr="00D0215C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post-conflict recovery and longer-term development</w:t>
      </w:r>
      <w:r w:rsidR="00B3677C" w:rsidRPr="00D0215C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by strengthening institutions and building </w:t>
      </w:r>
      <w:r w:rsidR="0062503B" w:rsidRPr="00D0215C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people’s </w:t>
      </w:r>
      <w:r w:rsidR="00B3677C" w:rsidRPr="00D0215C">
        <w:rPr>
          <w:rFonts w:ascii="Times New Roman" w:eastAsia="Cambria" w:hAnsi="Times New Roman" w:cs="Times New Roman"/>
          <w:sz w:val="20"/>
          <w:szCs w:val="20"/>
          <w:lang w:val="en-GB"/>
        </w:rPr>
        <w:t>skills</w:t>
      </w:r>
      <w:r w:rsidR="00314A55" w:rsidRPr="00D0215C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. </w:t>
      </w:r>
      <w:r w:rsidR="00B36AC5" w:rsidRPr="00D0215C">
        <w:rPr>
          <w:rFonts w:ascii="Times New Roman" w:eastAsia="Cambria" w:hAnsi="Times New Roman" w:cs="Times New Roman"/>
          <w:sz w:val="20"/>
          <w:szCs w:val="20"/>
          <w:lang w:val="en-GB"/>
        </w:rPr>
        <w:t>This focus is based on the U</w:t>
      </w:r>
      <w:r w:rsidR="00050290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nited </w:t>
      </w:r>
      <w:r w:rsidR="00B36AC5" w:rsidRPr="00D0215C">
        <w:rPr>
          <w:rFonts w:ascii="Times New Roman" w:eastAsia="Cambria" w:hAnsi="Times New Roman" w:cs="Times New Roman"/>
          <w:sz w:val="20"/>
          <w:szCs w:val="20"/>
          <w:lang w:val="en-GB"/>
        </w:rPr>
        <w:t>N</w:t>
      </w:r>
      <w:r w:rsidR="00050290">
        <w:rPr>
          <w:rFonts w:ascii="Times New Roman" w:eastAsia="Cambria" w:hAnsi="Times New Roman" w:cs="Times New Roman"/>
          <w:sz w:val="20"/>
          <w:szCs w:val="20"/>
          <w:lang w:val="en-GB"/>
        </w:rPr>
        <w:t>ations</w:t>
      </w:r>
      <w:r w:rsidR="00B36AC5" w:rsidRPr="00D0215C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, EU and World Bank Recovery and Peacebuilding Assessment endorsed by </w:t>
      </w:r>
      <w:r w:rsidR="00050290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the </w:t>
      </w:r>
      <w:r w:rsidR="00B36AC5" w:rsidRPr="00D0215C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Government in August 2015. </w:t>
      </w:r>
      <w:r w:rsidR="00797328" w:rsidRPr="00D0215C">
        <w:rPr>
          <w:rFonts w:ascii="Times New Roman" w:eastAsia="Cambria" w:hAnsi="Times New Roman" w:cs="Times New Roman"/>
          <w:sz w:val="20"/>
          <w:szCs w:val="20"/>
          <w:lang w:val="en-GB"/>
        </w:rPr>
        <w:t>UNDP will work closely with the</w:t>
      </w:r>
      <w:r w:rsidR="009B2785" w:rsidRPr="00D0215C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9617CD" w:rsidRPr="00D0215C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World Bank Group and </w:t>
      </w:r>
      <w:r w:rsidR="009B2785" w:rsidRPr="00D0215C">
        <w:rPr>
          <w:rFonts w:ascii="Times New Roman" w:eastAsia="Cambria" w:hAnsi="Times New Roman" w:cs="Times New Roman"/>
          <w:sz w:val="20"/>
          <w:szCs w:val="20"/>
          <w:lang w:val="en-GB"/>
        </w:rPr>
        <w:t>U</w:t>
      </w:r>
      <w:r w:rsidR="00050290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nited </w:t>
      </w:r>
      <w:r w:rsidR="009B2785" w:rsidRPr="00D0215C">
        <w:rPr>
          <w:rFonts w:ascii="Times New Roman" w:eastAsia="Cambria" w:hAnsi="Times New Roman" w:cs="Times New Roman"/>
          <w:sz w:val="20"/>
          <w:szCs w:val="20"/>
          <w:lang w:val="en-GB"/>
        </w:rPr>
        <w:t>N</w:t>
      </w:r>
      <w:r w:rsidR="00050290">
        <w:rPr>
          <w:rFonts w:ascii="Times New Roman" w:eastAsia="Cambria" w:hAnsi="Times New Roman" w:cs="Times New Roman"/>
          <w:sz w:val="20"/>
          <w:szCs w:val="20"/>
          <w:lang w:val="en-GB"/>
        </w:rPr>
        <w:t>ations</w:t>
      </w:r>
      <w:r w:rsidR="009B2785" w:rsidRPr="00D0215C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agencie</w:t>
      </w:r>
      <w:r w:rsidR="004379DD" w:rsidRPr="00D0215C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s in operationalizing the Multi-Partner Trust Fund to </w:t>
      </w:r>
      <w:r w:rsidR="00023E77" w:rsidRPr="00D0215C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target </w:t>
      </w:r>
      <w:r w:rsidR="00886F7D" w:rsidRPr="00D0215C">
        <w:rPr>
          <w:rFonts w:ascii="Times New Roman" w:eastAsia="Cambria" w:hAnsi="Times New Roman" w:cs="Times New Roman"/>
          <w:sz w:val="20"/>
          <w:szCs w:val="20"/>
          <w:lang w:val="en-GB"/>
        </w:rPr>
        <w:t>at-risk/vulnerable groups</w:t>
      </w:r>
      <w:r w:rsidR="00023E77" w:rsidRPr="00D0215C">
        <w:rPr>
          <w:rFonts w:ascii="Times New Roman" w:eastAsia="Cambria" w:hAnsi="Times New Roman" w:cs="Times New Roman"/>
          <w:sz w:val="20"/>
          <w:szCs w:val="20"/>
          <w:lang w:val="en-GB"/>
        </w:rPr>
        <w:t>,</w:t>
      </w:r>
      <w:r w:rsidR="00886F7D" w:rsidRPr="00D0215C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and </w:t>
      </w:r>
      <w:r w:rsidR="000338C9" w:rsidRPr="00D0215C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to build </w:t>
      </w:r>
      <w:r w:rsidR="00886F7D" w:rsidRPr="00D0215C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a </w:t>
      </w:r>
      <w:r w:rsidR="00662381" w:rsidRPr="00D0215C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more </w:t>
      </w:r>
      <w:r w:rsidR="00886F7D" w:rsidRPr="00D0215C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vibrant, </w:t>
      </w:r>
      <w:r w:rsidR="00662381" w:rsidRPr="00D0215C">
        <w:rPr>
          <w:rFonts w:ascii="Times New Roman" w:eastAsia="Cambria" w:hAnsi="Times New Roman" w:cs="Times New Roman"/>
          <w:sz w:val="20"/>
          <w:szCs w:val="20"/>
          <w:lang w:val="en-GB"/>
        </w:rPr>
        <w:t>cohesive</w:t>
      </w:r>
      <w:r w:rsidR="00886F7D" w:rsidRPr="00D0215C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and r</w:t>
      </w:r>
      <w:r w:rsidR="00206E57" w:rsidRPr="00D0215C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esilient </w:t>
      </w:r>
      <w:r w:rsidR="004379DD" w:rsidRPr="00D0215C">
        <w:rPr>
          <w:rFonts w:ascii="Times New Roman" w:eastAsia="Cambria" w:hAnsi="Times New Roman" w:cs="Times New Roman"/>
          <w:sz w:val="20"/>
          <w:szCs w:val="20"/>
          <w:lang w:val="en-GB"/>
        </w:rPr>
        <w:t>Ukraine.</w:t>
      </w:r>
      <w:r w:rsidR="009B2785" w:rsidRPr="00D0215C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</w:p>
    <w:p w14:paraId="24630662" w14:textId="6413D871" w:rsidR="00886F7D" w:rsidRPr="001302DE" w:rsidRDefault="00E826E5" w:rsidP="00A20A54">
      <w:pPr>
        <w:pStyle w:val="Normal1"/>
        <w:spacing w:after="120" w:line="240" w:lineRule="auto"/>
        <w:jc w:val="both"/>
        <w:rPr>
          <w:rFonts w:ascii="Times New Roman" w:hAnsi="Times New Roman" w:cs="Times New Roman"/>
          <w:color w:val="auto"/>
          <w:sz w:val="20"/>
          <w:szCs w:val="20"/>
          <w:lang w:val="en-GB" w:eastAsia="en-GB"/>
        </w:rPr>
      </w:pPr>
      <w:r>
        <w:rPr>
          <w:rFonts w:ascii="Times New Roman" w:eastAsia="Cambria" w:hAnsi="Times New Roman" w:cs="Times New Roman"/>
          <w:sz w:val="20"/>
          <w:szCs w:val="20"/>
          <w:lang w:val="en-GB"/>
        </w:rPr>
        <w:t>19</w:t>
      </w:r>
      <w:r w:rsidR="00050290">
        <w:rPr>
          <w:rFonts w:ascii="Times New Roman" w:eastAsia="Cambria" w:hAnsi="Times New Roman" w:cs="Times New Roman"/>
          <w:sz w:val="20"/>
          <w:szCs w:val="20"/>
          <w:lang w:val="en-GB"/>
        </w:rPr>
        <w:t>.</w:t>
      </w:r>
      <w:r w:rsidR="00886F7D" w:rsidRPr="001302DE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70748A" w:rsidRPr="001302DE"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>Sustainable e</w:t>
      </w:r>
      <w:r w:rsidR="00886F7D" w:rsidRPr="001302DE"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>conomic recovery</w:t>
      </w:r>
      <w:r w:rsidR="00050290"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>.</w:t>
      </w:r>
      <w:r w:rsidR="00050290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UNDP will facilitate </w:t>
      </w:r>
      <w:r w:rsidR="00E40850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stakeholder 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cooperation </w:t>
      </w:r>
      <w:r w:rsidR="00E40850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to restore 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critical</w:t>
      </w:r>
      <w:r w:rsidR="001E1E34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E40850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conflict-affected </w:t>
      </w:r>
      <w:r w:rsidR="001E1E34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social and economic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infrastructure</w:t>
      </w:r>
      <w:r w:rsidR="00C02F0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. </w:t>
      </w:r>
      <w:r w:rsidR="00314A5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Working closely with </w:t>
      </w:r>
      <w:r w:rsidR="001A656F" w:rsidRPr="001302DE">
        <w:rPr>
          <w:rFonts w:ascii="Times New Roman" w:hAnsi="Times New Roman" w:cs="Times New Roman"/>
          <w:color w:val="auto"/>
          <w:sz w:val="20"/>
          <w:szCs w:val="20"/>
          <w:lang w:val="en-GB" w:eastAsia="en-GB"/>
        </w:rPr>
        <w:t>regional</w:t>
      </w:r>
      <w:r w:rsidR="00F03BAD" w:rsidRPr="001302DE">
        <w:rPr>
          <w:rFonts w:ascii="Times New Roman" w:hAnsi="Times New Roman" w:cs="Times New Roman"/>
          <w:color w:val="auto"/>
          <w:sz w:val="20"/>
          <w:szCs w:val="20"/>
          <w:lang w:val="en-GB" w:eastAsia="en-GB"/>
        </w:rPr>
        <w:t xml:space="preserve"> and local authorities </w:t>
      </w:r>
      <w:r w:rsidR="00C23867">
        <w:rPr>
          <w:rFonts w:ascii="Times New Roman" w:hAnsi="Times New Roman" w:cs="Times New Roman"/>
          <w:color w:val="auto"/>
          <w:sz w:val="20"/>
          <w:szCs w:val="20"/>
          <w:lang w:val="en-GB" w:eastAsia="en-GB"/>
        </w:rPr>
        <w:t>in target</w:t>
      </w:r>
      <w:r w:rsidR="00050290">
        <w:rPr>
          <w:rFonts w:ascii="Times New Roman" w:hAnsi="Times New Roman" w:cs="Times New Roman"/>
          <w:color w:val="auto"/>
          <w:sz w:val="20"/>
          <w:szCs w:val="20"/>
          <w:lang w:val="en-GB" w:eastAsia="en-GB"/>
        </w:rPr>
        <w:t>ed,</w:t>
      </w:r>
      <w:r w:rsidR="00C23867">
        <w:rPr>
          <w:rFonts w:ascii="Times New Roman" w:hAnsi="Times New Roman" w:cs="Times New Roman"/>
          <w:color w:val="auto"/>
          <w:sz w:val="20"/>
          <w:szCs w:val="20"/>
          <w:lang w:val="en-GB" w:eastAsia="en-GB"/>
        </w:rPr>
        <w:t xml:space="preserve"> </w:t>
      </w:r>
      <w:r w:rsidR="00C02F05" w:rsidRPr="001302DE">
        <w:rPr>
          <w:rFonts w:ascii="Times New Roman" w:hAnsi="Times New Roman" w:cs="Times New Roman"/>
          <w:color w:val="auto"/>
          <w:sz w:val="20"/>
          <w:szCs w:val="20"/>
          <w:lang w:val="en-GB" w:eastAsia="en-GB"/>
        </w:rPr>
        <w:t xml:space="preserve">conflict-affected </w:t>
      </w:r>
      <w:r w:rsidR="00797328" w:rsidRPr="001302DE">
        <w:rPr>
          <w:rFonts w:ascii="Times New Roman" w:hAnsi="Times New Roman" w:cs="Times New Roman"/>
          <w:color w:val="auto"/>
          <w:sz w:val="20"/>
          <w:szCs w:val="20"/>
          <w:lang w:val="en-GB" w:eastAsia="en-GB"/>
        </w:rPr>
        <w:t>regions</w:t>
      </w:r>
      <w:r w:rsidR="00314A55" w:rsidRPr="001302DE">
        <w:rPr>
          <w:rFonts w:ascii="Times New Roman" w:hAnsi="Times New Roman" w:cs="Times New Roman"/>
          <w:color w:val="auto"/>
          <w:sz w:val="20"/>
          <w:szCs w:val="20"/>
          <w:lang w:val="en-GB" w:eastAsia="en-GB"/>
        </w:rPr>
        <w:t xml:space="preserve"> </w:t>
      </w:r>
      <w:r w:rsidR="00E86A11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and building on the </w:t>
      </w:r>
      <w:r w:rsidR="00765F42">
        <w:rPr>
          <w:rFonts w:ascii="Times New Roman" w:hAnsi="Times New Roman" w:cs="Times New Roman"/>
          <w:sz w:val="20"/>
          <w:szCs w:val="20"/>
          <w:lang w:val="en-GB"/>
        </w:rPr>
        <w:t xml:space="preserve">seminal </w:t>
      </w:r>
      <w:r w:rsidR="00E86A11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UNDP-European Investment Bank partnership, </w:t>
      </w:r>
      <w:r w:rsidR="00314A55" w:rsidRPr="001302DE">
        <w:rPr>
          <w:rFonts w:ascii="Times New Roman" w:hAnsi="Times New Roman" w:cs="Times New Roman"/>
          <w:color w:val="auto"/>
          <w:sz w:val="20"/>
          <w:szCs w:val="20"/>
          <w:lang w:val="en-GB" w:eastAsia="en-GB"/>
        </w:rPr>
        <w:t xml:space="preserve">UNDP will ensure that all </w:t>
      </w:r>
      <w:r w:rsidR="00314A5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infrastructure and rehabilitation work </w:t>
      </w:r>
      <w:r w:rsidR="00B36AC5">
        <w:rPr>
          <w:rFonts w:ascii="Times New Roman" w:eastAsia="Cambria" w:hAnsi="Times New Roman" w:cs="Times New Roman"/>
          <w:sz w:val="20"/>
          <w:szCs w:val="20"/>
          <w:lang w:val="en-GB"/>
        </w:rPr>
        <w:t>is designed in line with</w:t>
      </w:r>
      <w:r w:rsidR="00B36AC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E86A1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joint </w:t>
      </w:r>
      <w:r w:rsidR="00314A5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assessments of social and environmental impacts, integrity</w:t>
      </w:r>
      <w:r w:rsidR="00E86A1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, gender, human rights</w:t>
      </w:r>
      <w:r w:rsidR="00314A5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and </w:t>
      </w:r>
      <w:r w:rsidR="00050290">
        <w:rPr>
          <w:rFonts w:ascii="Times New Roman" w:eastAsia="Cambria" w:hAnsi="Times New Roman" w:cs="Times New Roman"/>
          <w:sz w:val="20"/>
          <w:szCs w:val="20"/>
          <w:lang w:val="en-GB"/>
        </w:rPr>
        <w:t>"</w:t>
      </w:r>
      <w:r w:rsidR="00314A55" w:rsidRPr="00050290">
        <w:rPr>
          <w:rFonts w:ascii="Times New Roman" w:eastAsia="Cambria" w:hAnsi="Times New Roman" w:cs="Times New Roman"/>
          <w:sz w:val="20"/>
          <w:szCs w:val="20"/>
          <w:lang w:val="en-GB"/>
        </w:rPr>
        <w:t>building</w:t>
      </w:r>
      <w:r w:rsidR="00050290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314A55" w:rsidRPr="00050290">
        <w:rPr>
          <w:rFonts w:ascii="Times New Roman" w:eastAsia="Cambria" w:hAnsi="Times New Roman" w:cs="Times New Roman"/>
          <w:sz w:val="20"/>
          <w:szCs w:val="20"/>
          <w:lang w:val="en-GB"/>
        </w:rPr>
        <w:t>back</w:t>
      </w:r>
      <w:r w:rsidR="00050290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314A55" w:rsidRPr="00050290">
        <w:rPr>
          <w:rFonts w:ascii="Times New Roman" w:eastAsia="Cambria" w:hAnsi="Times New Roman" w:cs="Times New Roman"/>
          <w:sz w:val="20"/>
          <w:szCs w:val="20"/>
          <w:lang w:val="en-GB"/>
        </w:rPr>
        <w:t>better</w:t>
      </w:r>
      <w:r w:rsidR="00050290">
        <w:rPr>
          <w:rFonts w:ascii="Times New Roman" w:eastAsia="Cambria" w:hAnsi="Times New Roman" w:cs="Times New Roman"/>
          <w:sz w:val="20"/>
          <w:szCs w:val="20"/>
          <w:lang w:val="en-GB"/>
        </w:rPr>
        <w:t>"</w:t>
      </w:r>
      <w:r w:rsidR="00314A5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principles.</w:t>
      </w:r>
      <w:r w:rsidR="00314A55" w:rsidRPr="001302DE">
        <w:rPr>
          <w:rFonts w:ascii="Times New Roman" w:hAnsi="Times New Roman" w:cs="Times New Roman"/>
          <w:color w:val="auto"/>
          <w:sz w:val="20"/>
          <w:szCs w:val="20"/>
          <w:lang w:val="en-GB" w:eastAsia="en-GB"/>
        </w:rPr>
        <w:t xml:space="preserve"> </w:t>
      </w:r>
      <w:r w:rsidR="007D3307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In partnership with business</w:t>
      </w:r>
      <w:r w:rsidR="00050290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</w:t>
      </w:r>
      <w:r w:rsidR="007D3307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membership organizations, programme </w:t>
      </w:r>
      <w:r w:rsidR="00404612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interventions will focus on </w:t>
      </w:r>
      <w:r w:rsidR="00BB4A9F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job creation and </w:t>
      </w:r>
      <w:r w:rsidR="00E80E3C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small</w:t>
      </w:r>
      <w:r w:rsidR="00050290">
        <w:rPr>
          <w:rFonts w:ascii="Times New Roman" w:eastAsia="Cambria" w:hAnsi="Times New Roman" w:cs="Times New Roman"/>
          <w:sz w:val="20"/>
          <w:szCs w:val="20"/>
          <w:lang w:val="en-GB"/>
        </w:rPr>
        <w:t>-</w:t>
      </w:r>
      <w:r w:rsidR="00E80E3C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and medium-sized enterprise </w:t>
      </w:r>
      <w:r w:rsidR="00BB4A9F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development, </w:t>
      </w:r>
      <w:r w:rsidR="00CF593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scaling up successful practices to </w:t>
      </w:r>
      <w:r w:rsidR="00314A5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other </w:t>
      </w:r>
      <w:r w:rsidR="00CF593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regions</w:t>
      </w:r>
      <w:r w:rsidR="00314A5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. </w:t>
      </w:r>
      <w:r w:rsidR="007D3307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Partnering </w:t>
      </w:r>
      <w:r w:rsidR="00314A5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with ILO and building on a functional assessment of the State Employment Service, </w:t>
      </w:r>
      <w:r w:rsidR="00FD7F5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UNDP will facilitate </w:t>
      </w:r>
      <w:r w:rsidR="00524A44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cooperation between the</w:t>
      </w:r>
      <w:r w:rsidR="00FD7F5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Ministry </w:t>
      </w:r>
      <w:r w:rsidR="00524A44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of Social Policy and </w:t>
      </w:r>
      <w:r w:rsidR="007B11DA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counterparts in </w:t>
      </w:r>
      <w:r w:rsidR="00524A44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Western Balkan</w:t>
      </w:r>
      <w:r w:rsidR="00FD7F5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countries </w:t>
      </w:r>
      <w:r w:rsidR="00314A55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to</w:t>
      </w:r>
      <w:r w:rsidR="00765F42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promote employment </w:t>
      </w:r>
      <w:r w:rsidR="00FD7F51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for vulnerable women and men. </w:t>
      </w:r>
    </w:p>
    <w:p w14:paraId="05F8AD2E" w14:textId="3F299F7A" w:rsidR="00886F7D" w:rsidRPr="001302DE" w:rsidRDefault="00E826E5" w:rsidP="00A20A54">
      <w:pPr>
        <w:pStyle w:val="Normal1"/>
        <w:spacing w:after="120"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20</w:t>
      </w:r>
      <w:r w:rsidR="00050290">
        <w:rPr>
          <w:rFonts w:ascii="Times New Roman" w:hAnsi="Times New Roman" w:cs="Times New Roman"/>
          <w:sz w:val="20"/>
          <w:szCs w:val="20"/>
          <w:lang w:val="en-GB"/>
        </w:rPr>
        <w:t>.</w:t>
      </w:r>
      <w:r w:rsidR="00886F7D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765CCB" w:rsidRPr="001302DE">
        <w:rPr>
          <w:rFonts w:ascii="Times New Roman" w:hAnsi="Times New Roman" w:cs="Times New Roman"/>
          <w:b/>
          <w:sz w:val="20"/>
          <w:szCs w:val="20"/>
          <w:lang w:val="en-GB"/>
        </w:rPr>
        <w:t>Restoring and reforming</w:t>
      </w:r>
      <w:r w:rsidR="00765CCB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765CCB" w:rsidRPr="001302DE">
        <w:rPr>
          <w:rFonts w:ascii="Times New Roman" w:hAnsi="Times New Roman" w:cs="Times New Roman"/>
          <w:b/>
          <w:color w:val="auto"/>
          <w:sz w:val="20"/>
          <w:szCs w:val="20"/>
          <w:lang w:val="en-GB"/>
        </w:rPr>
        <w:t xml:space="preserve">local </w:t>
      </w:r>
      <w:r w:rsidR="001A656F" w:rsidRPr="001302DE">
        <w:rPr>
          <w:rFonts w:ascii="Times New Roman" w:hAnsi="Times New Roman" w:cs="Times New Roman"/>
          <w:b/>
          <w:color w:val="auto"/>
          <w:sz w:val="20"/>
          <w:szCs w:val="20"/>
          <w:lang w:val="en-GB"/>
        </w:rPr>
        <w:t>g</w:t>
      </w:r>
      <w:r w:rsidR="00886F7D" w:rsidRPr="001302DE">
        <w:rPr>
          <w:rFonts w:ascii="Times New Roman" w:hAnsi="Times New Roman" w:cs="Times New Roman"/>
          <w:b/>
          <w:color w:val="auto"/>
          <w:sz w:val="20"/>
          <w:szCs w:val="20"/>
          <w:lang w:val="en-GB"/>
        </w:rPr>
        <w:t xml:space="preserve">overnance </w:t>
      </w:r>
      <w:r w:rsidR="00765CCB" w:rsidRPr="001302DE">
        <w:rPr>
          <w:rFonts w:ascii="Times New Roman" w:hAnsi="Times New Roman" w:cs="Times New Roman"/>
          <w:b/>
          <w:color w:val="auto"/>
          <w:sz w:val="20"/>
          <w:szCs w:val="20"/>
          <w:lang w:val="en-GB"/>
        </w:rPr>
        <w:t>structures</w:t>
      </w:r>
      <w:r w:rsidR="00050290">
        <w:rPr>
          <w:rFonts w:ascii="Times New Roman" w:hAnsi="Times New Roman" w:cs="Times New Roman"/>
          <w:b/>
          <w:color w:val="auto"/>
          <w:sz w:val="20"/>
          <w:szCs w:val="20"/>
          <w:lang w:val="en-GB"/>
        </w:rPr>
        <w:t>.</w:t>
      </w:r>
      <w:r w:rsidR="0005029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886F7D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In line with the </w:t>
      </w:r>
      <w:r w:rsidR="00050290">
        <w:rPr>
          <w:rFonts w:ascii="Times New Roman" w:hAnsi="Times New Roman" w:cs="Times New Roman"/>
          <w:sz w:val="20"/>
          <w:szCs w:val="20"/>
          <w:lang w:val="en-GB"/>
        </w:rPr>
        <w:t>G</w:t>
      </w:r>
      <w:r w:rsidR="00050290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overnment’s </w:t>
      </w:r>
      <w:r w:rsidR="00886F7D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decentralization reform agenda, UNDP will support </w:t>
      </w:r>
      <w:r w:rsidR="00093953">
        <w:rPr>
          <w:rFonts w:ascii="Times New Roman" w:hAnsi="Times New Roman" w:cs="Times New Roman"/>
          <w:sz w:val="20"/>
          <w:szCs w:val="20"/>
          <w:lang w:val="en-GB"/>
        </w:rPr>
        <w:t xml:space="preserve">the </w:t>
      </w:r>
      <w:r w:rsidR="0090528F">
        <w:rPr>
          <w:rFonts w:ascii="Times New Roman" w:hAnsi="Times New Roman" w:cs="Times New Roman"/>
          <w:sz w:val="20"/>
          <w:szCs w:val="20"/>
          <w:lang w:val="en-GB"/>
        </w:rPr>
        <w:t xml:space="preserve">Ministry </w:t>
      </w:r>
      <w:r w:rsidR="00050290">
        <w:rPr>
          <w:rFonts w:ascii="Times New Roman" w:hAnsi="Times New Roman" w:cs="Times New Roman"/>
          <w:sz w:val="20"/>
          <w:szCs w:val="20"/>
          <w:lang w:val="en-GB"/>
        </w:rPr>
        <w:t xml:space="preserve">of Regional Development </w:t>
      </w:r>
      <w:r w:rsidR="00886F7D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and </w:t>
      </w:r>
      <w:r w:rsidR="00886F7D" w:rsidRPr="001302DE">
        <w:rPr>
          <w:rFonts w:ascii="Times New Roman" w:hAnsi="Times New Roman" w:cs="Times New Roman"/>
          <w:sz w:val="20"/>
          <w:szCs w:val="20"/>
          <w:lang w:val="en-GB"/>
        </w:rPr>
        <w:lastRenderedPageBreak/>
        <w:t xml:space="preserve">local authorities to strengthen institutions and processes that address </w:t>
      </w:r>
      <w:r w:rsidR="00383E08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socioeconomic and environmental </w:t>
      </w:r>
      <w:r w:rsidR="00886F7D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needs </w:t>
      </w:r>
      <w:r w:rsidR="000D560E" w:rsidRPr="001302DE">
        <w:rPr>
          <w:rFonts w:ascii="Times New Roman" w:hAnsi="Times New Roman" w:cs="Times New Roman"/>
          <w:sz w:val="20"/>
          <w:szCs w:val="20"/>
          <w:lang w:val="en-GB"/>
        </w:rPr>
        <w:t>in</w:t>
      </w:r>
      <w:r w:rsidR="00886F7D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conflict-affected </w:t>
      </w:r>
      <w:r w:rsidR="000D560E" w:rsidRPr="001302DE">
        <w:rPr>
          <w:rFonts w:ascii="Times New Roman" w:hAnsi="Times New Roman" w:cs="Times New Roman"/>
          <w:sz w:val="20"/>
          <w:szCs w:val="20"/>
          <w:lang w:val="en-GB"/>
        </w:rPr>
        <w:t>areas</w:t>
      </w:r>
      <w:r w:rsidR="00886F7D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  <w:r w:rsidR="0099705B" w:rsidRPr="001302DE">
        <w:rPr>
          <w:rFonts w:ascii="Times New Roman" w:eastAsia="Calibri" w:hAnsi="Times New Roman" w:cs="Times New Roman"/>
          <w:sz w:val="20"/>
          <w:szCs w:val="20"/>
          <w:lang w:val="en-GB"/>
        </w:rPr>
        <w:t>Working</w:t>
      </w:r>
      <w:r w:rsidR="00DE569D" w:rsidRPr="001302DE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with </w:t>
      </w:r>
      <w:r w:rsidR="00050290" w:rsidRPr="001302DE">
        <w:rPr>
          <w:rFonts w:ascii="Times New Roman" w:eastAsia="Calibri" w:hAnsi="Times New Roman" w:cs="Times New Roman"/>
          <w:sz w:val="20"/>
          <w:szCs w:val="20"/>
          <w:lang w:val="en-GB"/>
        </w:rPr>
        <w:t>UN</w:t>
      </w:r>
      <w:r w:rsidR="00050290">
        <w:rPr>
          <w:rFonts w:ascii="Times New Roman" w:eastAsia="Calibri" w:hAnsi="Times New Roman" w:cs="Times New Roman"/>
          <w:sz w:val="20"/>
          <w:szCs w:val="20"/>
          <w:lang w:val="en-GB"/>
        </w:rPr>
        <w:t>-</w:t>
      </w:r>
      <w:r w:rsidR="00DE569D" w:rsidRPr="001302DE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Women, </w:t>
      </w:r>
      <w:r w:rsidR="00DE569D" w:rsidRPr="001302DE">
        <w:rPr>
          <w:rFonts w:ascii="Times New Roman" w:hAnsi="Times New Roman" w:cs="Times New Roman"/>
          <w:sz w:val="20"/>
          <w:szCs w:val="20"/>
          <w:lang w:val="en-GB"/>
        </w:rPr>
        <w:t>t</w:t>
      </w:r>
      <w:r w:rsidR="00886F7D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he programme will </w:t>
      </w:r>
      <w:r w:rsidR="009B2785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prioritize </w:t>
      </w:r>
      <w:r w:rsidR="0099705B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women’s </w:t>
      </w:r>
      <w:r w:rsidR="00886F7D" w:rsidRPr="001302DE">
        <w:rPr>
          <w:rFonts w:ascii="Times New Roman" w:hAnsi="Times New Roman" w:cs="Times New Roman"/>
          <w:sz w:val="20"/>
          <w:szCs w:val="20"/>
          <w:lang w:val="en-GB"/>
        </w:rPr>
        <w:t>empower</w:t>
      </w:r>
      <w:r w:rsidR="0099705B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ment </w:t>
      </w:r>
      <w:r w:rsidR="00886F7D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by strengthening </w:t>
      </w:r>
      <w:r w:rsidR="004A0D0C">
        <w:rPr>
          <w:rFonts w:ascii="Times New Roman" w:hAnsi="Times New Roman" w:cs="Times New Roman"/>
          <w:sz w:val="20"/>
          <w:szCs w:val="20"/>
          <w:lang w:val="en-GB"/>
        </w:rPr>
        <w:t xml:space="preserve">the </w:t>
      </w:r>
      <w:r w:rsidR="00886F7D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organizational and advocacy </w:t>
      </w:r>
      <w:r w:rsidR="00CD57FE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capacities </w:t>
      </w:r>
      <w:r w:rsidR="004A0D0C">
        <w:rPr>
          <w:rFonts w:ascii="Times New Roman" w:hAnsi="Times New Roman" w:cs="Times New Roman"/>
          <w:sz w:val="20"/>
          <w:szCs w:val="20"/>
          <w:lang w:val="en-GB"/>
        </w:rPr>
        <w:t xml:space="preserve">of </w:t>
      </w:r>
      <w:r w:rsidR="004A0D0C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women’s groups </w:t>
      </w:r>
      <w:r w:rsidR="00A474B6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to address gender and conflict risks. </w:t>
      </w:r>
      <w:r w:rsidR="00CD57FE" w:rsidRPr="001302DE">
        <w:rPr>
          <w:rFonts w:ascii="Times New Roman" w:hAnsi="Times New Roman" w:cs="Times New Roman"/>
          <w:sz w:val="20"/>
          <w:szCs w:val="20"/>
          <w:lang w:val="en-GB"/>
        </w:rPr>
        <w:t>I</w:t>
      </w:r>
      <w:r w:rsidR="00886F7D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nterventions will focus </w:t>
      </w:r>
      <w:r w:rsidR="00CD57FE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on </w:t>
      </w:r>
      <w:r w:rsidR="00886F7D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sharing </w:t>
      </w:r>
      <w:r w:rsidR="00CD57FE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knowledge </w:t>
      </w:r>
      <w:r w:rsidR="00E86A11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within Ukraine and with other countries via </w:t>
      </w:r>
      <w:r w:rsidR="00E20CCA">
        <w:rPr>
          <w:rFonts w:ascii="Times New Roman" w:hAnsi="Times New Roman" w:cs="Times New Roman"/>
          <w:sz w:val="20"/>
          <w:szCs w:val="20"/>
          <w:lang w:val="en-GB"/>
        </w:rPr>
        <w:t>South-South</w:t>
      </w:r>
      <w:r w:rsidR="00F8281F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23675C">
        <w:rPr>
          <w:rFonts w:ascii="Times New Roman" w:hAnsi="Times New Roman" w:cs="Times New Roman"/>
          <w:sz w:val="20"/>
          <w:szCs w:val="20"/>
          <w:lang w:val="en-GB"/>
        </w:rPr>
        <w:t>learning</w:t>
      </w:r>
      <w:r w:rsidR="0023675C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F8281F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and will scale </w:t>
      </w:r>
      <w:r w:rsidR="00A474B6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up successful practices </w:t>
      </w:r>
      <w:r w:rsidR="00E86A11" w:rsidRPr="001302DE">
        <w:rPr>
          <w:rFonts w:ascii="Times New Roman" w:hAnsi="Times New Roman" w:cs="Times New Roman"/>
          <w:sz w:val="20"/>
          <w:szCs w:val="20"/>
          <w:lang w:val="en-GB"/>
        </w:rPr>
        <w:t>on decentralization and economic development</w:t>
      </w:r>
      <w:r w:rsidR="00A474B6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</w:p>
    <w:p w14:paraId="30186D71" w14:textId="3AD7D99F" w:rsidR="00886F7D" w:rsidRPr="001302DE" w:rsidRDefault="00E826E5" w:rsidP="006227A5">
      <w:pPr>
        <w:pStyle w:val="Normal1"/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eastAsia="Cambria" w:hAnsi="Times New Roman" w:cs="Times New Roman"/>
          <w:sz w:val="20"/>
          <w:szCs w:val="20"/>
          <w:lang w:val="en-GB"/>
        </w:rPr>
        <w:t>21</w:t>
      </w:r>
      <w:r w:rsidR="00050290">
        <w:rPr>
          <w:rFonts w:ascii="Times New Roman" w:eastAsia="Cambria" w:hAnsi="Times New Roman" w:cs="Times New Roman"/>
          <w:sz w:val="20"/>
          <w:szCs w:val="20"/>
          <w:lang w:val="en-GB"/>
        </w:rPr>
        <w:t>.</w:t>
      </w:r>
      <w:r w:rsidR="00886F7D" w:rsidRPr="001302DE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0D2702" w:rsidRPr="000D2702"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>B</w:t>
      </w:r>
      <w:r w:rsidR="000D2702" w:rsidRPr="001302DE"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 xml:space="preserve">uilding </w:t>
      </w:r>
      <w:r w:rsidR="007B11DA"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>resilience</w:t>
      </w:r>
      <w:r w:rsidR="00050290"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>.</w:t>
      </w:r>
      <w:r w:rsidR="00050290" w:rsidRPr="001302DE"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 xml:space="preserve"> 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UNDP will provide policy advice and technical assistance to </w:t>
      </w:r>
      <w:r w:rsidR="0099705B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the 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Ministry of </w:t>
      </w:r>
      <w:r w:rsidR="00886F7D" w:rsidRPr="001302DE">
        <w:rPr>
          <w:rFonts w:ascii="Times New Roman" w:eastAsia="Calibri" w:hAnsi="Times New Roman" w:cs="Times New Roman"/>
          <w:sz w:val="20"/>
          <w:szCs w:val="20"/>
          <w:lang w:val="en-GB"/>
        </w:rPr>
        <w:t>the Interior</w:t>
      </w:r>
      <w:r w:rsidR="00050290">
        <w:rPr>
          <w:rFonts w:ascii="Times New Roman" w:eastAsia="Calibri" w:hAnsi="Times New Roman" w:cs="Times New Roman"/>
          <w:sz w:val="20"/>
          <w:szCs w:val="20"/>
          <w:lang w:val="en-GB"/>
        </w:rPr>
        <w:t>,</w:t>
      </w:r>
      <w:r w:rsidR="00886F7D" w:rsidRPr="001302DE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r w:rsidR="00EF58DD">
        <w:rPr>
          <w:rFonts w:ascii="Times New Roman" w:eastAsia="Calibri" w:hAnsi="Times New Roman" w:cs="Times New Roman"/>
          <w:sz w:val="20"/>
          <w:szCs w:val="20"/>
          <w:lang w:val="en-GB"/>
        </w:rPr>
        <w:t>Ministry of Temporarily Occupied Territories and IDP</w:t>
      </w:r>
      <w:r w:rsidR="00AB07D7">
        <w:rPr>
          <w:rFonts w:ascii="Times New Roman" w:eastAsia="Calibri" w:hAnsi="Times New Roman" w:cs="Times New Roman"/>
          <w:sz w:val="20"/>
          <w:szCs w:val="20"/>
          <w:lang w:val="en-GB"/>
        </w:rPr>
        <w:t>s</w:t>
      </w:r>
      <w:r w:rsidR="000D2702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, </w:t>
      </w:r>
      <w:r w:rsidR="00206E57" w:rsidRPr="001302DE">
        <w:rPr>
          <w:rFonts w:ascii="Times New Roman" w:eastAsia="Calibri" w:hAnsi="Times New Roman" w:cs="Times New Roman"/>
          <w:sz w:val="20"/>
          <w:szCs w:val="20"/>
          <w:lang w:val="en-GB"/>
        </w:rPr>
        <w:t>local</w:t>
      </w:r>
      <w:r w:rsidR="00886F7D" w:rsidRPr="001302DE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governments, law enforcement agencies and CSOs</w:t>
      </w:r>
      <w:r w:rsidR="00886F7D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to improve services</w:t>
      </w:r>
      <w:r w:rsidR="005E2004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, 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build trust</w:t>
      </w:r>
      <w:r w:rsidR="00206E57">
        <w:rPr>
          <w:rFonts w:ascii="Times New Roman" w:eastAsia="Cambria" w:hAnsi="Times New Roman" w:cs="Times New Roman"/>
          <w:sz w:val="20"/>
          <w:szCs w:val="20"/>
          <w:lang w:val="en-GB"/>
        </w:rPr>
        <w:t>,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prom</w:t>
      </w:r>
      <w:r w:rsidR="00A474B6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>ote dialogue and</w:t>
      </w:r>
      <w:r w:rsidR="00886F7D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citizen security</w:t>
      </w:r>
      <w:r w:rsidR="00A14FC6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 and protect conflict-affected populations, women and girls</w:t>
      </w:r>
      <w:r w:rsidR="00A474B6" w:rsidRPr="001302DE">
        <w:rPr>
          <w:rFonts w:ascii="Times New Roman" w:eastAsia="Cambria" w:hAnsi="Times New Roman" w:cs="Times New Roman"/>
          <w:sz w:val="20"/>
          <w:szCs w:val="20"/>
          <w:lang w:val="en-GB"/>
        </w:rPr>
        <w:t xml:space="preserve">. </w:t>
      </w:r>
      <w:bookmarkStart w:id="1" w:name="_pk97u95gdrxl" w:colFirst="0" w:colLast="0"/>
      <w:bookmarkStart w:id="2" w:name="_igx74tk99i53" w:colFirst="0" w:colLast="0"/>
      <w:bookmarkEnd w:id="1"/>
      <w:bookmarkEnd w:id="2"/>
      <w:r w:rsidR="00886F7D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UNDP will work with justice sector agencies to </w:t>
      </w:r>
      <w:r w:rsidR="0069674A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scale up </w:t>
      </w:r>
      <w:r w:rsidR="00886F7D" w:rsidRPr="001302DE">
        <w:rPr>
          <w:rFonts w:ascii="Times New Roman" w:hAnsi="Times New Roman" w:cs="Times New Roman"/>
          <w:sz w:val="20"/>
          <w:szCs w:val="20"/>
          <w:lang w:val="en-GB"/>
        </w:rPr>
        <w:t>community-based early warning and monitoring s</w:t>
      </w:r>
      <w:r w:rsidR="001A656F" w:rsidRPr="001302DE">
        <w:rPr>
          <w:rFonts w:ascii="Times New Roman" w:hAnsi="Times New Roman" w:cs="Times New Roman"/>
          <w:sz w:val="20"/>
          <w:szCs w:val="20"/>
          <w:lang w:val="en-GB"/>
        </w:rPr>
        <w:t>ystems</w:t>
      </w:r>
      <w:r w:rsidR="0069674A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E86A11" w:rsidRPr="001302DE">
        <w:rPr>
          <w:rFonts w:ascii="Times New Roman" w:hAnsi="Times New Roman" w:cs="Times New Roman"/>
          <w:sz w:val="20"/>
          <w:szCs w:val="20"/>
          <w:lang w:val="en-GB"/>
        </w:rPr>
        <w:t>in conflict-affected regions</w:t>
      </w:r>
      <w:r w:rsidR="00886F7D" w:rsidRPr="001302DE">
        <w:rPr>
          <w:rFonts w:ascii="Times New Roman" w:hAnsi="Times New Roman" w:cs="Times New Roman"/>
          <w:sz w:val="20"/>
          <w:szCs w:val="20"/>
          <w:lang w:val="en-GB"/>
        </w:rPr>
        <w:t>.</w:t>
      </w:r>
      <w:r w:rsidR="00A474B6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UNDP will work with administrative service </w:t>
      </w:r>
      <w:r w:rsidR="00E77CA1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centres </w:t>
      </w:r>
      <w:r w:rsidR="00A474B6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and </w:t>
      </w:r>
      <w:r w:rsidR="00050290" w:rsidRPr="001302DE">
        <w:rPr>
          <w:rFonts w:ascii="Times New Roman" w:hAnsi="Times New Roman" w:cs="Times New Roman"/>
          <w:sz w:val="20"/>
          <w:szCs w:val="20"/>
          <w:lang w:val="en-GB"/>
        </w:rPr>
        <w:t>UN</w:t>
      </w:r>
      <w:r w:rsidR="00050290">
        <w:rPr>
          <w:rFonts w:ascii="Times New Roman" w:hAnsi="Times New Roman" w:cs="Times New Roman"/>
          <w:sz w:val="20"/>
          <w:szCs w:val="20"/>
          <w:lang w:val="en-GB"/>
        </w:rPr>
        <w:t>-</w:t>
      </w:r>
      <w:r w:rsidR="00A474B6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Women to ensure that </w:t>
      </w:r>
      <w:r w:rsidR="00516B7F">
        <w:rPr>
          <w:rFonts w:ascii="Times New Roman" w:hAnsi="Times New Roman" w:cs="Times New Roman"/>
          <w:sz w:val="20"/>
          <w:szCs w:val="20"/>
          <w:lang w:val="en-GB"/>
        </w:rPr>
        <w:t xml:space="preserve">identified concerns about </w:t>
      </w:r>
      <w:r w:rsidR="00516B7F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women’s safety and gender-based violence </w:t>
      </w:r>
      <w:r w:rsidR="00A474B6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are </w:t>
      </w:r>
      <w:r w:rsidR="00516B7F">
        <w:rPr>
          <w:rFonts w:ascii="Times New Roman" w:hAnsi="Times New Roman" w:cs="Times New Roman"/>
          <w:sz w:val="20"/>
          <w:szCs w:val="20"/>
          <w:lang w:val="en-GB"/>
        </w:rPr>
        <w:t>being addressed</w:t>
      </w:r>
      <w:r w:rsidR="00A474B6" w:rsidRPr="001302DE">
        <w:rPr>
          <w:rFonts w:ascii="Times New Roman" w:hAnsi="Times New Roman" w:cs="Times New Roman"/>
          <w:sz w:val="20"/>
          <w:szCs w:val="20"/>
          <w:lang w:val="en-GB"/>
        </w:rPr>
        <w:t>.</w:t>
      </w:r>
      <w:r w:rsidR="00A474B6" w:rsidRPr="001302DE">
        <w:rPr>
          <w:rStyle w:val="FootnoteReference"/>
          <w:rFonts w:ascii="Times New Roman" w:hAnsi="Times New Roman"/>
          <w:sz w:val="20"/>
          <w:szCs w:val="20"/>
          <w:lang w:val="en-GB"/>
        </w:rPr>
        <w:footnoteReference w:id="29"/>
      </w:r>
      <w:r w:rsidR="00A474B6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</w:p>
    <w:p w14:paraId="342B5694" w14:textId="77777777" w:rsidR="00000FC3" w:rsidRPr="00346DB7" w:rsidRDefault="00000FC3" w:rsidP="006227A5">
      <w:pPr>
        <w:rPr>
          <w:b/>
          <w:color w:val="000000"/>
          <w:spacing w:val="-3"/>
          <w:sz w:val="24"/>
          <w:szCs w:val="24"/>
          <w:lang w:val="en-GB"/>
        </w:rPr>
      </w:pPr>
    </w:p>
    <w:p w14:paraId="7DA52D06" w14:textId="32F4A682" w:rsidR="00886F7D" w:rsidRPr="00346DB7" w:rsidRDefault="00886F7D" w:rsidP="006227A5">
      <w:pPr>
        <w:pStyle w:val="Heading1"/>
        <w:tabs>
          <w:tab w:val="left" w:pos="1800"/>
        </w:tabs>
        <w:ind w:hanging="360"/>
        <w:jc w:val="both"/>
        <w:rPr>
          <w:rFonts w:ascii="Times New Roman" w:hAnsi="Times New Roman"/>
          <w:color w:val="000000"/>
          <w:sz w:val="24"/>
          <w:szCs w:val="24"/>
          <w:lang w:val="en-GB"/>
        </w:rPr>
      </w:pPr>
      <w:r w:rsidRPr="00346DB7">
        <w:rPr>
          <w:rFonts w:ascii="Times New Roman" w:hAnsi="Times New Roman"/>
          <w:color w:val="000000"/>
          <w:sz w:val="24"/>
          <w:szCs w:val="24"/>
          <w:lang w:val="en-GB"/>
        </w:rPr>
        <w:t xml:space="preserve">III. Programme and </w:t>
      </w:r>
      <w:r w:rsidR="00C5318B">
        <w:rPr>
          <w:rFonts w:ascii="Times New Roman" w:hAnsi="Times New Roman"/>
          <w:color w:val="000000"/>
          <w:sz w:val="24"/>
          <w:szCs w:val="24"/>
          <w:lang w:val="en-GB"/>
        </w:rPr>
        <w:t>r</w:t>
      </w:r>
      <w:r w:rsidRPr="00346DB7">
        <w:rPr>
          <w:rFonts w:ascii="Times New Roman" w:hAnsi="Times New Roman"/>
          <w:color w:val="000000"/>
          <w:sz w:val="24"/>
          <w:szCs w:val="24"/>
          <w:lang w:val="en-GB"/>
        </w:rPr>
        <w:t xml:space="preserve">isk </w:t>
      </w:r>
      <w:r w:rsidR="00C5318B">
        <w:rPr>
          <w:rFonts w:ascii="Times New Roman" w:hAnsi="Times New Roman"/>
          <w:color w:val="000000"/>
          <w:sz w:val="24"/>
          <w:szCs w:val="24"/>
          <w:lang w:val="en-GB"/>
        </w:rPr>
        <w:t>m</w:t>
      </w:r>
      <w:r w:rsidRPr="00346DB7">
        <w:rPr>
          <w:rFonts w:ascii="Times New Roman" w:hAnsi="Times New Roman"/>
          <w:color w:val="000000"/>
          <w:sz w:val="24"/>
          <w:szCs w:val="24"/>
          <w:lang w:val="en-GB"/>
        </w:rPr>
        <w:t xml:space="preserve">anagement </w:t>
      </w:r>
    </w:p>
    <w:p w14:paraId="44BD4766" w14:textId="77777777" w:rsidR="00886F7D" w:rsidRPr="001302DE" w:rsidRDefault="00886F7D" w:rsidP="006227A5">
      <w:pPr>
        <w:pStyle w:val="Normal1"/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16DFACF9" w14:textId="71B05063" w:rsidR="00180BA5" w:rsidRDefault="00E826E5" w:rsidP="006227A5">
      <w:pPr>
        <w:pStyle w:val="Normal1"/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22</w:t>
      </w:r>
      <w:r w:rsidR="00F82A1F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  <w:r w:rsidR="000D2702">
        <w:rPr>
          <w:rFonts w:ascii="Times New Roman" w:hAnsi="Times New Roman" w:cs="Times New Roman"/>
          <w:sz w:val="20"/>
          <w:szCs w:val="20"/>
          <w:lang w:val="en-GB"/>
        </w:rPr>
        <w:t>I</w:t>
      </w:r>
      <w:r w:rsidR="000D2702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mplementation </w:t>
      </w:r>
      <w:r w:rsidR="000D2702">
        <w:rPr>
          <w:rFonts w:ascii="Times New Roman" w:hAnsi="Times New Roman" w:cs="Times New Roman"/>
          <w:sz w:val="20"/>
          <w:szCs w:val="20"/>
          <w:lang w:val="en-GB"/>
        </w:rPr>
        <w:t>m</w:t>
      </w:r>
      <w:r w:rsidR="00F82A1F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odalities will be agreed with country authorities. </w:t>
      </w:r>
      <w:r w:rsidR="00820305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UNDP will transition </w:t>
      </w:r>
      <w:r w:rsidR="00F82A1F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from a predominantly direct implementation modality </w:t>
      </w:r>
      <w:r w:rsidR="00820305" w:rsidRPr="001302DE">
        <w:rPr>
          <w:rFonts w:ascii="Times New Roman" w:hAnsi="Times New Roman" w:cs="Times New Roman"/>
          <w:sz w:val="20"/>
          <w:szCs w:val="20"/>
          <w:lang w:val="en-GB"/>
        </w:rPr>
        <w:t>to a national implementation modality (</w:t>
      </w:r>
      <w:r w:rsidR="00D3553B">
        <w:rPr>
          <w:rFonts w:ascii="Times New Roman" w:hAnsi="Times New Roman" w:cs="Times New Roman"/>
          <w:sz w:val="20"/>
          <w:szCs w:val="20"/>
          <w:lang w:val="en-GB"/>
        </w:rPr>
        <w:t xml:space="preserve">NIM). </w:t>
      </w:r>
      <w:r w:rsidR="00F82A1F" w:rsidRPr="001302DE">
        <w:rPr>
          <w:rFonts w:ascii="Times New Roman" w:hAnsi="Times New Roman" w:cs="Times New Roman"/>
          <w:sz w:val="20"/>
          <w:szCs w:val="20"/>
          <w:lang w:val="en-GB"/>
        </w:rPr>
        <w:t>When using NIM, UNDP will conduct micro-assessments</w:t>
      </w:r>
      <w:r w:rsidR="00180BA5">
        <w:rPr>
          <w:rFonts w:ascii="Times New Roman" w:hAnsi="Times New Roman" w:cs="Times New Roman"/>
          <w:sz w:val="20"/>
          <w:szCs w:val="20"/>
          <w:lang w:val="en-GB"/>
        </w:rPr>
        <w:t xml:space="preserve"> (following the </w:t>
      </w:r>
      <w:r w:rsidR="00F82A1F" w:rsidRPr="001302DE">
        <w:rPr>
          <w:rFonts w:ascii="Times New Roman" w:hAnsi="Times New Roman" w:cs="Times New Roman"/>
          <w:sz w:val="20"/>
          <w:szCs w:val="20"/>
          <w:lang w:val="en-GB"/>
        </w:rPr>
        <w:t>harmonized approach to cash transfers</w:t>
      </w:r>
      <w:r w:rsidR="00544661">
        <w:rPr>
          <w:rFonts w:ascii="Times New Roman" w:hAnsi="Times New Roman" w:cs="Times New Roman"/>
          <w:sz w:val="20"/>
          <w:szCs w:val="20"/>
          <w:lang w:val="en-GB"/>
        </w:rPr>
        <w:t xml:space="preserve">) </w:t>
      </w:r>
      <w:r w:rsidR="00F82A1F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of </w:t>
      </w:r>
      <w:r w:rsidR="004A0D0C">
        <w:rPr>
          <w:rFonts w:ascii="Times New Roman" w:hAnsi="Times New Roman" w:cs="Times New Roman"/>
          <w:sz w:val="20"/>
          <w:szCs w:val="20"/>
          <w:lang w:val="en-GB"/>
        </w:rPr>
        <w:t xml:space="preserve">the ability of </w:t>
      </w:r>
      <w:r w:rsidR="00544661">
        <w:rPr>
          <w:rFonts w:ascii="Times New Roman" w:hAnsi="Times New Roman" w:cs="Times New Roman"/>
          <w:sz w:val="20"/>
          <w:szCs w:val="20"/>
          <w:lang w:val="en-GB"/>
        </w:rPr>
        <w:t xml:space="preserve">potential </w:t>
      </w:r>
      <w:r w:rsidR="00F82A1F" w:rsidRPr="001302DE">
        <w:rPr>
          <w:rFonts w:ascii="Times New Roman" w:hAnsi="Times New Roman" w:cs="Times New Roman"/>
          <w:sz w:val="20"/>
          <w:szCs w:val="20"/>
          <w:lang w:val="en-GB"/>
        </w:rPr>
        <w:t>implementing partners</w:t>
      </w:r>
      <w:r w:rsidR="00367921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to manage resources.</w:t>
      </w:r>
      <w:r w:rsidR="00F82A1F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244159">
        <w:rPr>
          <w:rFonts w:ascii="Times New Roman" w:hAnsi="Times New Roman" w:cs="Times New Roman"/>
          <w:sz w:val="20"/>
          <w:szCs w:val="20"/>
          <w:lang w:val="en-GB"/>
        </w:rPr>
        <w:t>C</w:t>
      </w:r>
      <w:r w:rsidR="00757283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ost </w:t>
      </w:r>
      <w:r w:rsidR="00F82A1F" w:rsidRPr="001302DE">
        <w:rPr>
          <w:rFonts w:ascii="Times New Roman" w:hAnsi="Times New Roman" w:cs="Times New Roman"/>
          <w:sz w:val="20"/>
          <w:szCs w:val="20"/>
          <w:lang w:val="en-GB"/>
        </w:rPr>
        <w:t>definitions and classifications for programme and development effectiveness will be charged to projects</w:t>
      </w:r>
      <w:r w:rsidR="00050290">
        <w:rPr>
          <w:rFonts w:ascii="Times New Roman" w:hAnsi="Times New Roman" w:cs="Times New Roman"/>
          <w:sz w:val="20"/>
          <w:szCs w:val="20"/>
          <w:lang w:val="en-GB"/>
        </w:rPr>
        <w:t>,</w:t>
      </w:r>
      <w:r w:rsidR="00D455C9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as per Executive Board decision 2013/</w:t>
      </w:r>
      <w:r w:rsidR="00380D55">
        <w:rPr>
          <w:rFonts w:ascii="Times New Roman" w:hAnsi="Times New Roman" w:cs="Times New Roman"/>
          <w:sz w:val="20"/>
          <w:szCs w:val="20"/>
          <w:lang w:val="en-GB"/>
        </w:rPr>
        <w:t>9</w:t>
      </w:r>
      <w:r w:rsidR="00F82A1F" w:rsidRPr="001302DE">
        <w:rPr>
          <w:rFonts w:ascii="Times New Roman" w:hAnsi="Times New Roman" w:cs="Times New Roman"/>
          <w:sz w:val="20"/>
          <w:szCs w:val="20"/>
          <w:lang w:val="en-GB"/>
        </w:rPr>
        <w:t>.</w:t>
      </w:r>
      <w:r w:rsidR="0005029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</w:p>
    <w:p w14:paraId="73D869AD" w14:textId="77777777" w:rsidR="00503FE6" w:rsidRDefault="00503FE6" w:rsidP="006227A5">
      <w:pPr>
        <w:pStyle w:val="Normal1"/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51C8ACDC" w14:textId="04EE0156" w:rsidR="00705E12" w:rsidRDefault="00E826E5" w:rsidP="00E963AD">
      <w:pPr>
        <w:pStyle w:val="Normal1"/>
        <w:spacing w:after="120"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23</w:t>
      </w:r>
      <w:r w:rsidR="00F82A1F" w:rsidRPr="001302DE">
        <w:rPr>
          <w:rFonts w:ascii="Times New Roman" w:hAnsi="Times New Roman" w:cs="Times New Roman"/>
          <w:sz w:val="20"/>
          <w:szCs w:val="20"/>
          <w:lang w:val="en-GB"/>
        </w:rPr>
        <w:t>.</w:t>
      </w:r>
      <w:r w:rsidR="002053A8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ED0EC7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UNDP </w:t>
      </w:r>
      <w:r w:rsidR="005173D6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will continue to regularly </w:t>
      </w:r>
      <w:r w:rsidR="00D253FF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update </w:t>
      </w:r>
      <w:r w:rsidR="00244D01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and monitor </w:t>
      </w:r>
      <w:r w:rsidR="00CD5B7B" w:rsidRPr="001302DE">
        <w:rPr>
          <w:rFonts w:ascii="Times New Roman" w:hAnsi="Times New Roman" w:cs="Times New Roman"/>
          <w:sz w:val="20"/>
          <w:szCs w:val="20"/>
          <w:lang w:val="en-GB"/>
        </w:rPr>
        <w:t>r</w:t>
      </w:r>
      <w:r w:rsidR="005173D6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isk </w:t>
      </w:r>
      <w:r w:rsidR="00CD5B7B" w:rsidRPr="001302DE">
        <w:rPr>
          <w:rFonts w:ascii="Times New Roman" w:hAnsi="Times New Roman" w:cs="Times New Roman"/>
          <w:sz w:val="20"/>
          <w:szCs w:val="20"/>
          <w:lang w:val="en-GB"/>
        </w:rPr>
        <w:t>m</w:t>
      </w:r>
      <w:r w:rsidR="005173D6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anagement plans </w:t>
      </w:r>
      <w:r w:rsidR="00F82A1F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through proactive </w:t>
      </w:r>
      <w:r w:rsidR="00137D64" w:rsidRPr="001302DE">
        <w:rPr>
          <w:rFonts w:ascii="Times New Roman" w:hAnsi="Times New Roman" w:cs="Times New Roman"/>
          <w:sz w:val="20"/>
          <w:szCs w:val="20"/>
          <w:lang w:val="en-GB"/>
        </w:rPr>
        <w:t>analysis</w:t>
      </w:r>
      <w:r w:rsidR="00244D01" w:rsidRPr="001302DE">
        <w:rPr>
          <w:rFonts w:ascii="Times New Roman" w:hAnsi="Times New Roman" w:cs="Times New Roman"/>
          <w:sz w:val="20"/>
          <w:szCs w:val="20"/>
          <w:lang w:val="en-GB"/>
        </w:rPr>
        <w:t>,</w:t>
      </w:r>
      <w:r w:rsidR="00137D64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F82A1F" w:rsidRPr="001302DE">
        <w:rPr>
          <w:rFonts w:ascii="Times New Roman" w:hAnsi="Times New Roman" w:cs="Times New Roman"/>
          <w:sz w:val="20"/>
          <w:szCs w:val="20"/>
          <w:lang w:val="en-GB"/>
        </w:rPr>
        <w:t>manag</w:t>
      </w:r>
      <w:r w:rsidR="005173D6" w:rsidRPr="001302DE">
        <w:rPr>
          <w:rFonts w:ascii="Times New Roman" w:hAnsi="Times New Roman" w:cs="Times New Roman"/>
          <w:sz w:val="20"/>
          <w:szCs w:val="20"/>
          <w:lang w:val="en-GB"/>
        </w:rPr>
        <w:t>ement and adaptive programming.</w:t>
      </w:r>
      <w:r w:rsidR="002053A8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5A2914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Key risks </w:t>
      </w:r>
      <w:r w:rsidR="00E11152" w:rsidRPr="001302DE">
        <w:rPr>
          <w:rFonts w:ascii="Times New Roman" w:hAnsi="Times New Roman" w:cs="Times New Roman"/>
          <w:sz w:val="20"/>
          <w:szCs w:val="20"/>
          <w:lang w:val="en-GB"/>
        </w:rPr>
        <w:t>and mitigation strategies, based on the theory of change</w:t>
      </w:r>
      <w:r w:rsidR="00CD5B7B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analysis</w:t>
      </w:r>
      <w:r w:rsidR="00E11152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r w:rsidR="005A2914" w:rsidRPr="001302DE">
        <w:rPr>
          <w:rFonts w:ascii="Times New Roman" w:hAnsi="Times New Roman" w:cs="Times New Roman"/>
          <w:sz w:val="20"/>
          <w:szCs w:val="20"/>
          <w:lang w:val="en-GB"/>
        </w:rPr>
        <w:t>include</w:t>
      </w:r>
      <w:r w:rsidR="00E33760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: </w:t>
      </w:r>
    </w:p>
    <w:p w14:paraId="1A9C61FF" w14:textId="39B60481" w:rsidR="005F0E21" w:rsidRPr="001302DE" w:rsidRDefault="00705E12" w:rsidP="00A20A54">
      <w:pPr>
        <w:pStyle w:val="Normal1"/>
        <w:spacing w:after="120"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92F6D">
        <w:rPr>
          <w:rFonts w:ascii="Times New Roman" w:hAnsi="Times New Roman" w:cs="Times New Roman"/>
          <w:sz w:val="20"/>
          <w:szCs w:val="20"/>
          <w:lang w:val="en-GB"/>
        </w:rPr>
        <w:t>(</w:t>
      </w:r>
      <w:r w:rsidR="00492F6D" w:rsidRPr="00492F6D">
        <w:rPr>
          <w:rFonts w:ascii="Times New Roman" w:hAnsi="Times New Roman" w:cs="Times New Roman"/>
          <w:sz w:val="20"/>
          <w:szCs w:val="20"/>
          <w:lang w:val="en-GB"/>
        </w:rPr>
        <w:t>a</w:t>
      </w:r>
      <w:r w:rsidRPr="00492F6D">
        <w:rPr>
          <w:rFonts w:ascii="Times New Roman" w:hAnsi="Times New Roman" w:cs="Times New Roman"/>
          <w:sz w:val="20"/>
          <w:szCs w:val="20"/>
          <w:lang w:val="en-GB"/>
        </w:rPr>
        <w:t>)</w:t>
      </w:r>
      <w:r w:rsidRPr="001302DE">
        <w:rPr>
          <w:rFonts w:ascii="Times New Roman" w:hAnsi="Times New Roman" w:cs="Times New Roman"/>
          <w:b/>
          <w:sz w:val="20"/>
          <w:szCs w:val="20"/>
          <w:lang w:val="en-GB"/>
        </w:rPr>
        <w:t xml:space="preserve"> </w:t>
      </w:r>
      <w:r w:rsidR="00E07DE5" w:rsidRPr="001302DE">
        <w:rPr>
          <w:rFonts w:ascii="Times New Roman" w:hAnsi="Times New Roman" w:cs="Times New Roman"/>
          <w:b/>
          <w:sz w:val="20"/>
          <w:szCs w:val="20"/>
          <w:lang w:val="en-GB"/>
        </w:rPr>
        <w:t>C</w:t>
      </w:r>
      <w:r w:rsidR="00CC572B" w:rsidRPr="001302DE">
        <w:rPr>
          <w:rFonts w:ascii="Times New Roman" w:hAnsi="Times New Roman" w:cs="Times New Roman"/>
          <w:b/>
          <w:sz w:val="20"/>
          <w:szCs w:val="20"/>
          <w:lang w:val="en-GB"/>
        </w:rPr>
        <w:t>onflict</w:t>
      </w:r>
      <w:r w:rsidR="00492F6D">
        <w:rPr>
          <w:rFonts w:ascii="Times New Roman" w:hAnsi="Times New Roman" w:cs="Times New Roman"/>
          <w:sz w:val="20"/>
          <w:szCs w:val="20"/>
          <w:lang w:val="en-GB"/>
        </w:rPr>
        <w:t>.</w:t>
      </w:r>
      <w:r w:rsidR="00492F6D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E07DE5" w:rsidRPr="001302DE">
        <w:rPr>
          <w:rFonts w:ascii="Times New Roman" w:hAnsi="Times New Roman" w:cs="Times New Roman"/>
          <w:sz w:val="20"/>
          <w:szCs w:val="20"/>
          <w:lang w:val="en-GB"/>
        </w:rPr>
        <w:t>The ongoing conflict present</w:t>
      </w:r>
      <w:r w:rsidR="000C490C" w:rsidRPr="001302DE">
        <w:rPr>
          <w:rFonts w:ascii="Times New Roman" w:hAnsi="Times New Roman" w:cs="Times New Roman"/>
          <w:sz w:val="20"/>
          <w:szCs w:val="20"/>
          <w:lang w:val="en-GB"/>
        </w:rPr>
        <w:t>s</w:t>
      </w:r>
      <w:r w:rsidR="0020363F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CC572B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risks </w:t>
      </w:r>
      <w:r w:rsidR="000C490C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to </w:t>
      </w:r>
      <w:r w:rsidR="00CC572B" w:rsidRPr="001302DE">
        <w:rPr>
          <w:rFonts w:ascii="Times New Roman" w:hAnsi="Times New Roman" w:cs="Times New Roman"/>
          <w:sz w:val="20"/>
          <w:szCs w:val="20"/>
          <w:lang w:val="en-GB"/>
        </w:rPr>
        <w:t>programme sustainability and staff security</w:t>
      </w:r>
      <w:r w:rsidR="00CD34D6">
        <w:rPr>
          <w:rFonts w:ascii="Times New Roman" w:hAnsi="Times New Roman" w:cs="Times New Roman"/>
          <w:sz w:val="20"/>
          <w:szCs w:val="20"/>
          <w:lang w:val="en-GB"/>
        </w:rPr>
        <w:t>. C</w:t>
      </w:r>
      <w:r w:rsidR="005F0E21" w:rsidRPr="001302DE">
        <w:rPr>
          <w:rFonts w:ascii="Times New Roman" w:hAnsi="Times New Roman" w:cs="Times New Roman"/>
          <w:sz w:val="20"/>
          <w:szCs w:val="20"/>
          <w:lang w:val="en-GB"/>
        </w:rPr>
        <w:t>ommunity insecurity</w:t>
      </w:r>
      <w:r w:rsidR="00900482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492F6D">
        <w:rPr>
          <w:rFonts w:ascii="Times New Roman" w:hAnsi="Times New Roman" w:cs="Times New Roman"/>
          <w:sz w:val="20"/>
          <w:szCs w:val="20"/>
          <w:lang w:val="en-GB"/>
        </w:rPr>
        <w:t xml:space="preserve">has </w:t>
      </w:r>
      <w:r w:rsidR="0074309B" w:rsidRPr="001302DE">
        <w:rPr>
          <w:rFonts w:ascii="Times New Roman" w:hAnsi="Times New Roman" w:cs="Times New Roman"/>
          <w:sz w:val="20"/>
          <w:szCs w:val="20"/>
          <w:lang w:val="en-GB"/>
        </w:rPr>
        <w:t>increased</w:t>
      </w:r>
      <w:r w:rsidR="00A415C0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r w:rsidR="00492F6D">
        <w:rPr>
          <w:rFonts w:ascii="Times New Roman" w:hAnsi="Times New Roman" w:cs="Times New Roman"/>
          <w:sz w:val="20"/>
          <w:szCs w:val="20"/>
          <w:lang w:val="en-GB"/>
        </w:rPr>
        <w:t xml:space="preserve">affecting </w:t>
      </w:r>
      <w:r w:rsidR="00516B7F">
        <w:rPr>
          <w:rFonts w:ascii="Times New Roman" w:hAnsi="Times New Roman" w:cs="Times New Roman"/>
          <w:sz w:val="20"/>
          <w:szCs w:val="20"/>
          <w:lang w:val="en-GB"/>
        </w:rPr>
        <w:t>especially</w:t>
      </w:r>
      <w:r w:rsidR="00516B7F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5F0E21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women. </w:t>
      </w:r>
      <w:r w:rsidR="00137D64" w:rsidRPr="001302DE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UNDP </w:t>
      </w:r>
      <w:r w:rsidR="0046654B" w:rsidRPr="001302DE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will </w:t>
      </w:r>
      <w:r w:rsidR="00137D64" w:rsidRPr="001302DE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partner with </w:t>
      </w:r>
      <w:r w:rsidR="00492F6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the Office for the Coordination of Humanitarian Affairs </w:t>
      </w:r>
      <w:r w:rsidR="009E1E64">
        <w:rPr>
          <w:rFonts w:ascii="Times New Roman" w:eastAsia="Times New Roman" w:hAnsi="Times New Roman" w:cs="Times New Roman"/>
          <w:sz w:val="20"/>
          <w:szCs w:val="20"/>
          <w:lang w:val="en-GB"/>
        </w:rPr>
        <w:t>(</w:t>
      </w:r>
      <w:r w:rsidR="00137D64" w:rsidRPr="001302DE">
        <w:rPr>
          <w:rFonts w:ascii="Times New Roman" w:eastAsia="Times New Roman" w:hAnsi="Times New Roman" w:cs="Times New Roman"/>
          <w:sz w:val="20"/>
          <w:szCs w:val="20"/>
          <w:lang w:val="en-GB"/>
        </w:rPr>
        <w:t>OCHA</w:t>
      </w:r>
      <w:r w:rsidR="009E1E64">
        <w:rPr>
          <w:rFonts w:ascii="Times New Roman" w:eastAsia="Times New Roman" w:hAnsi="Times New Roman" w:cs="Times New Roman"/>
          <w:sz w:val="20"/>
          <w:szCs w:val="20"/>
          <w:lang w:val="en-GB"/>
        </w:rPr>
        <w:t>)</w:t>
      </w:r>
      <w:r w:rsidR="004A0D0C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37D64" w:rsidRPr="001302DE">
        <w:rPr>
          <w:rFonts w:ascii="Times New Roman" w:eastAsia="Times New Roman" w:hAnsi="Times New Roman" w:cs="Times New Roman"/>
          <w:sz w:val="20"/>
          <w:szCs w:val="20"/>
          <w:lang w:val="en-GB"/>
        </w:rPr>
        <w:t>and other U</w:t>
      </w:r>
      <w:r w:rsidR="00492F6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nited </w:t>
      </w:r>
      <w:r w:rsidR="00137D64" w:rsidRPr="001302DE">
        <w:rPr>
          <w:rFonts w:ascii="Times New Roman" w:eastAsia="Times New Roman" w:hAnsi="Times New Roman" w:cs="Times New Roman"/>
          <w:sz w:val="20"/>
          <w:szCs w:val="20"/>
          <w:lang w:val="en-GB"/>
        </w:rPr>
        <w:t>N</w:t>
      </w:r>
      <w:r w:rsidR="00492F6D">
        <w:rPr>
          <w:rFonts w:ascii="Times New Roman" w:eastAsia="Times New Roman" w:hAnsi="Times New Roman" w:cs="Times New Roman"/>
          <w:sz w:val="20"/>
          <w:szCs w:val="20"/>
          <w:lang w:val="en-GB"/>
        </w:rPr>
        <w:t>ations</w:t>
      </w:r>
      <w:r w:rsidR="00137D64" w:rsidRPr="001302DE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ag</w:t>
      </w:r>
      <w:r w:rsidRPr="001302DE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encies </w:t>
      </w:r>
      <w:r w:rsidR="00137D64" w:rsidRPr="001302DE">
        <w:rPr>
          <w:rFonts w:ascii="Times New Roman" w:eastAsia="Times New Roman" w:hAnsi="Times New Roman" w:cs="Times New Roman"/>
          <w:sz w:val="20"/>
          <w:szCs w:val="20"/>
          <w:lang w:val="en-GB"/>
        </w:rPr>
        <w:t>to implement the humanitarian contingency strategy.</w:t>
      </w:r>
      <w:r w:rsidR="0020363F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5375C1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Risk assessment and mitigation will be </w:t>
      </w:r>
      <w:r w:rsidR="00390103" w:rsidRPr="001302DE">
        <w:rPr>
          <w:rFonts w:ascii="Times New Roman" w:hAnsi="Times New Roman" w:cs="Times New Roman"/>
          <w:sz w:val="20"/>
          <w:szCs w:val="20"/>
          <w:lang w:val="en-GB"/>
        </w:rPr>
        <w:t>addressed through w</w:t>
      </w:r>
      <w:r w:rsidR="00137D64" w:rsidRPr="001302DE">
        <w:rPr>
          <w:rFonts w:ascii="Times New Roman" w:hAnsi="Times New Roman" w:cs="Times New Roman"/>
          <w:sz w:val="20"/>
          <w:szCs w:val="20"/>
          <w:lang w:val="en-GB"/>
        </w:rPr>
        <w:t>eekly political economy analysis and consultations with key partners and security service providers</w:t>
      </w:r>
      <w:r w:rsidR="00137D64" w:rsidRPr="001302DE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. </w:t>
      </w:r>
      <w:r w:rsidR="00E07DE5" w:rsidRPr="001302DE">
        <w:rPr>
          <w:rFonts w:ascii="Times New Roman" w:eastAsia="Times New Roman" w:hAnsi="Times New Roman" w:cs="Times New Roman"/>
          <w:sz w:val="20"/>
          <w:szCs w:val="20"/>
          <w:lang w:val="en-GB"/>
        </w:rPr>
        <w:t>Tested business continuity</w:t>
      </w:r>
      <w:r w:rsidR="00492F6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and</w:t>
      </w:r>
      <w:r w:rsidR="00492F6D" w:rsidRPr="001302DE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E07DE5" w:rsidRPr="001302DE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security plans and standard operating procedures are in place and </w:t>
      </w:r>
      <w:r w:rsidR="00492F6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updated </w:t>
      </w:r>
      <w:r w:rsidR="00E07DE5" w:rsidRPr="001302DE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regularly to mitigate the impact of existing and potential threats </w:t>
      </w:r>
      <w:r w:rsidR="003D1C47" w:rsidRPr="001302DE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to </w:t>
      </w:r>
      <w:r w:rsidR="00E07DE5" w:rsidRPr="001302DE">
        <w:rPr>
          <w:rFonts w:ascii="Times New Roman" w:eastAsia="Times New Roman" w:hAnsi="Times New Roman" w:cs="Times New Roman"/>
          <w:sz w:val="20"/>
          <w:szCs w:val="20"/>
          <w:lang w:val="en-GB"/>
        </w:rPr>
        <w:t>UNDP staff.</w:t>
      </w:r>
      <w:r w:rsidR="002053A8" w:rsidRPr="001302DE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3D1C47" w:rsidRPr="001302DE">
        <w:rPr>
          <w:rFonts w:ascii="Times New Roman" w:hAnsi="Times New Roman" w:cs="Times New Roman"/>
          <w:sz w:val="20"/>
          <w:szCs w:val="20"/>
          <w:lang w:val="en-GB"/>
        </w:rPr>
        <w:t>A</w:t>
      </w:r>
      <w:r w:rsidR="006C36B6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ttention will be </w:t>
      </w:r>
      <w:r w:rsidR="00E33760" w:rsidRPr="001302DE">
        <w:rPr>
          <w:rFonts w:ascii="Times New Roman" w:hAnsi="Times New Roman" w:cs="Times New Roman"/>
          <w:sz w:val="20"/>
          <w:szCs w:val="20"/>
          <w:lang w:val="en-GB"/>
        </w:rPr>
        <w:t>pa</w:t>
      </w:r>
      <w:r w:rsidR="006C36B6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id </w:t>
      </w:r>
      <w:r w:rsidR="003D1C47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to </w:t>
      </w:r>
      <w:r w:rsidR="005F0E21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addressing women’s vulnerabilities and risks in </w:t>
      </w:r>
      <w:r w:rsidR="00492F6D">
        <w:rPr>
          <w:rFonts w:ascii="Times New Roman" w:hAnsi="Times New Roman" w:cs="Times New Roman"/>
          <w:sz w:val="20"/>
          <w:szCs w:val="20"/>
          <w:lang w:val="en-GB"/>
        </w:rPr>
        <w:t>e</w:t>
      </w:r>
      <w:r w:rsidR="00492F6D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astern </w:t>
      </w:r>
      <w:r w:rsidR="005F0E21" w:rsidRPr="001302DE">
        <w:rPr>
          <w:rFonts w:ascii="Times New Roman" w:hAnsi="Times New Roman" w:cs="Times New Roman"/>
          <w:sz w:val="20"/>
          <w:szCs w:val="20"/>
          <w:lang w:val="en-GB"/>
        </w:rPr>
        <w:t>Ukraine through direct services</w:t>
      </w:r>
      <w:r w:rsidR="004A0D0C">
        <w:rPr>
          <w:rFonts w:ascii="Times New Roman" w:hAnsi="Times New Roman" w:cs="Times New Roman"/>
          <w:sz w:val="20"/>
          <w:szCs w:val="20"/>
          <w:lang w:val="en-GB"/>
        </w:rPr>
        <w:t>;</w:t>
      </w:r>
    </w:p>
    <w:p w14:paraId="7C682097" w14:textId="18E5E92D" w:rsidR="00AC53A2" w:rsidRPr="001302DE" w:rsidRDefault="00705E12" w:rsidP="00A20A54">
      <w:pPr>
        <w:pStyle w:val="Normal1"/>
        <w:spacing w:after="120" w:line="240" w:lineRule="auto"/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492F6D">
        <w:rPr>
          <w:rFonts w:ascii="Times New Roman" w:hAnsi="Times New Roman" w:cs="Times New Roman"/>
          <w:sz w:val="20"/>
          <w:szCs w:val="20"/>
          <w:lang w:val="en-GB"/>
        </w:rPr>
        <w:t>(</w:t>
      </w:r>
      <w:r w:rsidR="00492F6D" w:rsidRPr="00492F6D">
        <w:rPr>
          <w:rFonts w:ascii="Times New Roman" w:hAnsi="Times New Roman" w:cs="Times New Roman"/>
          <w:sz w:val="20"/>
          <w:szCs w:val="20"/>
          <w:lang w:val="en-GB"/>
        </w:rPr>
        <w:t>b</w:t>
      </w:r>
      <w:r w:rsidR="00137D64" w:rsidRPr="00492F6D">
        <w:rPr>
          <w:rFonts w:ascii="Times New Roman" w:hAnsi="Times New Roman" w:cs="Times New Roman"/>
          <w:sz w:val="20"/>
          <w:szCs w:val="20"/>
          <w:lang w:val="en-GB"/>
        </w:rPr>
        <w:t>)</w:t>
      </w:r>
      <w:r w:rsidR="00137D64" w:rsidRPr="001302DE">
        <w:rPr>
          <w:rFonts w:ascii="Times New Roman" w:hAnsi="Times New Roman" w:cs="Times New Roman"/>
          <w:b/>
          <w:sz w:val="20"/>
          <w:szCs w:val="20"/>
          <w:lang w:val="en-GB"/>
        </w:rPr>
        <w:t xml:space="preserve"> </w:t>
      </w:r>
      <w:r w:rsidR="005173D6" w:rsidRPr="001302DE">
        <w:rPr>
          <w:rFonts w:ascii="Times New Roman" w:hAnsi="Times New Roman" w:cs="Times New Roman"/>
          <w:b/>
          <w:sz w:val="20"/>
          <w:szCs w:val="20"/>
          <w:lang w:val="en-GB"/>
        </w:rPr>
        <w:t>F</w:t>
      </w:r>
      <w:r w:rsidR="00CC572B" w:rsidRPr="001302DE">
        <w:rPr>
          <w:rFonts w:ascii="Times New Roman" w:hAnsi="Times New Roman" w:cs="Times New Roman"/>
          <w:b/>
          <w:sz w:val="20"/>
          <w:szCs w:val="20"/>
          <w:lang w:val="en-GB"/>
        </w:rPr>
        <w:t>iduciary and reputational risks</w:t>
      </w:r>
      <w:r w:rsidR="00492F6D">
        <w:rPr>
          <w:rFonts w:ascii="Times New Roman" w:hAnsi="Times New Roman" w:cs="Times New Roman"/>
          <w:b/>
          <w:sz w:val="20"/>
          <w:szCs w:val="20"/>
          <w:lang w:val="en-GB"/>
        </w:rPr>
        <w:t>.</w:t>
      </w:r>
      <w:r w:rsidR="00492F6D" w:rsidRPr="001302DE">
        <w:rPr>
          <w:rFonts w:ascii="Times New Roman" w:hAnsi="Times New Roman" w:cs="Times New Roman"/>
          <w:b/>
          <w:sz w:val="20"/>
          <w:szCs w:val="20"/>
          <w:lang w:val="en-GB"/>
        </w:rPr>
        <w:t xml:space="preserve"> </w:t>
      </w:r>
      <w:r w:rsidR="00A133A8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Vested economic interests challenge </w:t>
      </w:r>
      <w:r w:rsidR="0023675C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UNDP-supported </w:t>
      </w:r>
      <w:r w:rsidR="00030BC4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procurement </w:t>
      </w:r>
      <w:r w:rsidR="00492F6D">
        <w:rPr>
          <w:rFonts w:ascii="Times New Roman" w:hAnsi="Times New Roman" w:cs="Times New Roman"/>
          <w:sz w:val="20"/>
          <w:szCs w:val="20"/>
          <w:lang w:val="en-GB"/>
        </w:rPr>
        <w:t xml:space="preserve">of medicines </w:t>
      </w:r>
      <w:r w:rsidR="00516B7F">
        <w:rPr>
          <w:rFonts w:ascii="Times New Roman" w:hAnsi="Times New Roman" w:cs="Times New Roman"/>
          <w:sz w:val="20"/>
          <w:szCs w:val="20"/>
          <w:lang w:val="en-GB"/>
        </w:rPr>
        <w:t xml:space="preserve">and </w:t>
      </w:r>
      <w:r w:rsidR="0023675C">
        <w:rPr>
          <w:rFonts w:ascii="Times New Roman" w:hAnsi="Times New Roman" w:cs="Times New Roman"/>
          <w:sz w:val="20"/>
          <w:szCs w:val="20"/>
          <w:lang w:val="en-GB"/>
        </w:rPr>
        <w:t>anti-corruption systems</w:t>
      </w:r>
      <w:r w:rsidR="005C438B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  <w:r w:rsidR="00EF58DD">
        <w:rPr>
          <w:rFonts w:ascii="Times New Roman" w:hAnsi="Times New Roman" w:cs="Times New Roman"/>
          <w:sz w:val="20"/>
          <w:szCs w:val="20"/>
          <w:lang w:val="en-GB"/>
        </w:rPr>
        <w:t>To mitigate the risks, UNDP will continue to monitor media</w:t>
      </w:r>
      <w:r w:rsidR="00492F6D">
        <w:rPr>
          <w:rFonts w:ascii="Times New Roman" w:hAnsi="Times New Roman" w:cs="Times New Roman"/>
          <w:sz w:val="20"/>
          <w:szCs w:val="20"/>
          <w:lang w:val="en-GB"/>
        </w:rPr>
        <w:t xml:space="preserve"> and</w:t>
      </w:r>
      <w:r w:rsidR="00A415C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EF58DD">
        <w:rPr>
          <w:rFonts w:ascii="Times New Roman" w:hAnsi="Times New Roman" w:cs="Times New Roman"/>
          <w:sz w:val="20"/>
          <w:szCs w:val="20"/>
          <w:lang w:val="en-GB"/>
        </w:rPr>
        <w:t>strengthen communication</w:t>
      </w:r>
      <w:r w:rsidR="0098283C">
        <w:rPr>
          <w:rFonts w:ascii="Times New Roman" w:hAnsi="Times New Roman" w:cs="Times New Roman"/>
          <w:sz w:val="20"/>
          <w:szCs w:val="20"/>
          <w:lang w:val="en-GB"/>
        </w:rPr>
        <w:t xml:space="preserve"> and quality control mechanisms</w:t>
      </w:r>
      <w:r w:rsidR="00EF58DD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  <w:r w:rsidR="005C438B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UNDP </w:t>
      </w:r>
      <w:r w:rsidR="005C438B" w:rsidRPr="001302DE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will </w:t>
      </w:r>
      <w:r w:rsidR="000D2702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proactively </w:t>
      </w:r>
      <w:r w:rsidR="005C438B" w:rsidRPr="001302DE">
        <w:rPr>
          <w:rFonts w:ascii="Times New Roman" w:eastAsia="Times New Roman" w:hAnsi="Times New Roman" w:cs="Times New Roman"/>
          <w:sz w:val="20"/>
          <w:szCs w:val="20"/>
          <w:lang w:val="en-GB"/>
        </w:rPr>
        <w:t>engage a</w:t>
      </w:r>
      <w:r w:rsidR="000D2702">
        <w:rPr>
          <w:rFonts w:ascii="Times New Roman" w:eastAsia="Times New Roman" w:hAnsi="Times New Roman" w:cs="Times New Roman"/>
          <w:sz w:val="20"/>
          <w:szCs w:val="20"/>
          <w:lang w:val="en-GB"/>
        </w:rPr>
        <w:t>ll key</w:t>
      </w:r>
      <w:r w:rsidR="005C438B" w:rsidRPr="001302DE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46654B" w:rsidRPr="001302DE">
        <w:rPr>
          <w:rFonts w:ascii="Times New Roman" w:eastAsia="Times New Roman" w:hAnsi="Times New Roman" w:cs="Times New Roman"/>
          <w:sz w:val="20"/>
          <w:szCs w:val="20"/>
          <w:lang w:val="en-GB"/>
        </w:rPr>
        <w:t>stakeholders</w:t>
      </w:r>
      <w:r w:rsidR="00151665" w:rsidRPr="001302DE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5C438B" w:rsidRPr="001302DE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to </w:t>
      </w:r>
      <w:r w:rsidR="000D2702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promote </w:t>
      </w:r>
      <w:r w:rsidR="00A415C0">
        <w:rPr>
          <w:rFonts w:ascii="Times New Roman" w:eastAsia="Times New Roman" w:hAnsi="Times New Roman" w:cs="Times New Roman"/>
          <w:sz w:val="20"/>
          <w:szCs w:val="20"/>
          <w:lang w:val="en-GB"/>
        </w:rPr>
        <w:t>transparency</w:t>
      </w:r>
      <w:r w:rsidR="00492F6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and </w:t>
      </w:r>
      <w:r w:rsidR="005C438B" w:rsidRPr="001302DE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will </w:t>
      </w:r>
      <w:r w:rsidR="00030BC4" w:rsidRPr="001302DE">
        <w:rPr>
          <w:rFonts w:ascii="Times New Roman" w:eastAsia="Times New Roman" w:hAnsi="Times New Roman" w:cs="Times New Roman"/>
          <w:sz w:val="20"/>
          <w:szCs w:val="20"/>
          <w:lang w:val="en-GB"/>
        </w:rPr>
        <w:t>harness South-</w:t>
      </w:r>
      <w:r w:rsidR="005C438B" w:rsidRPr="001302DE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South and triangular cooperation </w:t>
      </w:r>
      <w:r w:rsidR="00DF31FD" w:rsidRPr="001302DE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to apply </w:t>
      </w:r>
      <w:r w:rsidR="005173D6" w:rsidRPr="001302DE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best </w:t>
      </w:r>
      <w:r w:rsidR="00DF31FD" w:rsidRPr="001302DE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European </w:t>
      </w:r>
      <w:r w:rsidR="005173D6" w:rsidRPr="001302DE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and international </w:t>
      </w:r>
      <w:r w:rsidR="00DF31FD" w:rsidRPr="001302DE">
        <w:rPr>
          <w:rFonts w:ascii="Times New Roman" w:eastAsia="Times New Roman" w:hAnsi="Times New Roman" w:cs="Times New Roman"/>
          <w:sz w:val="20"/>
          <w:szCs w:val="20"/>
          <w:lang w:val="en-GB"/>
        </w:rPr>
        <w:t>standards</w:t>
      </w:r>
      <w:r w:rsidR="004A0D0C">
        <w:rPr>
          <w:rFonts w:ascii="Times New Roman" w:eastAsia="Times New Roman" w:hAnsi="Times New Roman" w:cs="Times New Roman"/>
          <w:sz w:val="20"/>
          <w:szCs w:val="20"/>
          <w:lang w:val="en-GB"/>
        </w:rPr>
        <w:t>;</w:t>
      </w:r>
      <w:r w:rsidR="004A0D0C" w:rsidRPr="001302DE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</w:p>
    <w:p w14:paraId="41B74075" w14:textId="09AA22F6" w:rsidR="00E34280" w:rsidRPr="001302DE" w:rsidRDefault="00705E12" w:rsidP="00A20A54">
      <w:pPr>
        <w:pStyle w:val="Normal1"/>
        <w:spacing w:after="120"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92F6D">
        <w:rPr>
          <w:rFonts w:ascii="Times New Roman" w:hAnsi="Times New Roman" w:cs="Times New Roman"/>
          <w:sz w:val="20"/>
          <w:szCs w:val="20"/>
          <w:lang w:val="en-GB"/>
        </w:rPr>
        <w:t>(</w:t>
      </w:r>
      <w:r w:rsidR="00492F6D" w:rsidRPr="00492F6D">
        <w:rPr>
          <w:rFonts w:ascii="Times New Roman" w:hAnsi="Times New Roman" w:cs="Times New Roman"/>
          <w:sz w:val="20"/>
          <w:szCs w:val="20"/>
          <w:lang w:val="en-GB"/>
        </w:rPr>
        <w:t>c</w:t>
      </w:r>
      <w:r w:rsidRPr="00492F6D">
        <w:rPr>
          <w:rFonts w:ascii="Times New Roman" w:hAnsi="Times New Roman" w:cs="Times New Roman"/>
          <w:sz w:val="20"/>
          <w:szCs w:val="20"/>
          <w:lang w:val="en-GB"/>
        </w:rPr>
        <w:t>)</w:t>
      </w:r>
      <w:r w:rsidR="00AC53A2" w:rsidRPr="001302DE">
        <w:rPr>
          <w:rFonts w:ascii="Times New Roman" w:hAnsi="Times New Roman" w:cs="Times New Roman"/>
          <w:b/>
          <w:sz w:val="20"/>
          <w:szCs w:val="20"/>
          <w:lang w:val="en-GB"/>
        </w:rPr>
        <w:t xml:space="preserve"> </w:t>
      </w:r>
      <w:r w:rsidR="00B239C4" w:rsidRPr="001302DE">
        <w:rPr>
          <w:rFonts w:ascii="Times New Roman" w:hAnsi="Times New Roman" w:cs="Times New Roman"/>
          <w:b/>
          <w:sz w:val="20"/>
          <w:szCs w:val="20"/>
          <w:lang w:val="en-GB"/>
        </w:rPr>
        <w:t xml:space="preserve">Strengthening </w:t>
      </w:r>
      <w:r w:rsidR="00AC53A2" w:rsidRPr="001302DE">
        <w:rPr>
          <w:rFonts w:ascii="Times New Roman" w:hAnsi="Times New Roman" w:cs="Times New Roman"/>
          <w:b/>
          <w:sz w:val="20"/>
          <w:szCs w:val="20"/>
          <w:lang w:val="en-GB"/>
        </w:rPr>
        <w:t>resource mobilization</w:t>
      </w:r>
      <w:r w:rsidR="00A415C0">
        <w:rPr>
          <w:rFonts w:ascii="Times New Roman" w:hAnsi="Times New Roman" w:cs="Times New Roman"/>
          <w:b/>
          <w:sz w:val="20"/>
          <w:szCs w:val="20"/>
          <w:lang w:val="en-GB"/>
        </w:rPr>
        <w:t xml:space="preserve"> and programme sustainability</w:t>
      </w:r>
      <w:r w:rsidR="00492F6D">
        <w:rPr>
          <w:rFonts w:ascii="Times New Roman" w:hAnsi="Times New Roman" w:cs="Times New Roman"/>
          <w:b/>
          <w:sz w:val="20"/>
          <w:szCs w:val="20"/>
          <w:lang w:val="en-GB"/>
        </w:rPr>
        <w:t xml:space="preserve">. </w:t>
      </w:r>
      <w:r w:rsidR="000D2702">
        <w:rPr>
          <w:rFonts w:ascii="Times New Roman" w:hAnsi="Times New Roman" w:cs="Times New Roman"/>
          <w:sz w:val="20"/>
          <w:szCs w:val="20"/>
          <w:lang w:val="en-GB"/>
        </w:rPr>
        <w:t>R</w:t>
      </w:r>
      <w:r w:rsidR="00217716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eductions in </w:t>
      </w:r>
      <w:r w:rsidR="00492F6D">
        <w:rPr>
          <w:rFonts w:ascii="Times New Roman" w:hAnsi="Times New Roman" w:cs="Times New Roman"/>
          <w:sz w:val="20"/>
          <w:szCs w:val="20"/>
          <w:lang w:val="en-GB"/>
        </w:rPr>
        <w:t>regular</w:t>
      </w:r>
      <w:r w:rsidR="00492F6D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217716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resources and reliance on </w:t>
      </w:r>
      <w:r w:rsidR="00D0215C">
        <w:rPr>
          <w:rFonts w:ascii="Times New Roman" w:hAnsi="Times New Roman" w:cs="Times New Roman"/>
          <w:sz w:val="20"/>
          <w:szCs w:val="20"/>
          <w:lang w:val="en-GB"/>
        </w:rPr>
        <w:t>a few</w:t>
      </w:r>
      <w:r w:rsidR="003F0094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217716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donors </w:t>
      </w:r>
      <w:r w:rsidR="00D0215C">
        <w:rPr>
          <w:rFonts w:ascii="Times New Roman" w:hAnsi="Times New Roman" w:cs="Times New Roman"/>
          <w:sz w:val="20"/>
          <w:szCs w:val="20"/>
          <w:lang w:val="en-GB"/>
        </w:rPr>
        <w:t xml:space="preserve">may </w:t>
      </w:r>
      <w:r w:rsidR="00217716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affect programme sustainability. </w:t>
      </w:r>
      <w:r w:rsidR="005A19DD" w:rsidRPr="001302DE">
        <w:rPr>
          <w:rFonts w:ascii="Times New Roman" w:hAnsi="Times New Roman" w:cs="Times New Roman"/>
          <w:sz w:val="20"/>
          <w:szCs w:val="20"/>
          <w:lang w:val="en-GB"/>
        </w:rPr>
        <w:t>UNDP</w:t>
      </w:r>
      <w:r w:rsidR="00F56A61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030BC4" w:rsidRPr="001302DE">
        <w:rPr>
          <w:rFonts w:ascii="Times New Roman" w:hAnsi="Times New Roman" w:cs="Times New Roman"/>
          <w:sz w:val="20"/>
          <w:szCs w:val="20"/>
          <w:lang w:val="en-GB"/>
        </w:rPr>
        <w:t>will</w:t>
      </w:r>
      <w:r w:rsidR="00713976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B239C4" w:rsidRPr="001302DE">
        <w:rPr>
          <w:rFonts w:ascii="Times New Roman" w:hAnsi="Times New Roman" w:cs="Times New Roman"/>
          <w:sz w:val="20"/>
          <w:szCs w:val="20"/>
          <w:lang w:val="en-GB"/>
        </w:rPr>
        <w:t>deepen and diversify resource mobilization by targeting emerging donors and</w:t>
      </w:r>
      <w:r w:rsidR="005A0A33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international financial institutions</w:t>
      </w:r>
      <w:r w:rsidR="00B239C4" w:rsidRPr="001302DE">
        <w:rPr>
          <w:rFonts w:ascii="Times New Roman" w:hAnsi="Times New Roman" w:cs="Times New Roman"/>
          <w:sz w:val="20"/>
          <w:szCs w:val="20"/>
          <w:lang w:val="en-GB"/>
        </w:rPr>
        <w:t>. UNDP will continue to work with U</w:t>
      </w:r>
      <w:r w:rsidR="00492F6D">
        <w:rPr>
          <w:rFonts w:ascii="Times New Roman" w:hAnsi="Times New Roman" w:cs="Times New Roman"/>
          <w:sz w:val="20"/>
          <w:szCs w:val="20"/>
          <w:lang w:val="en-GB"/>
        </w:rPr>
        <w:t xml:space="preserve">nited </w:t>
      </w:r>
      <w:r w:rsidR="00B239C4" w:rsidRPr="001302DE">
        <w:rPr>
          <w:rFonts w:ascii="Times New Roman" w:hAnsi="Times New Roman" w:cs="Times New Roman"/>
          <w:sz w:val="20"/>
          <w:szCs w:val="20"/>
          <w:lang w:val="en-GB"/>
        </w:rPr>
        <w:t>N</w:t>
      </w:r>
      <w:r w:rsidR="00492F6D">
        <w:rPr>
          <w:rFonts w:ascii="Times New Roman" w:hAnsi="Times New Roman" w:cs="Times New Roman"/>
          <w:sz w:val="20"/>
          <w:szCs w:val="20"/>
          <w:lang w:val="en-GB"/>
        </w:rPr>
        <w:t>ations</w:t>
      </w:r>
      <w:r w:rsidR="00B239C4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agencies and the World Bank to </w:t>
      </w:r>
      <w:r w:rsidR="00AC3EAB" w:rsidRPr="001302DE">
        <w:rPr>
          <w:rFonts w:ascii="Times New Roman" w:hAnsi="Times New Roman" w:cs="Times New Roman"/>
          <w:sz w:val="20"/>
          <w:szCs w:val="20"/>
          <w:lang w:val="en-GB"/>
        </w:rPr>
        <w:t>operationalize</w:t>
      </w:r>
      <w:r w:rsidR="00B239C4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the Multi</w:t>
      </w:r>
      <w:r w:rsidR="00CD5B7B" w:rsidRPr="001302DE">
        <w:rPr>
          <w:rFonts w:ascii="Times New Roman" w:hAnsi="Times New Roman" w:cs="Times New Roman"/>
          <w:sz w:val="20"/>
          <w:szCs w:val="20"/>
          <w:lang w:val="en-GB"/>
        </w:rPr>
        <w:t>-</w:t>
      </w:r>
      <w:r w:rsidR="00111050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Partner </w:t>
      </w:r>
      <w:r w:rsidR="00B239C4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Trust </w:t>
      </w:r>
      <w:r w:rsidR="00492F6D">
        <w:rPr>
          <w:rFonts w:ascii="Times New Roman" w:hAnsi="Times New Roman" w:cs="Times New Roman"/>
          <w:sz w:val="20"/>
          <w:szCs w:val="20"/>
          <w:lang w:val="en-GB"/>
        </w:rPr>
        <w:t>F</w:t>
      </w:r>
      <w:r w:rsidR="00492F6D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und </w:t>
      </w:r>
      <w:r w:rsidR="00B239C4" w:rsidRPr="001302DE">
        <w:rPr>
          <w:rFonts w:ascii="Times New Roman" w:hAnsi="Times New Roman" w:cs="Times New Roman"/>
          <w:sz w:val="20"/>
          <w:szCs w:val="20"/>
          <w:lang w:val="en-GB"/>
        </w:rPr>
        <w:t>for recovery and peace</w:t>
      </w:r>
      <w:r w:rsidR="00765F42">
        <w:rPr>
          <w:rFonts w:ascii="Times New Roman" w:hAnsi="Times New Roman" w:cs="Times New Roman"/>
          <w:sz w:val="20"/>
          <w:szCs w:val="20"/>
          <w:lang w:val="en-GB"/>
        </w:rPr>
        <w:t xml:space="preserve">building. </w:t>
      </w:r>
      <w:r w:rsidR="00B239C4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UNDP will pursue joint </w:t>
      </w:r>
      <w:r w:rsidR="00F56A61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resource mobilization and </w:t>
      </w:r>
      <w:r w:rsidR="00B239C4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programming with </w:t>
      </w:r>
      <w:r w:rsidR="00492F6D" w:rsidRPr="001302DE">
        <w:rPr>
          <w:rFonts w:ascii="Times New Roman" w:hAnsi="Times New Roman" w:cs="Times New Roman"/>
          <w:sz w:val="20"/>
          <w:szCs w:val="20"/>
          <w:lang w:val="en-GB"/>
        </w:rPr>
        <w:t>UN</w:t>
      </w:r>
      <w:r w:rsidR="00492F6D">
        <w:rPr>
          <w:rFonts w:ascii="Times New Roman" w:hAnsi="Times New Roman" w:cs="Times New Roman"/>
          <w:sz w:val="20"/>
          <w:szCs w:val="20"/>
          <w:lang w:val="en-GB"/>
        </w:rPr>
        <w:t>-</w:t>
      </w:r>
      <w:r w:rsidR="00B239C4" w:rsidRPr="001302DE">
        <w:rPr>
          <w:rFonts w:ascii="Times New Roman" w:hAnsi="Times New Roman" w:cs="Times New Roman"/>
          <w:sz w:val="20"/>
          <w:szCs w:val="20"/>
          <w:lang w:val="en-GB"/>
        </w:rPr>
        <w:t>Women,</w:t>
      </w:r>
      <w:r w:rsidR="00ED0EC7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OHCHR</w:t>
      </w:r>
      <w:r w:rsidR="00B239C4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r w:rsidR="00492F6D">
        <w:rPr>
          <w:rFonts w:ascii="Times New Roman" w:hAnsi="Times New Roman" w:cs="Times New Roman"/>
          <w:sz w:val="20"/>
          <w:szCs w:val="20"/>
          <w:lang w:val="en-GB"/>
        </w:rPr>
        <w:t xml:space="preserve">the United Nations Children's Fund </w:t>
      </w:r>
      <w:r w:rsidR="00B239C4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and </w:t>
      </w:r>
      <w:r w:rsidR="00492F6D">
        <w:rPr>
          <w:rFonts w:ascii="Times New Roman" w:hAnsi="Times New Roman" w:cs="Times New Roman"/>
          <w:sz w:val="20"/>
          <w:szCs w:val="20"/>
          <w:lang w:val="en-GB"/>
        </w:rPr>
        <w:t>World Health Organization</w:t>
      </w:r>
      <w:r w:rsidR="00492F6D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B239C4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in </w:t>
      </w:r>
      <w:r w:rsidR="005370E1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areas </w:t>
      </w:r>
      <w:r w:rsidR="00670033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where </w:t>
      </w:r>
      <w:r w:rsidR="00B60C26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joint assessments </w:t>
      </w:r>
      <w:r w:rsidR="005370E1" w:rsidRPr="001302DE">
        <w:rPr>
          <w:rFonts w:ascii="Times New Roman" w:hAnsi="Times New Roman" w:cs="Times New Roman"/>
          <w:sz w:val="20"/>
          <w:szCs w:val="20"/>
          <w:lang w:val="en-GB"/>
        </w:rPr>
        <w:t>have identified</w:t>
      </w:r>
      <w:r w:rsidR="00670033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synergies/</w:t>
      </w:r>
      <w:r w:rsidR="00B60C26" w:rsidRPr="001302DE">
        <w:rPr>
          <w:rFonts w:ascii="Times New Roman" w:hAnsi="Times New Roman" w:cs="Times New Roman"/>
          <w:sz w:val="20"/>
          <w:szCs w:val="20"/>
          <w:lang w:val="en-GB"/>
        </w:rPr>
        <w:t>complementar</w:t>
      </w:r>
      <w:r w:rsidRPr="001302DE">
        <w:rPr>
          <w:rFonts w:ascii="Times New Roman" w:hAnsi="Times New Roman" w:cs="Times New Roman"/>
          <w:sz w:val="20"/>
          <w:szCs w:val="20"/>
          <w:lang w:val="en-GB"/>
        </w:rPr>
        <w:t>it</w:t>
      </w:r>
      <w:r w:rsidR="00B60C26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ies. </w:t>
      </w:r>
      <w:r w:rsidR="000D2702">
        <w:rPr>
          <w:rFonts w:ascii="Times New Roman" w:hAnsi="Times New Roman" w:cs="Times New Roman"/>
          <w:sz w:val="20"/>
          <w:szCs w:val="20"/>
          <w:lang w:val="en-GB"/>
        </w:rPr>
        <w:t xml:space="preserve">UNDP will also continue to serve as a trusted partner for implementation of </w:t>
      </w:r>
      <w:r w:rsidR="00492F6D">
        <w:rPr>
          <w:rFonts w:ascii="Times New Roman" w:hAnsi="Times New Roman" w:cs="Times New Roman"/>
          <w:sz w:val="20"/>
          <w:szCs w:val="20"/>
          <w:lang w:val="en-GB"/>
        </w:rPr>
        <w:t xml:space="preserve">government </w:t>
      </w:r>
      <w:r w:rsidR="000D2702">
        <w:rPr>
          <w:rFonts w:ascii="Times New Roman" w:hAnsi="Times New Roman" w:cs="Times New Roman"/>
          <w:sz w:val="20"/>
          <w:szCs w:val="20"/>
          <w:lang w:val="en-GB"/>
        </w:rPr>
        <w:t xml:space="preserve">resources. </w:t>
      </w:r>
      <w:r w:rsidR="004B050B" w:rsidRPr="001302DE">
        <w:rPr>
          <w:rFonts w:ascii="Times New Roman" w:hAnsi="Times New Roman" w:cs="Times New Roman"/>
          <w:sz w:val="20"/>
          <w:szCs w:val="20"/>
          <w:lang w:val="en-GB"/>
        </w:rPr>
        <w:t>Additional risk management strategies include</w:t>
      </w:r>
      <w:r w:rsidR="00D37DAA" w:rsidRPr="001302DE">
        <w:rPr>
          <w:rFonts w:ascii="Times New Roman" w:hAnsi="Times New Roman" w:cs="Times New Roman"/>
          <w:sz w:val="20"/>
          <w:szCs w:val="20"/>
          <w:lang w:val="en-GB"/>
        </w:rPr>
        <w:t>:</w:t>
      </w:r>
      <w:r w:rsidR="004B050B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regular reviews of the UNDP financial sustainability plan and results of a recent change management process (which include a </w:t>
      </w:r>
      <w:r w:rsidR="00492F6D">
        <w:rPr>
          <w:rFonts w:ascii="Times New Roman" w:hAnsi="Times New Roman" w:cs="Times New Roman"/>
          <w:sz w:val="20"/>
          <w:szCs w:val="20"/>
          <w:lang w:val="en-GB"/>
        </w:rPr>
        <w:t>"</w:t>
      </w:r>
      <w:r w:rsidR="004B050B" w:rsidRPr="001302DE">
        <w:rPr>
          <w:rFonts w:ascii="Times New Roman" w:hAnsi="Times New Roman" w:cs="Times New Roman"/>
          <w:sz w:val="20"/>
          <w:szCs w:val="20"/>
          <w:lang w:val="en-GB"/>
        </w:rPr>
        <w:t>Plan B</w:t>
      </w:r>
      <w:r w:rsidR="00492F6D">
        <w:rPr>
          <w:rFonts w:ascii="Times New Roman" w:hAnsi="Times New Roman" w:cs="Times New Roman"/>
          <w:sz w:val="20"/>
          <w:szCs w:val="20"/>
          <w:lang w:val="en-GB"/>
        </w:rPr>
        <w:t>"</w:t>
      </w:r>
      <w:r w:rsidR="004B050B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to scale down interventions in case of reduced funding); pursuing direct project costing and cost-efficiencies</w:t>
      </w:r>
      <w:r w:rsidR="00D37DAA" w:rsidRPr="001302DE">
        <w:rPr>
          <w:rFonts w:ascii="Times New Roman" w:hAnsi="Times New Roman" w:cs="Times New Roman"/>
          <w:sz w:val="20"/>
          <w:szCs w:val="20"/>
          <w:lang w:val="en-GB"/>
        </w:rPr>
        <w:t>;</w:t>
      </w:r>
      <w:r w:rsidR="004B050B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and additional cost-saving measures to be prepared for potential shocks. UNDP will </w:t>
      </w:r>
      <w:r w:rsidR="00D37DAA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further </w:t>
      </w:r>
      <w:r w:rsidR="00350071">
        <w:rPr>
          <w:rFonts w:ascii="Times New Roman" w:hAnsi="Times New Roman" w:cs="Times New Roman"/>
          <w:sz w:val="20"/>
          <w:szCs w:val="20"/>
          <w:lang w:val="en-GB"/>
        </w:rPr>
        <w:t xml:space="preserve">buttress </w:t>
      </w:r>
      <w:r w:rsidR="00D37DAA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donor </w:t>
      </w:r>
      <w:r w:rsidR="00D37DAA" w:rsidRPr="001302DE">
        <w:rPr>
          <w:rFonts w:ascii="Times New Roman" w:hAnsi="Times New Roman" w:cs="Times New Roman"/>
          <w:sz w:val="20"/>
          <w:szCs w:val="20"/>
          <w:lang w:val="en-GB"/>
        </w:rPr>
        <w:lastRenderedPageBreak/>
        <w:t xml:space="preserve">confidence by </w:t>
      </w:r>
      <w:r w:rsidR="004B050B" w:rsidRPr="001302DE">
        <w:rPr>
          <w:rFonts w:ascii="Times New Roman" w:hAnsi="Times New Roman" w:cs="Times New Roman"/>
          <w:sz w:val="20"/>
          <w:szCs w:val="20"/>
          <w:lang w:val="en-GB"/>
        </w:rPr>
        <w:t>strengthen</w:t>
      </w:r>
      <w:r w:rsidR="00D37DAA" w:rsidRPr="001302DE">
        <w:rPr>
          <w:rFonts w:ascii="Times New Roman" w:hAnsi="Times New Roman" w:cs="Times New Roman"/>
          <w:sz w:val="20"/>
          <w:szCs w:val="20"/>
          <w:lang w:val="en-GB"/>
        </w:rPr>
        <w:t>ing</w:t>
      </w:r>
      <w:r w:rsidR="004B050B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results-focused communication, using social media and </w:t>
      </w:r>
      <w:r w:rsidR="008C245B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undertaking </w:t>
      </w:r>
      <w:r w:rsidR="004B050B" w:rsidRPr="001302DE">
        <w:rPr>
          <w:rFonts w:ascii="Times New Roman" w:hAnsi="Times New Roman" w:cs="Times New Roman"/>
          <w:sz w:val="20"/>
          <w:szCs w:val="20"/>
          <w:lang w:val="en-GB"/>
        </w:rPr>
        <w:t>value-for-money assessments</w:t>
      </w:r>
      <w:r w:rsidR="004A0D0C">
        <w:rPr>
          <w:rFonts w:ascii="Times New Roman" w:hAnsi="Times New Roman" w:cs="Times New Roman"/>
          <w:sz w:val="20"/>
          <w:szCs w:val="20"/>
          <w:lang w:val="en-GB"/>
        </w:rPr>
        <w:t>;</w:t>
      </w:r>
      <w:r w:rsidR="004A0D0C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</w:p>
    <w:p w14:paraId="2E30AF3B" w14:textId="6F963AC2" w:rsidR="00E34280" w:rsidRPr="001302DE" w:rsidRDefault="00E34280" w:rsidP="00A20A54">
      <w:pPr>
        <w:spacing w:after="120"/>
        <w:jc w:val="both"/>
        <w:rPr>
          <w:rFonts w:eastAsia="Arial"/>
          <w:color w:val="000000"/>
          <w:lang w:val="en-GB"/>
        </w:rPr>
      </w:pPr>
      <w:r w:rsidRPr="00492F6D">
        <w:rPr>
          <w:rFonts w:eastAsia="Arial"/>
          <w:color w:val="000000"/>
          <w:lang w:val="en-GB"/>
        </w:rPr>
        <w:t>(</w:t>
      </w:r>
      <w:r w:rsidR="00492F6D">
        <w:rPr>
          <w:rFonts w:eastAsia="Arial"/>
          <w:color w:val="000000"/>
          <w:lang w:val="en-GB"/>
        </w:rPr>
        <w:t>d</w:t>
      </w:r>
      <w:r w:rsidRPr="00492F6D">
        <w:rPr>
          <w:rFonts w:eastAsia="Arial"/>
          <w:color w:val="000000"/>
          <w:lang w:val="en-GB"/>
        </w:rPr>
        <w:t>)</w:t>
      </w:r>
      <w:r w:rsidR="002053A8" w:rsidRPr="001302DE">
        <w:rPr>
          <w:rFonts w:eastAsia="Arial"/>
          <w:b/>
          <w:color w:val="000000"/>
          <w:lang w:val="en-GB"/>
        </w:rPr>
        <w:t xml:space="preserve"> </w:t>
      </w:r>
      <w:r w:rsidRPr="001302DE">
        <w:rPr>
          <w:rFonts w:eastAsia="Arial"/>
          <w:b/>
          <w:color w:val="000000"/>
          <w:lang w:val="en-GB"/>
        </w:rPr>
        <w:t xml:space="preserve">Monitoring and </w:t>
      </w:r>
      <w:r w:rsidR="008C245B" w:rsidRPr="001302DE">
        <w:rPr>
          <w:rFonts w:eastAsia="Arial"/>
          <w:b/>
          <w:color w:val="000000"/>
          <w:lang w:val="en-GB"/>
        </w:rPr>
        <w:t xml:space="preserve">evaluation </w:t>
      </w:r>
      <w:r w:rsidRPr="001302DE">
        <w:rPr>
          <w:rFonts w:eastAsia="Arial"/>
          <w:b/>
          <w:color w:val="000000"/>
          <w:lang w:val="en-GB"/>
        </w:rPr>
        <w:t xml:space="preserve">and </w:t>
      </w:r>
      <w:r w:rsidR="008C245B" w:rsidRPr="001302DE">
        <w:rPr>
          <w:rFonts w:eastAsia="Arial"/>
          <w:b/>
          <w:color w:val="000000"/>
          <w:lang w:val="en-GB"/>
        </w:rPr>
        <w:t>data qua</w:t>
      </w:r>
      <w:r w:rsidRPr="001302DE">
        <w:rPr>
          <w:rFonts w:eastAsia="Arial"/>
          <w:b/>
          <w:color w:val="000000"/>
          <w:lang w:val="en-GB"/>
        </w:rPr>
        <w:t>lity</w:t>
      </w:r>
      <w:r w:rsidR="00492F6D">
        <w:rPr>
          <w:rFonts w:eastAsia="Arial"/>
          <w:b/>
          <w:color w:val="000000"/>
          <w:lang w:val="en-GB"/>
        </w:rPr>
        <w:t>.</w:t>
      </w:r>
      <w:r w:rsidR="00492F6D" w:rsidRPr="001302DE">
        <w:rPr>
          <w:rFonts w:eastAsia="Arial"/>
          <w:color w:val="000000"/>
          <w:lang w:val="en-GB"/>
        </w:rPr>
        <w:t xml:space="preserve"> </w:t>
      </w:r>
      <w:r w:rsidR="00E815CD" w:rsidRPr="001302DE">
        <w:rPr>
          <w:rFonts w:eastAsia="Arial"/>
          <w:color w:val="000000"/>
          <w:lang w:val="en-GB"/>
        </w:rPr>
        <w:t xml:space="preserve">Risks related to data quality and </w:t>
      </w:r>
      <w:r w:rsidR="00492F6D">
        <w:rPr>
          <w:rFonts w:eastAsia="Arial"/>
          <w:color w:val="000000"/>
          <w:lang w:val="en-GB"/>
        </w:rPr>
        <w:t>monitoring and evaluation</w:t>
      </w:r>
      <w:r w:rsidR="00751620">
        <w:rPr>
          <w:rFonts w:eastAsia="Arial"/>
          <w:color w:val="000000"/>
          <w:lang w:val="en-GB"/>
        </w:rPr>
        <w:t xml:space="preserve"> </w:t>
      </w:r>
      <w:r w:rsidR="00E815CD" w:rsidRPr="001302DE">
        <w:rPr>
          <w:rFonts w:eastAsia="Arial"/>
          <w:color w:val="000000"/>
          <w:lang w:val="en-GB"/>
        </w:rPr>
        <w:t xml:space="preserve">are posed by </w:t>
      </w:r>
      <w:r w:rsidR="00492F6D">
        <w:rPr>
          <w:rFonts w:eastAsia="Arial"/>
          <w:color w:val="000000"/>
          <w:lang w:val="en-GB"/>
        </w:rPr>
        <w:t xml:space="preserve">the credibility of </w:t>
      </w:r>
      <w:r w:rsidR="004C2F88" w:rsidRPr="001302DE">
        <w:rPr>
          <w:rFonts w:eastAsia="Arial"/>
          <w:color w:val="000000"/>
          <w:lang w:val="en-GB"/>
        </w:rPr>
        <w:t xml:space="preserve">survey </w:t>
      </w:r>
      <w:r w:rsidR="00E815CD" w:rsidRPr="001302DE">
        <w:rPr>
          <w:rFonts w:eastAsia="Arial"/>
          <w:color w:val="000000"/>
          <w:lang w:val="en-GB"/>
        </w:rPr>
        <w:t>data</w:t>
      </w:r>
      <w:r w:rsidRPr="001302DE">
        <w:rPr>
          <w:rFonts w:eastAsia="Arial"/>
          <w:color w:val="000000"/>
          <w:lang w:val="en-GB"/>
        </w:rPr>
        <w:t xml:space="preserve">, </w:t>
      </w:r>
      <w:r w:rsidR="00492F6D">
        <w:rPr>
          <w:rFonts w:eastAsia="Arial"/>
          <w:color w:val="000000"/>
          <w:lang w:val="en-GB"/>
        </w:rPr>
        <w:t xml:space="preserve">the sufficiency of funding for </w:t>
      </w:r>
      <w:r w:rsidR="00E815CD" w:rsidRPr="001302DE">
        <w:rPr>
          <w:rFonts w:eastAsia="Arial"/>
          <w:color w:val="000000"/>
          <w:lang w:val="en-GB"/>
        </w:rPr>
        <w:t>survey</w:t>
      </w:r>
      <w:r w:rsidR="00492F6D">
        <w:rPr>
          <w:rFonts w:eastAsia="Arial"/>
          <w:color w:val="000000"/>
          <w:lang w:val="en-GB"/>
        </w:rPr>
        <w:t>s and</w:t>
      </w:r>
      <w:r w:rsidR="00492F6D" w:rsidRPr="001302DE">
        <w:rPr>
          <w:rFonts w:eastAsia="Arial"/>
          <w:color w:val="000000"/>
          <w:lang w:val="en-GB"/>
        </w:rPr>
        <w:t xml:space="preserve"> </w:t>
      </w:r>
      <w:r w:rsidRPr="001302DE">
        <w:rPr>
          <w:rFonts w:eastAsia="Arial"/>
          <w:color w:val="000000"/>
          <w:lang w:val="en-GB"/>
        </w:rPr>
        <w:t xml:space="preserve">real and perceived </w:t>
      </w:r>
      <w:r w:rsidR="00E815CD" w:rsidRPr="001302DE">
        <w:rPr>
          <w:rFonts w:eastAsia="Arial"/>
          <w:color w:val="000000"/>
          <w:lang w:val="en-GB"/>
        </w:rPr>
        <w:t xml:space="preserve">assessment </w:t>
      </w:r>
      <w:r w:rsidRPr="001302DE">
        <w:rPr>
          <w:rFonts w:eastAsia="Arial"/>
          <w:color w:val="000000"/>
          <w:lang w:val="en-GB"/>
        </w:rPr>
        <w:t xml:space="preserve">objectivity and security risks </w:t>
      </w:r>
      <w:r w:rsidR="004C2F88" w:rsidRPr="001302DE">
        <w:rPr>
          <w:rFonts w:eastAsia="Arial"/>
          <w:color w:val="000000"/>
          <w:lang w:val="en-GB"/>
        </w:rPr>
        <w:t>(</w:t>
      </w:r>
      <w:r w:rsidRPr="001302DE">
        <w:rPr>
          <w:rFonts w:eastAsia="Arial"/>
          <w:color w:val="000000"/>
          <w:lang w:val="en-GB"/>
        </w:rPr>
        <w:t>particular</w:t>
      </w:r>
      <w:r w:rsidR="004C2F88" w:rsidRPr="001302DE">
        <w:rPr>
          <w:rFonts w:eastAsia="Arial"/>
          <w:color w:val="000000"/>
          <w:lang w:val="en-GB"/>
        </w:rPr>
        <w:t>ly in</w:t>
      </w:r>
      <w:r w:rsidRPr="001302DE">
        <w:rPr>
          <w:rFonts w:eastAsia="Arial"/>
          <w:color w:val="000000"/>
          <w:lang w:val="en-GB"/>
        </w:rPr>
        <w:t xml:space="preserve"> </w:t>
      </w:r>
      <w:r w:rsidR="00492F6D">
        <w:rPr>
          <w:rFonts w:eastAsia="Arial"/>
          <w:color w:val="000000"/>
          <w:lang w:val="en-GB"/>
        </w:rPr>
        <w:t>e</w:t>
      </w:r>
      <w:r w:rsidR="00492F6D" w:rsidRPr="001302DE">
        <w:rPr>
          <w:rFonts w:eastAsia="Arial"/>
          <w:color w:val="000000"/>
          <w:lang w:val="en-GB"/>
        </w:rPr>
        <w:t xml:space="preserve">astern </w:t>
      </w:r>
      <w:r w:rsidRPr="001302DE">
        <w:rPr>
          <w:rFonts w:eastAsia="Arial"/>
          <w:color w:val="000000"/>
          <w:lang w:val="en-GB"/>
        </w:rPr>
        <w:t>Ukraine</w:t>
      </w:r>
      <w:r w:rsidR="004C2F88" w:rsidRPr="001302DE">
        <w:rPr>
          <w:rFonts w:eastAsia="Arial"/>
          <w:color w:val="000000"/>
          <w:lang w:val="en-GB"/>
        </w:rPr>
        <w:t>)</w:t>
      </w:r>
      <w:r w:rsidRPr="001302DE">
        <w:rPr>
          <w:rFonts w:eastAsia="Arial"/>
          <w:color w:val="000000"/>
          <w:lang w:val="en-GB"/>
        </w:rPr>
        <w:t>. UNDP</w:t>
      </w:r>
      <w:r w:rsidR="00ED0EC7" w:rsidRPr="001302DE">
        <w:rPr>
          <w:rFonts w:eastAsia="Arial"/>
          <w:color w:val="000000"/>
          <w:lang w:val="en-GB"/>
        </w:rPr>
        <w:t xml:space="preserve"> risk mitigation </w:t>
      </w:r>
      <w:r w:rsidR="004C2F88" w:rsidRPr="001302DE">
        <w:rPr>
          <w:rFonts w:eastAsia="Arial"/>
          <w:color w:val="000000"/>
          <w:lang w:val="en-GB"/>
        </w:rPr>
        <w:t xml:space="preserve">strategies </w:t>
      </w:r>
      <w:r w:rsidR="00ED0EC7" w:rsidRPr="001302DE">
        <w:rPr>
          <w:rFonts w:eastAsia="Arial"/>
          <w:color w:val="000000"/>
          <w:lang w:val="en-GB"/>
        </w:rPr>
        <w:t xml:space="preserve">include: </w:t>
      </w:r>
      <w:r w:rsidRPr="001302DE">
        <w:rPr>
          <w:rFonts w:eastAsia="Arial"/>
          <w:color w:val="000000"/>
          <w:lang w:val="en-GB"/>
        </w:rPr>
        <w:t xml:space="preserve">earmarking at least </w:t>
      </w:r>
      <w:r w:rsidR="004C2F88" w:rsidRPr="001302DE">
        <w:rPr>
          <w:rFonts w:eastAsia="Arial"/>
          <w:color w:val="000000"/>
          <w:lang w:val="en-GB"/>
        </w:rPr>
        <w:t>5</w:t>
      </w:r>
      <w:r w:rsidR="004E1662">
        <w:rPr>
          <w:rFonts w:eastAsia="Arial"/>
          <w:color w:val="000000"/>
          <w:lang w:val="en-GB"/>
        </w:rPr>
        <w:t xml:space="preserve"> per cent</w:t>
      </w:r>
      <w:r w:rsidR="004C2F88" w:rsidRPr="001302DE">
        <w:rPr>
          <w:rFonts w:eastAsia="Arial"/>
          <w:color w:val="000000"/>
          <w:lang w:val="en-GB"/>
        </w:rPr>
        <w:t xml:space="preserve"> </w:t>
      </w:r>
      <w:r w:rsidRPr="001302DE">
        <w:rPr>
          <w:rFonts w:eastAsia="Arial"/>
          <w:color w:val="000000"/>
          <w:lang w:val="en-GB"/>
        </w:rPr>
        <w:t>of resource</w:t>
      </w:r>
      <w:r w:rsidR="004A0D0C">
        <w:rPr>
          <w:rFonts w:eastAsia="Arial"/>
          <w:color w:val="000000"/>
          <w:lang w:val="en-GB"/>
        </w:rPr>
        <w:t>s</w:t>
      </w:r>
      <w:r w:rsidRPr="001302DE">
        <w:rPr>
          <w:rFonts w:eastAsia="Arial"/>
          <w:color w:val="000000"/>
          <w:lang w:val="en-GB"/>
        </w:rPr>
        <w:t xml:space="preserve"> for </w:t>
      </w:r>
      <w:r w:rsidR="00492F6D">
        <w:rPr>
          <w:rFonts w:eastAsia="Arial"/>
          <w:color w:val="000000"/>
          <w:lang w:val="en-GB"/>
        </w:rPr>
        <w:t>monitoring and evaluation</w:t>
      </w:r>
      <w:r w:rsidRPr="001302DE">
        <w:rPr>
          <w:rFonts w:eastAsia="Arial"/>
          <w:color w:val="000000"/>
          <w:lang w:val="en-GB"/>
        </w:rPr>
        <w:t xml:space="preserve">, collaborating with </w:t>
      </w:r>
      <w:r w:rsidR="004C2F88" w:rsidRPr="001302DE">
        <w:rPr>
          <w:rFonts w:eastAsia="Arial"/>
          <w:color w:val="000000"/>
          <w:lang w:val="en-GB"/>
        </w:rPr>
        <w:t xml:space="preserve">statistics units </w:t>
      </w:r>
      <w:r w:rsidRPr="001302DE">
        <w:rPr>
          <w:rFonts w:eastAsia="Arial"/>
          <w:color w:val="000000"/>
          <w:lang w:val="en-GB"/>
        </w:rPr>
        <w:t xml:space="preserve">and research organizations to ensure </w:t>
      </w:r>
      <w:r w:rsidR="00B40AC7" w:rsidRPr="001302DE">
        <w:rPr>
          <w:rFonts w:eastAsia="Arial"/>
          <w:color w:val="000000"/>
          <w:lang w:val="en-GB"/>
        </w:rPr>
        <w:t xml:space="preserve">data </w:t>
      </w:r>
      <w:r w:rsidRPr="001302DE">
        <w:rPr>
          <w:rFonts w:eastAsia="Arial"/>
          <w:color w:val="000000"/>
          <w:lang w:val="en-GB"/>
        </w:rPr>
        <w:t xml:space="preserve">quality and corroboration, developing transparent checklists for annual assessments and using </w:t>
      </w:r>
      <w:r w:rsidR="0017428A" w:rsidRPr="001302DE">
        <w:rPr>
          <w:rFonts w:eastAsia="Arial"/>
          <w:color w:val="000000"/>
          <w:lang w:val="en-GB"/>
        </w:rPr>
        <w:t xml:space="preserve">innovative </w:t>
      </w:r>
      <w:r w:rsidRPr="001302DE">
        <w:rPr>
          <w:rFonts w:eastAsia="Arial"/>
          <w:color w:val="000000"/>
          <w:lang w:val="en-GB"/>
        </w:rPr>
        <w:t>data gathering methods</w:t>
      </w:r>
      <w:r w:rsidR="0017428A" w:rsidRPr="001302DE">
        <w:rPr>
          <w:rFonts w:eastAsia="Arial"/>
          <w:color w:val="000000"/>
          <w:lang w:val="en-GB"/>
        </w:rPr>
        <w:t>.</w:t>
      </w:r>
    </w:p>
    <w:p w14:paraId="1CBF4566" w14:textId="73149887" w:rsidR="00CD5B7B" w:rsidRPr="001302DE" w:rsidRDefault="00E826E5" w:rsidP="00A20A54">
      <w:pPr>
        <w:pStyle w:val="Normal1"/>
        <w:spacing w:after="120"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24</w:t>
      </w:r>
      <w:r w:rsidR="00ED0EC7" w:rsidRPr="001302DE">
        <w:rPr>
          <w:rFonts w:ascii="Times New Roman" w:hAnsi="Times New Roman" w:cs="Times New Roman"/>
          <w:sz w:val="20"/>
          <w:szCs w:val="20"/>
          <w:lang w:val="en-GB"/>
        </w:rPr>
        <w:t>.</w:t>
      </w:r>
      <w:r w:rsidR="002053A8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860E9A" w:rsidRPr="001302DE">
        <w:rPr>
          <w:rFonts w:ascii="Times New Roman" w:hAnsi="Times New Roman" w:cs="Times New Roman"/>
          <w:sz w:val="20"/>
          <w:szCs w:val="20"/>
          <w:lang w:val="en-GB"/>
        </w:rPr>
        <w:t>UNDP will work closely with its partners to</w:t>
      </w:r>
      <w:r w:rsidR="00765F42">
        <w:rPr>
          <w:rFonts w:ascii="Times New Roman" w:hAnsi="Times New Roman" w:cs="Times New Roman"/>
          <w:sz w:val="20"/>
          <w:szCs w:val="20"/>
          <w:lang w:val="en-GB"/>
        </w:rPr>
        <w:t xml:space="preserve"> turn challenges into opportunities by</w:t>
      </w:r>
      <w:r w:rsidR="00860E9A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strengthen</w:t>
      </w:r>
      <w:r w:rsidR="00765F42">
        <w:rPr>
          <w:rFonts w:ascii="Times New Roman" w:hAnsi="Times New Roman" w:cs="Times New Roman"/>
          <w:sz w:val="20"/>
          <w:szCs w:val="20"/>
          <w:lang w:val="en-GB"/>
        </w:rPr>
        <w:t>ing</w:t>
      </w:r>
      <w:r w:rsidR="00860E9A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programming and respond</w:t>
      </w:r>
      <w:r w:rsidR="00765F42">
        <w:rPr>
          <w:rFonts w:ascii="Times New Roman" w:hAnsi="Times New Roman" w:cs="Times New Roman"/>
          <w:sz w:val="20"/>
          <w:szCs w:val="20"/>
          <w:lang w:val="en-GB"/>
        </w:rPr>
        <w:t>ing</w:t>
      </w:r>
      <w:r w:rsidR="00860E9A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to emergin</w:t>
      </w:r>
      <w:r w:rsidR="00CF593D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g needs. In </w:t>
      </w:r>
      <w:r w:rsidR="00492F6D">
        <w:rPr>
          <w:rFonts w:ascii="Times New Roman" w:hAnsi="Times New Roman" w:cs="Times New Roman"/>
          <w:sz w:val="20"/>
          <w:szCs w:val="20"/>
          <w:lang w:val="en-GB"/>
        </w:rPr>
        <w:t>e</w:t>
      </w:r>
      <w:r w:rsidR="00492F6D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astern </w:t>
      </w:r>
      <w:r w:rsidR="00CF593D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Ukraine, UNDP will continue to </w:t>
      </w:r>
      <w:r w:rsidR="008824A8">
        <w:rPr>
          <w:rFonts w:ascii="Times New Roman" w:hAnsi="Times New Roman" w:cs="Times New Roman"/>
          <w:sz w:val="20"/>
          <w:szCs w:val="20"/>
          <w:lang w:val="en-GB"/>
        </w:rPr>
        <w:t>cooperate with other U</w:t>
      </w:r>
      <w:r w:rsidR="00492F6D">
        <w:rPr>
          <w:rFonts w:ascii="Times New Roman" w:hAnsi="Times New Roman" w:cs="Times New Roman"/>
          <w:sz w:val="20"/>
          <w:szCs w:val="20"/>
          <w:lang w:val="en-GB"/>
        </w:rPr>
        <w:t xml:space="preserve">nited </w:t>
      </w:r>
      <w:r w:rsidR="008824A8">
        <w:rPr>
          <w:rFonts w:ascii="Times New Roman" w:hAnsi="Times New Roman" w:cs="Times New Roman"/>
          <w:sz w:val="20"/>
          <w:szCs w:val="20"/>
          <w:lang w:val="en-GB"/>
        </w:rPr>
        <w:t>N</w:t>
      </w:r>
      <w:r w:rsidR="00492F6D">
        <w:rPr>
          <w:rFonts w:ascii="Times New Roman" w:hAnsi="Times New Roman" w:cs="Times New Roman"/>
          <w:sz w:val="20"/>
          <w:szCs w:val="20"/>
          <w:lang w:val="en-GB"/>
        </w:rPr>
        <w:t>ations</w:t>
      </w:r>
      <w:r w:rsidR="008824A8">
        <w:rPr>
          <w:rFonts w:ascii="Times New Roman" w:hAnsi="Times New Roman" w:cs="Times New Roman"/>
          <w:sz w:val="20"/>
          <w:szCs w:val="20"/>
          <w:lang w:val="en-GB"/>
        </w:rPr>
        <w:t xml:space="preserve"> agencies to </w:t>
      </w:r>
      <w:r w:rsidR="00CF593D" w:rsidRPr="001302DE">
        <w:rPr>
          <w:rFonts w:ascii="Times New Roman" w:hAnsi="Times New Roman" w:cs="Times New Roman"/>
          <w:sz w:val="20"/>
          <w:szCs w:val="20"/>
          <w:lang w:val="en-GB"/>
        </w:rPr>
        <w:t>build resilience of conflict-a</w:t>
      </w:r>
      <w:r w:rsidR="005F0E21" w:rsidRPr="001302DE">
        <w:rPr>
          <w:rFonts w:ascii="Times New Roman" w:hAnsi="Times New Roman" w:cs="Times New Roman"/>
          <w:sz w:val="20"/>
          <w:szCs w:val="20"/>
          <w:lang w:val="en-GB"/>
        </w:rPr>
        <w:t>ffected communities.</w:t>
      </w:r>
      <w:r w:rsidR="002053A8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930CCA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A </w:t>
      </w:r>
      <w:r w:rsidR="003F275D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joint programme with </w:t>
      </w:r>
      <w:r w:rsidR="009E1E64" w:rsidRPr="001302DE">
        <w:rPr>
          <w:rFonts w:ascii="Times New Roman" w:hAnsi="Times New Roman" w:cs="Times New Roman"/>
          <w:sz w:val="20"/>
          <w:szCs w:val="20"/>
          <w:lang w:val="en-GB"/>
        </w:rPr>
        <w:t>UN</w:t>
      </w:r>
      <w:r w:rsidR="009E1E64">
        <w:rPr>
          <w:rFonts w:ascii="Times New Roman" w:hAnsi="Times New Roman" w:cs="Times New Roman"/>
          <w:sz w:val="20"/>
          <w:szCs w:val="20"/>
          <w:lang w:val="en-GB"/>
        </w:rPr>
        <w:t>-</w:t>
      </w:r>
      <w:r w:rsidR="003F275D" w:rsidRPr="001302DE">
        <w:rPr>
          <w:rFonts w:ascii="Times New Roman" w:hAnsi="Times New Roman" w:cs="Times New Roman"/>
          <w:sz w:val="20"/>
          <w:szCs w:val="20"/>
          <w:lang w:val="en-GB"/>
        </w:rPr>
        <w:t>Women</w:t>
      </w:r>
      <w:r w:rsidR="00930CCA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765F42">
        <w:rPr>
          <w:rFonts w:ascii="Times New Roman" w:hAnsi="Times New Roman" w:cs="Times New Roman"/>
          <w:sz w:val="20"/>
          <w:szCs w:val="20"/>
          <w:lang w:val="en-GB"/>
        </w:rPr>
        <w:t xml:space="preserve">will </w:t>
      </w:r>
      <w:r w:rsidR="00930CCA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strengthen </w:t>
      </w:r>
      <w:r w:rsidR="003F275D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women’s economic empowerment through investments in women’s entrepreneurship, enhanced advocacy and integration of gender-responsive budgeting into development strategies. </w:t>
      </w:r>
      <w:r w:rsidR="00860E9A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UNDP engagement with the Ministry of </w:t>
      </w:r>
      <w:r w:rsidR="00AD67EE" w:rsidRPr="001302DE">
        <w:rPr>
          <w:rFonts w:ascii="Times New Roman" w:hAnsi="Times New Roman" w:cs="Times New Roman"/>
          <w:sz w:val="20"/>
          <w:szCs w:val="20"/>
          <w:lang w:val="en-GB"/>
        </w:rPr>
        <w:t>Health</w:t>
      </w:r>
      <w:r w:rsidR="00AD67EE">
        <w:rPr>
          <w:rFonts w:ascii="Times New Roman" w:hAnsi="Times New Roman" w:cs="Times New Roman"/>
          <w:sz w:val="20"/>
          <w:szCs w:val="20"/>
          <w:lang w:val="en-GB"/>
        </w:rPr>
        <w:t xml:space="preserve"> on</w:t>
      </w:r>
      <w:r w:rsidR="009E1E64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6D6145">
        <w:rPr>
          <w:rFonts w:ascii="Times New Roman" w:hAnsi="Times New Roman" w:cs="Times New Roman"/>
          <w:sz w:val="20"/>
          <w:szCs w:val="20"/>
          <w:lang w:val="en-GB"/>
        </w:rPr>
        <w:t>procurement</w:t>
      </w:r>
      <w:r w:rsidR="009E1E64">
        <w:rPr>
          <w:rFonts w:ascii="Times New Roman" w:hAnsi="Times New Roman" w:cs="Times New Roman"/>
          <w:sz w:val="20"/>
          <w:szCs w:val="20"/>
          <w:lang w:val="en-GB"/>
        </w:rPr>
        <w:t xml:space="preserve"> of medicines</w:t>
      </w:r>
      <w:r w:rsidR="00860E9A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D63B8D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will provide </w:t>
      </w:r>
      <w:r w:rsidR="003F275D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additional </w:t>
      </w:r>
      <w:r w:rsidR="00860E9A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opportunities </w:t>
      </w:r>
      <w:r w:rsidR="003F275D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to offer </w:t>
      </w:r>
      <w:r w:rsidR="00860E9A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lifesaving medicines </w:t>
      </w:r>
      <w:r w:rsidR="00D63B8D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and </w:t>
      </w:r>
      <w:r w:rsidR="00860E9A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spearhead reforms in building an open and effective health care system. </w:t>
      </w:r>
    </w:p>
    <w:p w14:paraId="70D62129" w14:textId="69715848" w:rsidR="00E93FCB" w:rsidRPr="001302DE" w:rsidRDefault="00E826E5" w:rsidP="006227A5">
      <w:pPr>
        <w:pStyle w:val="Normal1"/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25</w:t>
      </w:r>
      <w:r w:rsidR="00955C13" w:rsidRPr="001302DE">
        <w:rPr>
          <w:rFonts w:ascii="Times New Roman" w:hAnsi="Times New Roman" w:cs="Times New Roman"/>
          <w:sz w:val="20"/>
          <w:szCs w:val="20"/>
          <w:lang w:val="en-GB"/>
        </w:rPr>
        <w:t>.</w:t>
      </w:r>
      <w:r w:rsidR="002053A8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4C39FC" w:rsidRPr="001302DE">
        <w:rPr>
          <w:rFonts w:ascii="Times New Roman" w:hAnsi="Times New Roman" w:cs="Times New Roman"/>
          <w:sz w:val="20"/>
          <w:szCs w:val="20"/>
          <w:lang w:val="en-GB"/>
        </w:rPr>
        <w:t>A</w:t>
      </w:r>
      <w:r w:rsidR="005A2914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cross all programming, UNDP will undertake </w:t>
      </w:r>
      <w:r w:rsidR="001D3AAE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environmental risk </w:t>
      </w:r>
      <w:r w:rsidR="005A2914" w:rsidRPr="001302DE">
        <w:rPr>
          <w:rFonts w:ascii="Times New Roman" w:hAnsi="Times New Roman" w:cs="Times New Roman"/>
          <w:sz w:val="20"/>
          <w:szCs w:val="20"/>
          <w:lang w:val="en-GB"/>
        </w:rPr>
        <w:t>assessments</w:t>
      </w:r>
      <w:r w:rsidR="005938C8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and mapping of hazards using the Flash Environmental Assessment Tool</w:t>
      </w:r>
      <w:r w:rsidR="00350071">
        <w:rPr>
          <w:rFonts w:ascii="Times New Roman" w:hAnsi="Times New Roman" w:cs="Times New Roman"/>
          <w:sz w:val="20"/>
          <w:szCs w:val="20"/>
          <w:lang w:val="en-GB"/>
        </w:rPr>
        <w:t>,</w:t>
      </w:r>
      <w:r w:rsidR="005938C8" w:rsidRPr="001302DE">
        <w:rPr>
          <w:rStyle w:val="FootnoteReference"/>
          <w:rFonts w:ascii="Times New Roman" w:hAnsi="Times New Roman"/>
          <w:sz w:val="20"/>
          <w:szCs w:val="20"/>
          <w:lang w:val="en-GB"/>
        </w:rPr>
        <w:footnoteReference w:id="30"/>
      </w:r>
      <w:r w:rsidR="005938C8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5A2914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monitor compliance with environmental and social safeguards </w:t>
      </w:r>
      <w:r w:rsidR="003F275D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and </w:t>
      </w:r>
      <w:r w:rsidR="00590E07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implement </w:t>
      </w:r>
      <w:r w:rsidR="009E1E64">
        <w:rPr>
          <w:rFonts w:ascii="Times New Roman" w:hAnsi="Times New Roman" w:cs="Times New Roman"/>
          <w:sz w:val="20"/>
          <w:szCs w:val="20"/>
          <w:lang w:val="en-GB"/>
        </w:rPr>
        <w:t>"</w:t>
      </w:r>
      <w:r w:rsidR="003F275D" w:rsidRPr="001302DE">
        <w:rPr>
          <w:rFonts w:ascii="Times New Roman" w:hAnsi="Times New Roman" w:cs="Times New Roman"/>
          <w:sz w:val="20"/>
          <w:szCs w:val="20"/>
          <w:lang w:val="en-GB"/>
        </w:rPr>
        <w:t>do</w:t>
      </w:r>
      <w:r w:rsidR="009E1E64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3F275D" w:rsidRPr="001302DE">
        <w:rPr>
          <w:rFonts w:ascii="Times New Roman" w:hAnsi="Times New Roman" w:cs="Times New Roman"/>
          <w:sz w:val="20"/>
          <w:szCs w:val="20"/>
          <w:lang w:val="en-GB"/>
        </w:rPr>
        <w:t>no</w:t>
      </w:r>
      <w:r w:rsidR="009E1E64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3F275D" w:rsidRPr="001302DE">
        <w:rPr>
          <w:rFonts w:ascii="Times New Roman" w:hAnsi="Times New Roman" w:cs="Times New Roman"/>
          <w:sz w:val="20"/>
          <w:szCs w:val="20"/>
          <w:lang w:val="en-GB"/>
        </w:rPr>
        <w:t>harm</w:t>
      </w:r>
      <w:r w:rsidR="009E1E64">
        <w:rPr>
          <w:rFonts w:ascii="Times New Roman" w:hAnsi="Times New Roman" w:cs="Times New Roman"/>
          <w:sz w:val="20"/>
          <w:szCs w:val="20"/>
          <w:lang w:val="en-GB"/>
        </w:rPr>
        <w:t>"</w:t>
      </w:r>
      <w:r w:rsidR="003F275D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principles</w:t>
      </w:r>
      <w:r w:rsidR="001D3AAE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for each programme/project</w:t>
      </w:r>
      <w:r w:rsidR="00590E07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  <w:r w:rsidR="00274C3B" w:rsidRPr="001302DE">
        <w:rPr>
          <w:rFonts w:ascii="Times New Roman" w:hAnsi="Times New Roman" w:cs="Times New Roman"/>
          <w:sz w:val="20"/>
          <w:szCs w:val="20"/>
          <w:lang w:val="en-GB"/>
        </w:rPr>
        <w:t>O</w:t>
      </w:r>
      <w:r w:rsidR="001D3AAE" w:rsidRPr="001302DE">
        <w:rPr>
          <w:rFonts w:ascii="Times New Roman" w:hAnsi="Times New Roman" w:cs="Times New Roman"/>
          <w:sz w:val="20"/>
          <w:szCs w:val="20"/>
          <w:lang w:val="en-GB"/>
        </w:rPr>
        <w:t>pportunities will be leveraged</w:t>
      </w:r>
      <w:r w:rsidR="00350071">
        <w:rPr>
          <w:rFonts w:ascii="Times New Roman" w:hAnsi="Times New Roman" w:cs="Times New Roman"/>
          <w:sz w:val="20"/>
          <w:szCs w:val="20"/>
          <w:lang w:val="en-GB"/>
        </w:rPr>
        <w:t xml:space="preserve"> from </w:t>
      </w:r>
      <w:r w:rsidR="001D3AAE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existing </w:t>
      </w:r>
      <w:r w:rsidR="00206E57">
        <w:rPr>
          <w:rFonts w:ascii="Times New Roman" w:hAnsi="Times New Roman" w:cs="Times New Roman"/>
          <w:sz w:val="20"/>
          <w:szCs w:val="20"/>
          <w:lang w:val="en-GB"/>
        </w:rPr>
        <w:t xml:space="preserve">UNDP-facilitated </w:t>
      </w:r>
      <w:r w:rsidR="00274C3B" w:rsidRPr="001302DE">
        <w:rPr>
          <w:rFonts w:ascii="Times New Roman" w:hAnsi="Times New Roman" w:cs="Times New Roman"/>
          <w:sz w:val="20"/>
          <w:szCs w:val="20"/>
          <w:lang w:val="en-GB"/>
        </w:rPr>
        <w:t>South-</w:t>
      </w:r>
      <w:r w:rsidR="004B050B" w:rsidRPr="001302DE">
        <w:rPr>
          <w:rFonts w:ascii="Times New Roman" w:hAnsi="Times New Roman" w:cs="Times New Roman"/>
          <w:sz w:val="20"/>
          <w:szCs w:val="20"/>
          <w:lang w:val="en-GB"/>
        </w:rPr>
        <w:t>S</w:t>
      </w:r>
      <w:r w:rsidR="001D3AAE" w:rsidRPr="001302DE">
        <w:rPr>
          <w:rFonts w:ascii="Times New Roman" w:hAnsi="Times New Roman" w:cs="Times New Roman"/>
          <w:sz w:val="20"/>
          <w:szCs w:val="20"/>
          <w:lang w:val="en-GB"/>
        </w:rPr>
        <w:t>outh partnerships</w:t>
      </w:r>
      <w:r w:rsidR="009E1E64">
        <w:rPr>
          <w:rFonts w:ascii="Times New Roman" w:hAnsi="Times New Roman" w:cs="Times New Roman"/>
          <w:sz w:val="20"/>
          <w:szCs w:val="20"/>
          <w:lang w:val="en-GB"/>
        </w:rPr>
        <w:t>,</w:t>
      </w:r>
      <w:r w:rsidR="009E1E64" w:rsidDel="009E1E64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350071">
        <w:rPr>
          <w:rFonts w:ascii="Times New Roman" w:hAnsi="Times New Roman" w:cs="Times New Roman"/>
          <w:sz w:val="20"/>
          <w:szCs w:val="20"/>
          <w:lang w:val="en-GB"/>
        </w:rPr>
        <w:t>e.g.,</w:t>
      </w:r>
      <w:r w:rsidR="001D3AAE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206E57">
        <w:rPr>
          <w:rFonts w:ascii="Times New Roman" w:hAnsi="Times New Roman" w:cs="Times New Roman"/>
          <w:sz w:val="20"/>
          <w:szCs w:val="20"/>
          <w:lang w:val="en-GB"/>
        </w:rPr>
        <w:t xml:space="preserve">between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the </w:t>
      </w:r>
      <w:r w:rsidR="00206E57">
        <w:rPr>
          <w:rFonts w:ascii="Times New Roman" w:hAnsi="Times New Roman" w:cs="Times New Roman"/>
          <w:sz w:val="20"/>
          <w:szCs w:val="20"/>
          <w:lang w:val="en-GB"/>
        </w:rPr>
        <w:t xml:space="preserve">Ukrainian </w:t>
      </w:r>
      <w:r w:rsidR="00E93FCB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Ministry of Infrastructure and local authorities </w:t>
      </w:r>
      <w:r w:rsidR="00CD5B7B" w:rsidRPr="001302DE">
        <w:rPr>
          <w:rFonts w:ascii="Times New Roman" w:hAnsi="Times New Roman" w:cs="Times New Roman"/>
          <w:sz w:val="20"/>
          <w:szCs w:val="20"/>
          <w:lang w:val="en-GB"/>
        </w:rPr>
        <w:t>from</w:t>
      </w:r>
      <w:r w:rsidR="00E93FCB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9E1E64">
        <w:rPr>
          <w:rFonts w:ascii="Times New Roman" w:hAnsi="Times New Roman" w:cs="Times New Roman"/>
          <w:sz w:val="20"/>
          <w:szCs w:val="20"/>
          <w:lang w:val="en-GB"/>
        </w:rPr>
        <w:t xml:space="preserve">Republic </w:t>
      </w:r>
      <w:r w:rsidR="00AD67EE">
        <w:rPr>
          <w:rFonts w:ascii="Times New Roman" w:hAnsi="Times New Roman" w:cs="Times New Roman"/>
          <w:sz w:val="20"/>
          <w:szCs w:val="20"/>
          <w:lang w:val="en-GB"/>
        </w:rPr>
        <w:t xml:space="preserve">of </w:t>
      </w:r>
      <w:r w:rsidR="00AD67EE" w:rsidRPr="001302DE">
        <w:rPr>
          <w:rFonts w:ascii="Times New Roman" w:hAnsi="Times New Roman" w:cs="Times New Roman"/>
          <w:sz w:val="20"/>
          <w:szCs w:val="20"/>
          <w:lang w:val="en-GB"/>
        </w:rPr>
        <w:t>Korea</w:t>
      </w:r>
      <w:r w:rsidR="00206E57">
        <w:rPr>
          <w:rFonts w:ascii="Times New Roman" w:hAnsi="Times New Roman" w:cs="Times New Roman"/>
          <w:sz w:val="20"/>
          <w:szCs w:val="20"/>
          <w:lang w:val="en-GB"/>
        </w:rPr>
        <w:t xml:space="preserve"> on green and clean infrastructure models</w:t>
      </w:r>
      <w:r w:rsidR="00E93FCB" w:rsidRPr="001302DE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</w:p>
    <w:p w14:paraId="61C30A31" w14:textId="77777777" w:rsidR="00F82A1F" w:rsidRPr="001302DE" w:rsidRDefault="00F82A1F" w:rsidP="006227A5">
      <w:pPr>
        <w:rPr>
          <w:lang w:val="en-GB"/>
        </w:rPr>
      </w:pPr>
    </w:p>
    <w:p w14:paraId="126AF403" w14:textId="0C465FA3" w:rsidR="00886F7D" w:rsidRPr="006227A5" w:rsidRDefault="007A76F4" w:rsidP="006227A5">
      <w:pPr>
        <w:ind w:hanging="360"/>
        <w:rPr>
          <w:b/>
          <w:color w:val="000000"/>
          <w:sz w:val="24"/>
          <w:szCs w:val="24"/>
          <w:lang w:val="en-GB"/>
        </w:rPr>
      </w:pPr>
      <w:r>
        <w:rPr>
          <w:b/>
          <w:color w:val="000000"/>
          <w:sz w:val="24"/>
          <w:szCs w:val="24"/>
          <w:lang w:val="en-GB"/>
        </w:rPr>
        <w:t>IV. Monitoring and e</w:t>
      </w:r>
      <w:r w:rsidR="00886F7D" w:rsidRPr="006227A5">
        <w:rPr>
          <w:b/>
          <w:color w:val="000000"/>
          <w:sz w:val="24"/>
          <w:szCs w:val="24"/>
          <w:lang w:val="en-GB"/>
        </w:rPr>
        <w:t>valuation</w:t>
      </w:r>
    </w:p>
    <w:p w14:paraId="2C1FD462" w14:textId="77777777" w:rsidR="00C261F7" w:rsidRPr="001302DE" w:rsidRDefault="00C261F7" w:rsidP="006227A5">
      <w:pPr>
        <w:rPr>
          <w:lang w:val="en-GB"/>
        </w:rPr>
      </w:pPr>
    </w:p>
    <w:p w14:paraId="5D92104B" w14:textId="4143CA96" w:rsidR="009E1E64" w:rsidRDefault="00E826E5" w:rsidP="00E963AD">
      <w:pPr>
        <w:spacing w:after="120"/>
        <w:jc w:val="both"/>
        <w:rPr>
          <w:lang w:val="en-GB"/>
        </w:rPr>
      </w:pPr>
      <w:r>
        <w:rPr>
          <w:lang w:val="en-GB"/>
        </w:rPr>
        <w:t>26</w:t>
      </w:r>
      <w:r w:rsidR="00C261F7" w:rsidRPr="001302DE">
        <w:rPr>
          <w:lang w:val="en-GB"/>
        </w:rPr>
        <w:t xml:space="preserve">. </w:t>
      </w:r>
      <w:r w:rsidR="00B12435" w:rsidRPr="001302DE">
        <w:rPr>
          <w:lang w:val="en-GB"/>
        </w:rPr>
        <w:t>M</w:t>
      </w:r>
      <w:r w:rsidR="009E1E64">
        <w:rPr>
          <w:lang w:val="en-GB"/>
        </w:rPr>
        <w:t>onitoring and evaluation</w:t>
      </w:r>
      <w:r w:rsidR="00C261F7" w:rsidRPr="001302DE">
        <w:rPr>
          <w:lang w:val="en-GB"/>
        </w:rPr>
        <w:t xml:space="preserve"> will be conducted in partnership with</w:t>
      </w:r>
      <w:r w:rsidR="006E31C7" w:rsidRPr="001302DE">
        <w:rPr>
          <w:lang w:val="en-GB"/>
        </w:rPr>
        <w:t xml:space="preserve"> </w:t>
      </w:r>
      <w:r w:rsidR="00B67DAE" w:rsidRPr="001302DE">
        <w:rPr>
          <w:lang w:val="en-GB"/>
        </w:rPr>
        <w:t xml:space="preserve">the </w:t>
      </w:r>
      <w:r w:rsidR="009E1E64">
        <w:rPr>
          <w:lang w:val="en-GB"/>
        </w:rPr>
        <w:t>G</w:t>
      </w:r>
      <w:r w:rsidR="009E1E64" w:rsidRPr="001302DE">
        <w:rPr>
          <w:lang w:val="en-GB"/>
        </w:rPr>
        <w:t>overnment</w:t>
      </w:r>
      <w:r w:rsidR="00C261F7" w:rsidRPr="001302DE">
        <w:rPr>
          <w:lang w:val="en-GB"/>
        </w:rPr>
        <w:t>, civil society and U</w:t>
      </w:r>
      <w:r w:rsidR="009E1E64">
        <w:rPr>
          <w:lang w:val="en-GB"/>
        </w:rPr>
        <w:t xml:space="preserve">nited </w:t>
      </w:r>
      <w:r w:rsidR="00C261F7" w:rsidRPr="001302DE">
        <w:rPr>
          <w:lang w:val="en-GB"/>
        </w:rPr>
        <w:t>N</w:t>
      </w:r>
      <w:r w:rsidR="009E1E64">
        <w:rPr>
          <w:lang w:val="en-GB"/>
        </w:rPr>
        <w:t>ations</w:t>
      </w:r>
      <w:r w:rsidR="00C261F7" w:rsidRPr="001302DE">
        <w:rPr>
          <w:lang w:val="en-GB"/>
        </w:rPr>
        <w:t xml:space="preserve"> agencies through programme/project board meetings and evaluations. </w:t>
      </w:r>
      <w:r w:rsidR="00B67DAE" w:rsidRPr="001302DE">
        <w:rPr>
          <w:lang w:val="en-GB"/>
        </w:rPr>
        <w:t xml:space="preserve">Chairing </w:t>
      </w:r>
      <w:r w:rsidR="008A1070" w:rsidRPr="001302DE">
        <w:rPr>
          <w:lang w:val="en-GB"/>
        </w:rPr>
        <w:t xml:space="preserve">the UNDAF </w:t>
      </w:r>
      <w:r w:rsidR="009E1E64">
        <w:rPr>
          <w:lang w:val="en-GB"/>
        </w:rPr>
        <w:t>monitoring and evaluation</w:t>
      </w:r>
      <w:r w:rsidR="008A1070" w:rsidRPr="001302DE">
        <w:rPr>
          <w:lang w:val="en-GB"/>
        </w:rPr>
        <w:t xml:space="preserve"> group</w:t>
      </w:r>
      <w:r w:rsidR="0016779E" w:rsidRPr="001302DE">
        <w:rPr>
          <w:lang w:val="en-GB"/>
        </w:rPr>
        <w:t xml:space="preserve">, </w:t>
      </w:r>
      <w:r w:rsidR="008A1070" w:rsidRPr="001302DE">
        <w:rPr>
          <w:lang w:val="en-GB"/>
        </w:rPr>
        <w:t>UNDP will lead U</w:t>
      </w:r>
      <w:r w:rsidR="009E1E64">
        <w:rPr>
          <w:lang w:val="en-GB"/>
        </w:rPr>
        <w:t xml:space="preserve">nited </w:t>
      </w:r>
      <w:r w:rsidR="008A1070" w:rsidRPr="001302DE">
        <w:rPr>
          <w:lang w:val="en-GB"/>
        </w:rPr>
        <w:t>N</w:t>
      </w:r>
      <w:r w:rsidR="009E1E64">
        <w:rPr>
          <w:lang w:val="en-GB"/>
        </w:rPr>
        <w:t>ations</w:t>
      </w:r>
      <w:r w:rsidR="008A1070" w:rsidRPr="001302DE">
        <w:rPr>
          <w:lang w:val="en-GB"/>
        </w:rPr>
        <w:t xml:space="preserve"> efforts in ensuring coherent </w:t>
      </w:r>
      <w:r w:rsidR="009C2447" w:rsidRPr="001302DE">
        <w:rPr>
          <w:lang w:val="en-GB"/>
        </w:rPr>
        <w:t xml:space="preserve">and quality </w:t>
      </w:r>
      <w:r w:rsidR="008A1070" w:rsidRPr="001302DE">
        <w:rPr>
          <w:lang w:val="en-GB"/>
        </w:rPr>
        <w:t>monitoring, data collection, analysis</w:t>
      </w:r>
      <w:r w:rsidR="009C2447" w:rsidRPr="001302DE">
        <w:rPr>
          <w:lang w:val="en-GB"/>
        </w:rPr>
        <w:t>,</w:t>
      </w:r>
      <w:r w:rsidR="008A1070" w:rsidRPr="001302DE">
        <w:rPr>
          <w:lang w:val="en-GB"/>
        </w:rPr>
        <w:t xml:space="preserve"> </w:t>
      </w:r>
      <w:r w:rsidR="009C2447" w:rsidRPr="001302DE">
        <w:rPr>
          <w:lang w:val="en-GB"/>
        </w:rPr>
        <w:t xml:space="preserve">corroboration, </w:t>
      </w:r>
      <w:r w:rsidR="008A1070" w:rsidRPr="001302DE">
        <w:rPr>
          <w:lang w:val="en-GB"/>
        </w:rPr>
        <w:t xml:space="preserve">reporting </w:t>
      </w:r>
      <w:r w:rsidR="00493F4C" w:rsidRPr="001302DE">
        <w:rPr>
          <w:lang w:val="en-GB"/>
        </w:rPr>
        <w:t>and evaluation</w:t>
      </w:r>
      <w:r w:rsidR="008A1070" w:rsidRPr="001302DE">
        <w:rPr>
          <w:lang w:val="en-GB"/>
        </w:rPr>
        <w:t>.</w:t>
      </w:r>
      <w:r w:rsidR="00206E57">
        <w:rPr>
          <w:lang w:val="en-GB"/>
        </w:rPr>
        <w:t xml:space="preserve"> </w:t>
      </w:r>
      <w:r w:rsidR="00206E57" w:rsidRPr="001302DE">
        <w:rPr>
          <w:lang w:val="en-GB"/>
        </w:rPr>
        <w:t>UNDP will promote the use of national systems to monitor outcome indicators</w:t>
      </w:r>
      <w:r w:rsidR="000C1067">
        <w:rPr>
          <w:lang w:val="en-GB"/>
        </w:rPr>
        <w:t>,</w:t>
      </w:r>
      <w:r w:rsidR="00206E57" w:rsidRPr="001302DE">
        <w:rPr>
          <w:lang w:val="en-GB"/>
        </w:rPr>
        <w:t xml:space="preserve"> and will support</w:t>
      </w:r>
      <w:r w:rsidR="00544661">
        <w:rPr>
          <w:lang w:val="en-GB"/>
        </w:rPr>
        <w:t xml:space="preserve"> strengthening of</w:t>
      </w:r>
      <w:r w:rsidR="00206E57" w:rsidRPr="001302DE">
        <w:rPr>
          <w:lang w:val="en-GB"/>
        </w:rPr>
        <w:t xml:space="preserve"> data management </w:t>
      </w:r>
      <w:r w:rsidR="004A0D0C" w:rsidRPr="001302DE">
        <w:rPr>
          <w:lang w:val="en-GB"/>
        </w:rPr>
        <w:t>capacit</w:t>
      </w:r>
      <w:r w:rsidR="004A0D0C">
        <w:rPr>
          <w:lang w:val="en-GB"/>
        </w:rPr>
        <w:t>ies</w:t>
      </w:r>
      <w:r w:rsidR="00206E57" w:rsidRPr="001302DE">
        <w:rPr>
          <w:lang w:val="en-GB"/>
        </w:rPr>
        <w:t xml:space="preserve">. UNDP will work with partners to ensure adequate analysis, use and dissemination of data to promote evidence-based programming and policymaking. </w:t>
      </w:r>
      <w:r w:rsidR="00350071">
        <w:rPr>
          <w:lang w:val="en-GB"/>
        </w:rPr>
        <w:t>Following</w:t>
      </w:r>
      <w:r w:rsidR="00350071" w:rsidRPr="001302DE">
        <w:rPr>
          <w:lang w:val="en-GB"/>
        </w:rPr>
        <w:t xml:space="preserve"> </w:t>
      </w:r>
      <w:r w:rsidR="00206E57" w:rsidRPr="001302DE">
        <w:rPr>
          <w:lang w:val="en-GB"/>
        </w:rPr>
        <w:t>upgrade</w:t>
      </w:r>
      <w:r w:rsidR="00350071">
        <w:rPr>
          <w:lang w:val="en-GB"/>
        </w:rPr>
        <w:t>s to</w:t>
      </w:r>
      <w:r w:rsidR="00206E57" w:rsidRPr="001302DE">
        <w:rPr>
          <w:lang w:val="en-GB"/>
        </w:rPr>
        <w:t xml:space="preserve"> </w:t>
      </w:r>
      <w:r w:rsidR="009E1E64">
        <w:rPr>
          <w:lang w:val="en-GB"/>
        </w:rPr>
        <w:t>the monitoring and evaluation</w:t>
      </w:r>
      <w:r w:rsidR="00206E57" w:rsidRPr="001302DE">
        <w:rPr>
          <w:lang w:val="en-GB"/>
        </w:rPr>
        <w:t xml:space="preserve"> and communication units, </w:t>
      </w:r>
      <w:r w:rsidR="009E1E64">
        <w:rPr>
          <w:lang w:val="en-GB"/>
        </w:rPr>
        <w:t>the country office</w:t>
      </w:r>
      <w:r w:rsidR="00206E57" w:rsidRPr="001302DE">
        <w:rPr>
          <w:lang w:val="en-GB"/>
        </w:rPr>
        <w:t xml:space="preserve"> will </w:t>
      </w:r>
      <w:r w:rsidR="00350071">
        <w:rPr>
          <w:lang w:val="en-GB"/>
        </w:rPr>
        <w:t>invest in</w:t>
      </w:r>
      <w:r w:rsidR="00350071" w:rsidRPr="001302DE">
        <w:rPr>
          <w:lang w:val="en-GB"/>
        </w:rPr>
        <w:t xml:space="preserve"> </w:t>
      </w:r>
      <w:r w:rsidR="00206E57" w:rsidRPr="001302DE">
        <w:rPr>
          <w:lang w:val="en-GB"/>
        </w:rPr>
        <w:t>innovative data</w:t>
      </w:r>
      <w:r w:rsidR="009E1E64">
        <w:rPr>
          <w:lang w:val="en-GB"/>
        </w:rPr>
        <w:t xml:space="preserve"> </w:t>
      </w:r>
      <w:r w:rsidR="00206E57" w:rsidRPr="001302DE">
        <w:rPr>
          <w:lang w:val="en-GB"/>
        </w:rPr>
        <w:t>gathering methods, such as f</w:t>
      </w:r>
      <w:r w:rsidR="00765F42">
        <w:rPr>
          <w:lang w:val="en-GB"/>
        </w:rPr>
        <w:t xml:space="preserve">eedback loops </w:t>
      </w:r>
      <w:r w:rsidR="00206E57" w:rsidRPr="001302DE">
        <w:rPr>
          <w:lang w:val="en-GB"/>
        </w:rPr>
        <w:t xml:space="preserve">and big data. Successful pilots on open data platforms </w:t>
      </w:r>
      <w:r w:rsidR="00350071">
        <w:rPr>
          <w:lang w:val="en-GB"/>
        </w:rPr>
        <w:t>for</w:t>
      </w:r>
      <w:r w:rsidR="00206E57" w:rsidRPr="001302DE">
        <w:rPr>
          <w:lang w:val="en-GB"/>
        </w:rPr>
        <w:t xml:space="preserve"> </w:t>
      </w:r>
      <w:r>
        <w:rPr>
          <w:lang w:val="en-GB"/>
        </w:rPr>
        <w:t>P</w:t>
      </w:r>
      <w:r w:rsidRPr="001302DE">
        <w:rPr>
          <w:lang w:val="en-GB"/>
        </w:rPr>
        <w:t>arliament</w:t>
      </w:r>
      <w:r>
        <w:rPr>
          <w:lang w:val="en-GB"/>
        </w:rPr>
        <w:t xml:space="preserve">, </w:t>
      </w:r>
      <w:r w:rsidR="00206E57" w:rsidRPr="001302DE">
        <w:rPr>
          <w:lang w:val="en-GB"/>
        </w:rPr>
        <w:t>civil society</w:t>
      </w:r>
      <w:r>
        <w:rPr>
          <w:lang w:val="en-GB"/>
        </w:rPr>
        <w:t xml:space="preserve"> and </w:t>
      </w:r>
      <w:r w:rsidR="00206E57" w:rsidRPr="001302DE">
        <w:rPr>
          <w:lang w:val="en-GB"/>
        </w:rPr>
        <w:t>medicine procurement will be scaled up across other programming areas (e.g.</w:t>
      </w:r>
      <w:r>
        <w:rPr>
          <w:lang w:val="en-GB"/>
        </w:rPr>
        <w:t>,</w:t>
      </w:r>
      <w:r w:rsidR="00206E57" w:rsidRPr="001302DE">
        <w:rPr>
          <w:lang w:val="en-GB"/>
        </w:rPr>
        <w:t xml:space="preserve"> decentralization</w:t>
      </w:r>
      <w:r>
        <w:rPr>
          <w:lang w:val="en-GB"/>
        </w:rPr>
        <w:t xml:space="preserve">, </w:t>
      </w:r>
      <w:r w:rsidR="00206E57" w:rsidRPr="001302DE">
        <w:rPr>
          <w:lang w:val="en-GB"/>
        </w:rPr>
        <w:t xml:space="preserve">anti-corruption). UNDP will continue to invest in </w:t>
      </w:r>
      <w:r>
        <w:rPr>
          <w:lang w:val="en-GB"/>
        </w:rPr>
        <w:t xml:space="preserve">staff </w:t>
      </w:r>
      <w:r w:rsidR="009E1E64">
        <w:rPr>
          <w:lang w:val="en-GB"/>
        </w:rPr>
        <w:t xml:space="preserve">monitoring and </w:t>
      </w:r>
      <w:r w:rsidR="007E68DF">
        <w:rPr>
          <w:lang w:val="en-GB"/>
        </w:rPr>
        <w:t xml:space="preserve">evaluation </w:t>
      </w:r>
      <w:r w:rsidR="007E68DF" w:rsidRPr="001302DE">
        <w:rPr>
          <w:lang w:val="en-GB"/>
        </w:rPr>
        <w:t>capacities</w:t>
      </w:r>
      <w:r w:rsidR="0023675C">
        <w:rPr>
          <w:lang w:val="en-GB"/>
        </w:rPr>
        <w:t>.</w:t>
      </w:r>
    </w:p>
    <w:p w14:paraId="588ED566" w14:textId="41B8EBAE" w:rsidR="009347BD" w:rsidRPr="001302DE" w:rsidRDefault="00E826E5" w:rsidP="00E963AD">
      <w:pPr>
        <w:spacing w:after="120"/>
        <w:jc w:val="both"/>
        <w:rPr>
          <w:lang w:val="en-GB"/>
        </w:rPr>
      </w:pPr>
      <w:r>
        <w:rPr>
          <w:lang w:val="en-GB"/>
        </w:rPr>
        <w:t>27</w:t>
      </w:r>
      <w:r w:rsidR="00493F4C" w:rsidRPr="001302DE">
        <w:rPr>
          <w:lang w:val="en-GB"/>
        </w:rPr>
        <w:t xml:space="preserve">. UNDP will strengthen </w:t>
      </w:r>
      <w:r w:rsidR="00677DC1" w:rsidRPr="001302DE">
        <w:rPr>
          <w:lang w:val="en-GB"/>
        </w:rPr>
        <w:t xml:space="preserve">the </w:t>
      </w:r>
      <w:r w:rsidR="00493F4C" w:rsidRPr="001302DE">
        <w:rPr>
          <w:lang w:val="en-GB"/>
        </w:rPr>
        <w:t xml:space="preserve">capacities of </w:t>
      </w:r>
      <w:r w:rsidR="00C261F7" w:rsidRPr="001302DE">
        <w:rPr>
          <w:lang w:val="en-GB"/>
        </w:rPr>
        <w:t xml:space="preserve">the </w:t>
      </w:r>
      <w:r w:rsidR="009E1E64" w:rsidRPr="001302DE">
        <w:rPr>
          <w:rFonts w:eastAsia="Cambria"/>
          <w:lang w:val="en-GB"/>
        </w:rPr>
        <w:t xml:space="preserve">Ministry of Economic Development </w:t>
      </w:r>
      <w:r w:rsidR="009E1E64">
        <w:rPr>
          <w:rFonts w:eastAsia="Cambria"/>
          <w:lang w:val="en-GB"/>
        </w:rPr>
        <w:t>and Trade</w:t>
      </w:r>
      <w:r w:rsidR="00C261F7" w:rsidRPr="001302DE">
        <w:rPr>
          <w:lang w:val="en-GB"/>
        </w:rPr>
        <w:t xml:space="preserve"> </w:t>
      </w:r>
      <w:r w:rsidR="008A1070" w:rsidRPr="001302DE">
        <w:rPr>
          <w:lang w:val="en-GB"/>
        </w:rPr>
        <w:t xml:space="preserve">and </w:t>
      </w:r>
      <w:r w:rsidR="005A2BCD">
        <w:rPr>
          <w:lang w:val="en-GB"/>
        </w:rPr>
        <w:t xml:space="preserve">other line ministries </w:t>
      </w:r>
      <w:r w:rsidR="00424F27" w:rsidRPr="001302DE">
        <w:rPr>
          <w:lang w:val="en-GB"/>
        </w:rPr>
        <w:t xml:space="preserve">to monitor </w:t>
      </w:r>
      <w:r w:rsidR="00765F42" w:rsidRPr="001302DE">
        <w:rPr>
          <w:lang w:val="en-GB"/>
        </w:rPr>
        <w:t>implementation</w:t>
      </w:r>
      <w:r w:rsidR="00765F42">
        <w:rPr>
          <w:lang w:val="en-GB"/>
        </w:rPr>
        <w:t xml:space="preserve"> </w:t>
      </w:r>
      <w:r w:rsidR="009E1E64">
        <w:rPr>
          <w:lang w:val="en-GB"/>
        </w:rPr>
        <w:t>of the Sustainable Development Goals</w:t>
      </w:r>
      <w:r w:rsidR="005A2BCD">
        <w:rPr>
          <w:lang w:val="en-GB"/>
        </w:rPr>
        <w:t xml:space="preserve">, including through development of measurement methodologies and ensuring alignment with international standards. </w:t>
      </w:r>
      <w:r w:rsidR="001470BC" w:rsidRPr="001302DE">
        <w:rPr>
          <w:lang w:val="en-GB"/>
        </w:rPr>
        <w:t xml:space="preserve"> UNDP will work with the State Statistic</w:t>
      </w:r>
      <w:r w:rsidR="006B2A79" w:rsidRPr="001302DE">
        <w:rPr>
          <w:lang w:val="en-GB"/>
        </w:rPr>
        <w:t>s</w:t>
      </w:r>
      <w:r w:rsidR="001470BC" w:rsidRPr="001302DE">
        <w:rPr>
          <w:lang w:val="en-GB"/>
        </w:rPr>
        <w:t xml:space="preserve"> </w:t>
      </w:r>
      <w:r w:rsidR="00AD67EE">
        <w:rPr>
          <w:lang w:val="en-GB"/>
        </w:rPr>
        <w:t xml:space="preserve">Service </w:t>
      </w:r>
      <w:r w:rsidR="00AD67EE" w:rsidRPr="001302DE">
        <w:rPr>
          <w:lang w:val="en-GB"/>
        </w:rPr>
        <w:t>to</w:t>
      </w:r>
      <w:r w:rsidR="001470BC" w:rsidRPr="001302DE">
        <w:rPr>
          <w:lang w:val="en-GB"/>
        </w:rPr>
        <w:t xml:space="preserve"> </w:t>
      </w:r>
      <w:r w:rsidR="00F52346">
        <w:rPr>
          <w:lang w:val="en-GB"/>
        </w:rPr>
        <w:t>address</w:t>
      </w:r>
      <w:r w:rsidR="00F52346" w:rsidRPr="001302DE">
        <w:rPr>
          <w:lang w:val="en-GB"/>
        </w:rPr>
        <w:t xml:space="preserve"> </w:t>
      </w:r>
      <w:r>
        <w:rPr>
          <w:lang w:val="en-GB"/>
        </w:rPr>
        <w:t xml:space="preserve">issues of </w:t>
      </w:r>
      <w:r w:rsidR="001470BC" w:rsidRPr="001302DE">
        <w:rPr>
          <w:lang w:val="en-GB"/>
        </w:rPr>
        <w:t>missing data</w:t>
      </w:r>
      <w:r w:rsidR="00F52346">
        <w:rPr>
          <w:lang w:val="en-GB"/>
        </w:rPr>
        <w:t>, quality and disaggregation</w:t>
      </w:r>
      <w:r w:rsidR="005A2BCD">
        <w:rPr>
          <w:lang w:val="en-GB"/>
        </w:rPr>
        <w:t xml:space="preserve"> by sex, age, geographic area and vulnerability</w:t>
      </w:r>
      <w:r w:rsidR="001470BC" w:rsidRPr="001302DE">
        <w:rPr>
          <w:lang w:val="en-GB"/>
        </w:rPr>
        <w:t xml:space="preserve">. </w:t>
      </w:r>
      <w:r w:rsidR="009E1E64">
        <w:rPr>
          <w:lang w:val="en-GB"/>
        </w:rPr>
        <w:t xml:space="preserve">The Goals </w:t>
      </w:r>
      <w:r w:rsidR="009347BD" w:rsidRPr="001302DE">
        <w:rPr>
          <w:lang w:val="en-GB"/>
        </w:rPr>
        <w:t>will frame a multi-year research and knowledge management agenda</w:t>
      </w:r>
      <w:r w:rsidR="009E3AA9" w:rsidRPr="001302DE">
        <w:rPr>
          <w:lang w:val="en-GB"/>
        </w:rPr>
        <w:t>,</w:t>
      </w:r>
      <w:r w:rsidR="009347BD" w:rsidRPr="001302DE">
        <w:rPr>
          <w:lang w:val="en-GB"/>
        </w:rPr>
        <w:t xml:space="preserve"> to be developed in collaboration with leading think tanks, CSOs and university-based research centres.</w:t>
      </w:r>
    </w:p>
    <w:p w14:paraId="7A9D82FE" w14:textId="290AF3AB" w:rsidR="00ED0EC7" w:rsidRPr="001302DE" w:rsidRDefault="00E826E5" w:rsidP="00A20A54">
      <w:pPr>
        <w:spacing w:after="120"/>
        <w:jc w:val="both"/>
        <w:rPr>
          <w:lang w:val="en-GB"/>
        </w:rPr>
      </w:pPr>
      <w:r>
        <w:rPr>
          <w:lang w:val="en-GB"/>
        </w:rPr>
        <w:t>28</w:t>
      </w:r>
      <w:r w:rsidR="009347BD" w:rsidRPr="001302DE">
        <w:rPr>
          <w:lang w:val="en-GB"/>
        </w:rPr>
        <w:t xml:space="preserve">. </w:t>
      </w:r>
      <w:r w:rsidR="009A09C8">
        <w:rPr>
          <w:lang w:val="en-GB"/>
        </w:rPr>
        <w:t>C</w:t>
      </w:r>
      <w:r w:rsidR="00E34280" w:rsidRPr="001302DE">
        <w:rPr>
          <w:lang w:val="en-GB"/>
        </w:rPr>
        <w:t>hallenges</w:t>
      </w:r>
      <w:r w:rsidR="009A09C8">
        <w:rPr>
          <w:lang w:val="en-GB"/>
        </w:rPr>
        <w:t xml:space="preserve"> persist</w:t>
      </w:r>
      <w:r w:rsidR="00E34280" w:rsidRPr="001302DE">
        <w:rPr>
          <w:lang w:val="en-GB"/>
        </w:rPr>
        <w:t xml:space="preserve"> </w:t>
      </w:r>
      <w:r w:rsidR="00350071">
        <w:rPr>
          <w:lang w:val="en-GB"/>
        </w:rPr>
        <w:t>regarding</w:t>
      </w:r>
      <w:r w:rsidR="00E34280" w:rsidRPr="001302DE">
        <w:rPr>
          <w:lang w:val="en-GB"/>
        </w:rPr>
        <w:t xml:space="preserve"> availability, reliability and frequency of n</w:t>
      </w:r>
      <w:r w:rsidR="006C36B6" w:rsidRPr="001302DE">
        <w:rPr>
          <w:lang w:val="en-GB"/>
        </w:rPr>
        <w:t xml:space="preserve">ational data </w:t>
      </w:r>
      <w:r w:rsidR="00887B63" w:rsidRPr="001302DE">
        <w:rPr>
          <w:lang w:val="en-GB"/>
        </w:rPr>
        <w:t>and statistics</w:t>
      </w:r>
      <w:r w:rsidR="00EE682B" w:rsidRPr="001302DE">
        <w:rPr>
          <w:lang w:val="en-GB"/>
        </w:rPr>
        <w:t>,</w:t>
      </w:r>
      <w:r w:rsidR="00E34280" w:rsidRPr="001302DE">
        <w:rPr>
          <w:lang w:val="en-GB"/>
        </w:rPr>
        <w:t xml:space="preserve"> </w:t>
      </w:r>
      <w:r w:rsidR="009A09C8">
        <w:rPr>
          <w:lang w:val="en-GB"/>
        </w:rPr>
        <w:t>including on</w:t>
      </w:r>
      <w:r w:rsidR="00E34280" w:rsidRPr="001302DE">
        <w:rPr>
          <w:lang w:val="en-GB"/>
        </w:rPr>
        <w:t xml:space="preserve"> </w:t>
      </w:r>
      <w:r w:rsidR="006C36B6" w:rsidRPr="001302DE">
        <w:rPr>
          <w:lang w:val="en-GB"/>
        </w:rPr>
        <w:t>social cohesion in Eastern Ukraine, trust in justice and security institutions and the effectiveness of transparent procu</w:t>
      </w:r>
      <w:r w:rsidR="00977C58">
        <w:rPr>
          <w:lang w:val="en-GB"/>
        </w:rPr>
        <w:t xml:space="preserve">rement by </w:t>
      </w:r>
      <w:r w:rsidR="009E1E64">
        <w:rPr>
          <w:lang w:val="en-GB"/>
        </w:rPr>
        <w:t>the Ministry of Health</w:t>
      </w:r>
      <w:r w:rsidR="006C36B6" w:rsidRPr="001302DE">
        <w:rPr>
          <w:lang w:val="en-GB"/>
        </w:rPr>
        <w:t xml:space="preserve">. UNDP will address these gaps by supporting </w:t>
      </w:r>
      <w:r w:rsidR="00887B63" w:rsidRPr="001302DE">
        <w:rPr>
          <w:lang w:val="en-GB"/>
        </w:rPr>
        <w:t xml:space="preserve">key surveys, such as </w:t>
      </w:r>
      <w:r w:rsidR="006C36B6" w:rsidRPr="001302DE">
        <w:rPr>
          <w:lang w:val="en-GB"/>
        </w:rPr>
        <w:t xml:space="preserve">annual </w:t>
      </w:r>
      <w:r w:rsidR="00AA4764">
        <w:rPr>
          <w:lang w:val="en-GB"/>
        </w:rPr>
        <w:t>surveys of s</w:t>
      </w:r>
      <w:r w:rsidR="00AA4764" w:rsidRPr="001302DE">
        <w:rPr>
          <w:lang w:val="en-GB"/>
        </w:rPr>
        <w:t xml:space="preserve">ocial </w:t>
      </w:r>
      <w:r w:rsidR="00AA4764">
        <w:rPr>
          <w:lang w:val="en-GB"/>
        </w:rPr>
        <w:t>c</w:t>
      </w:r>
      <w:r w:rsidR="00AA4764" w:rsidRPr="001302DE">
        <w:rPr>
          <w:lang w:val="en-GB"/>
        </w:rPr>
        <w:t xml:space="preserve">ohesion </w:t>
      </w:r>
      <w:r w:rsidR="006C36B6" w:rsidRPr="001302DE">
        <w:rPr>
          <w:lang w:val="en-GB"/>
        </w:rPr>
        <w:t xml:space="preserve">and </w:t>
      </w:r>
      <w:r w:rsidR="00AA4764">
        <w:rPr>
          <w:lang w:val="en-GB"/>
        </w:rPr>
        <w:t>r</w:t>
      </w:r>
      <w:r w:rsidR="00AA4764" w:rsidRPr="001302DE">
        <w:rPr>
          <w:lang w:val="en-GB"/>
        </w:rPr>
        <w:t xml:space="preserve">econciliation </w:t>
      </w:r>
      <w:r w:rsidR="00AA4764">
        <w:rPr>
          <w:lang w:val="en-GB"/>
        </w:rPr>
        <w:t>and</w:t>
      </w:r>
      <w:r w:rsidR="006C36B6" w:rsidRPr="001302DE">
        <w:rPr>
          <w:lang w:val="en-GB"/>
        </w:rPr>
        <w:t xml:space="preserve"> </w:t>
      </w:r>
      <w:r w:rsidR="00AA4764">
        <w:rPr>
          <w:lang w:val="en-GB"/>
        </w:rPr>
        <w:t>t</w:t>
      </w:r>
      <w:r w:rsidR="00AA4764" w:rsidRPr="001302DE">
        <w:rPr>
          <w:lang w:val="en-GB"/>
        </w:rPr>
        <w:t xml:space="preserve">rust </w:t>
      </w:r>
      <w:r w:rsidR="00AA4764">
        <w:rPr>
          <w:lang w:val="en-GB"/>
        </w:rPr>
        <w:t>in</w:t>
      </w:r>
      <w:r w:rsidR="00AA4764" w:rsidRPr="001302DE">
        <w:rPr>
          <w:lang w:val="en-GB"/>
        </w:rPr>
        <w:t xml:space="preserve"> </w:t>
      </w:r>
      <w:r w:rsidR="00AA4764">
        <w:rPr>
          <w:lang w:val="en-GB"/>
        </w:rPr>
        <w:t>k</w:t>
      </w:r>
      <w:r w:rsidR="00AA4764" w:rsidRPr="001302DE">
        <w:rPr>
          <w:lang w:val="en-GB"/>
        </w:rPr>
        <w:t xml:space="preserve">ey </w:t>
      </w:r>
      <w:r w:rsidR="00AA4764">
        <w:rPr>
          <w:lang w:val="en-GB"/>
        </w:rPr>
        <w:t>j</w:t>
      </w:r>
      <w:r w:rsidR="00AA4764" w:rsidRPr="001302DE">
        <w:rPr>
          <w:lang w:val="en-GB"/>
        </w:rPr>
        <w:t xml:space="preserve">ustice </w:t>
      </w:r>
      <w:r w:rsidR="00AA4764">
        <w:rPr>
          <w:lang w:val="en-GB"/>
        </w:rPr>
        <w:t>i</w:t>
      </w:r>
      <w:r w:rsidR="00AA4764" w:rsidRPr="001302DE">
        <w:rPr>
          <w:lang w:val="en-GB"/>
        </w:rPr>
        <w:t>nstitutions</w:t>
      </w:r>
      <w:r w:rsidR="00AA4764">
        <w:rPr>
          <w:lang w:val="en-GB"/>
        </w:rPr>
        <w:t>,</w:t>
      </w:r>
      <w:r w:rsidR="006C36B6" w:rsidRPr="001302DE">
        <w:rPr>
          <w:lang w:val="en-GB"/>
        </w:rPr>
        <w:t xml:space="preserve"> and annual </w:t>
      </w:r>
      <w:r w:rsidRPr="001302DE">
        <w:rPr>
          <w:lang w:val="en-GB"/>
        </w:rPr>
        <w:t>cost</w:t>
      </w:r>
      <w:r>
        <w:rPr>
          <w:lang w:val="en-GB"/>
        </w:rPr>
        <w:t>-</w:t>
      </w:r>
      <w:r w:rsidR="002F5A47" w:rsidRPr="001302DE">
        <w:rPr>
          <w:lang w:val="en-GB"/>
        </w:rPr>
        <w:t xml:space="preserve">effectiveness </w:t>
      </w:r>
      <w:r w:rsidR="006C36B6" w:rsidRPr="001302DE">
        <w:rPr>
          <w:lang w:val="en-GB"/>
        </w:rPr>
        <w:t xml:space="preserve">analyses of procurement of medicine and medical products </w:t>
      </w:r>
      <w:r w:rsidR="002F5A47" w:rsidRPr="001302DE">
        <w:rPr>
          <w:lang w:val="en-GB"/>
        </w:rPr>
        <w:t>(</w:t>
      </w:r>
      <w:r w:rsidR="006C36B6" w:rsidRPr="001302DE">
        <w:rPr>
          <w:lang w:val="en-GB"/>
        </w:rPr>
        <w:t>in collaboration w</w:t>
      </w:r>
      <w:r w:rsidR="00887B63" w:rsidRPr="001302DE">
        <w:rPr>
          <w:lang w:val="en-GB"/>
        </w:rPr>
        <w:t xml:space="preserve">ith </w:t>
      </w:r>
      <w:r w:rsidR="00AA4764">
        <w:rPr>
          <w:lang w:val="en-GB"/>
        </w:rPr>
        <w:t>State Statistics Service</w:t>
      </w:r>
      <w:r w:rsidR="00887B63" w:rsidRPr="001302DE">
        <w:rPr>
          <w:lang w:val="en-GB"/>
        </w:rPr>
        <w:t xml:space="preserve">, </w:t>
      </w:r>
      <w:r w:rsidR="00887B63" w:rsidRPr="001302DE">
        <w:rPr>
          <w:lang w:val="en-GB"/>
        </w:rPr>
        <w:lastRenderedPageBreak/>
        <w:t>U</w:t>
      </w:r>
      <w:r w:rsidR="00AA4764">
        <w:rPr>
          <w:lang w:val="en-GB"/>
        </w:rPr>
        <w:t xml:space="preserve">nited </w:t>
      </w:r>
      <w:r w:rsidR="00887B63" w:rsidRPr="001302DE">
        <w:rPr>
          <w:lang w:val="en-GB"/>
        </w:rPr>
        <w:t>N</w:t>
      </w:r>
      <w:r w:rsidR="00AA4764">
        <w:rPr>
          <w:lang w:val="en-GB"/>
        </w:rPr>
        <w:t>ations</w:t>
      </w:r>
      <w:r w:rsidR="00887B63" w:rsidRPr="001302DE">
        <w:rPr>
          <w:lang w:val="en-GB"/>
        </w:rPr>
        <w:t xml:space="preserve"> agencies and research </w:t>
      </w:r>
      <w:r w:rsidR="00E34280" w:rsidRPr="001302DE">
        <w:rPr>
          <w:lang w:val="en-GB"/>
        </w:rPr>
        <w:t xml:space="preserve">organizations such as </w:t>
      </w:r>
      <w:r w:rsidR="00AA4764" w:rsidRPr="001302DE">
        <w:rPr>
          <w:lang w:val="en-GB"/>
        </w:rPr>
        <w:t>K</w:t>
      </w:r>
      <w:r w:rsidR="00AA4764">
        <w:rPr>
          <w:lang w:val="en-GB"/>
        </w:rPr>
        <w:t>iev</w:t>
      </w:r>
      <w:r w:rsidR="00AA4764" w:rsidRPr="001302DE">
        <w:rPr>
          <w:lang w:val="en-GB"/>
        </w:rPr>
        <w:t xml:space="preserve"> </w:t>
      </w:r>
      <w:r w:rsidR="00E34280" w:rsidRPr="001302DE">
        <w:rPr>
          <w:lang w:val="en-GB"/>
        </w:rPr>
        <w:t>School</w:t>
      </w:r>
      <w:r w:rsidR="00887B63" w:rsidRPr="001302DE">
        <w:rPr>
          <w:lang w:val="en-GB"/>
        </w:rPr>
        <w:t xml:space="preserve"> of Economics and Institutes of the National </w:t>
      </w:r>
      <w:r w:rsidR="00E34280" w:rsidRPr="001302DE">
        <w:rPr>
          <w:lang w:val="en-GB"/>
        </w:rPr>
        <w:t>Academy</w:t>
      </w:r>
      <w:r w:rsidR="00887B63" w:rsidRPr="001302DE">
        <w:rPr>
          <w:lang w:val="en-GB"/>
        </w:rPr>
        <w:t xml:space="preserve"> of Sciences</w:t>
      </w:r>
      <w:r w:rsidR="002F5A47" w:rsidRPr="001302DE">
        <w:rPr>
          <w:lang w:val="en-GB"/>
        </w:rPr>
        <w:t>)</w:t>
      </w:r>
      <w:r w:rsidR="00887B63" w:rsidRPr="001302DE">
        <w:rPr>
          <w:lang w:val="en-GB"/>
        </w:rPr>
        <w:t xml:space="preserve">. </w:t>
      </w:r>
      <w:r w:rsidR="006C36B6" w:rsidRPr="001302DE">
        <w:rPr>
          <w:lang w:val="en-GB"/>
        </w:rPr>
        <w:t xml:space="preserve">For seven output indicators, UNDP </w:t>
      </w:r>
      <w:r w:rsidR="00350071">
        <w:rPr>
          <w:lang w:val="en-GB"/>
        </w:rPr>
        <w:t>will partner</w:t>
      </w:r>
      <w:r w:rsidR="006C36B6" w:rsidRPr="001302DE">
        <w:rPr>
          <w:lang w:val="en-GB"/>
        </w:rPr>
        <w:t xml:space="preserve"> with institutions </w:t>
      </w:r>
      <w:r w:rsidR="00E34280" w:rsidRPr="001302DE">
        <w:rPr>
          <w:lang w:val="en-GB"/>
        </w:rPr>
        <w:t xml:space="preserve">such as </w:t>
      </w:r>
      <w:r w:rsidR="00AA4764">
        <w:rPr>
          <w:lang w:val="en-GB"/>
        </w:rPr>
        <w:t>State Statistics Service</w:t>
      </w:r>
      <w:r w:rsidR="00C65991">
        <w:rPr>
          <w:lang w:val="en-GB"/>
        </w:rPr>
        <w:t xml:space="preserve"> </w:t>
      </w:r>
      <w:r w:rsidR="00E34280" w:rsidRPr="001302DE">
        <w:rPr>
          <w:lang w:val="en-GB"/>
        </w:rPr>
        <w:t xml:space="preserve">and </w:t>
      </w:r>
      <w:r w:rsidR="006C36B6" w:rsidRPr="001302DE">
        <w:rPr>
          <w:lang w:val="en-GB"/>
        </w:rPr>
        <w:t>oblast administration</w:t>
      </w:r>
      <w:r w:rsidR="00350071">
        <w:rPr>
          <w:lang w:val="en-GB"/>
        </w:rPr>
        <w:t>s</w:t>
      </w:r>
      <w:r w:rsidR="006C36B6" w:rsidRPr="001302DE">
        <w:rPr>
          <w:lang w:val="en-GB"/>
        </w:rPr>
        <w:t xml:space="preserve"> </w:t>
      </w:r>
      <w:r w:rsidR="00AA4764">
        <w:rPr>
          <w:lang w:val="en-GB"/>
        </w:rPr>
        <w:t>on</w:t>
      </w:r>
      <w:r w:rsidR="006C36B6" w:rsidRPr="001302DE">
        <w:rPr>
          <w:lang w:val="en-GB"/>
        </w:rPr>
        <w:t xml:space="preserve"> annual assessments of secondary da</w:t>
      </w:r>
      <w:r w:rsidR="00A415C0">
        <w:rPr>
          <w:lang w:val="en-GB"/>
        </w:rPr>
        <w:t>ta</w:t>
      </w:r>
      <w:r w:rsidR="00887B63" w:rsidRPr="001302DE">
        <w:rPr>
          <w:lang w:val="en-GB"/>
        </w:rPr>
        <w:t>.</w:t>
      </w:r>
      <w:r w:rsidR="002053A8" w:rsidRPr="001302DE">
        <w:rPr>
          <w:lang w:val="en-GB"/>
        </w:rPr>
        <w:t xml:space="preserve"> </w:t>
      </w:r>
    </w:p>
    <w:p w14:paraId="07B73B6B" w14:textId="2432AA55" w:rsidR="00524A44" w:rsidRPr="001302DE" w:rsidRDefault="00E826E5" w:rsidP="00A20A54">
      <w:pPr>
        <w:spacing w:after="120"/>
        <w:jc w:val="both"/>
        <w:rPr>
          <w:lang w:val="en-GB"/>
        </w:rPr>
      </w:pPr>
      <w:r>
        <w:rPr>
          <w:lang w:val="en-GB"/>
        </w:rPr>
        <w:t>29</w:t>
      </w:r>
      <w:r w:rsidR="00C261F7" w:rsidRPr="001302DE">
        <w:rPr>
          <w:lang w:val="en-GB"/>
        </w:rPr>
        <w:t xml:space="preserve">. </w:t>
      </w:r>
      <w:r w:rsidR="008604EA" w:rsidRPr="001302DE">
        <w:rPr>
          <w:lang w:val="en-GB"/>
        </w:rPr>
        <w:t xml:space="preserve">The programme builds on multiple assessments that have </w:t>
      </w:r>
      <w:r w:rsidR="00D04CCA" w:rsidRPr="001302DE">
        <w:rPr>
          <w:lang w:val="en-GB"/>
        </w:rPr>
        <w:t xml:space="preserve">identified </w:t>
      </w:r>
      <w:r w:rsidR="008604EA" w:rsidRPr="001302DE">
        <w:rPr>
          <w:lang w:val="en-GB"/>
        </w:rPr>
        <w:t>gender g</w:t>
      </w:r>
      <w:r w:rsidR="00D04CCA" w:rsidRPr="001302DE">
        <w:rPr>
          <w:lang w:val="en-GB"/>
        </w:rPr>
        <w:t xml:space="preserve">aps across the three pathways. It includes </w:t>
      </w:r>
      <w:r w:rsidR="00FE45EE" w:rsidRPr="001302DE">
        <w:rPr>
          <w:lang w:val="en-GB"/>
        </w:rPr>
        <w:t>gender-</w:t>
      </w:r>
      <w:r w:rsidR="00D04CCA" w:rsidRPr="001302DE">
        <w:rPr>
          <w:lang w:val="en-GB"/>
        </w:rPr>
        <w:t>explicit outcome</w:t>
      </w:r>
      <w:r w:rsidR="004D5D51" w:rsidRPr="001302DE">
        <w:rPr>
          <w:lang w:val="en-GB"/>
        </w:rPr>
        <w:t>s, outputs</w:t>
      </w:r>
      <w:r w:rsidR="00FE45EE" w:rsidRPr="001302DE">
        <w:rPr>
          <w:lang w:val="en-GB"/>
        </w:rPr>
        <w:t xml:space="preserve"> and</w:t>
      </w:r>
      <w:r w:rsidR="004D5D51" w:rsidRPr="001302DE">
        <w:rPr>
          <w:lang w:val="en-GB"/>
        </w:rPr>
        <w:t xml:space="preserve"> indicators in each pathway</w:t>
      </w:r>
      <w:r w:rsidR="000256E4" w:rsidRPr="001302DE">
        <w:rPr>
          <w:lang w:val="en-GB"/>
        </w:rPr>
        <w:t>; t</w:t>
      </w:r>
      <w:r w:rsidR="00C261F7" w:rsidRPr="001302DE">
        <w:rPr>
          <w:lang w:val="en-GB"/>
        </w:rPr>
        <w:t xml:space="preserve">he UNDP </w:t>
      </w:r>
      <w:r w:rsidR="00AA4764">
        <w:rPr>
          <w:lang w:val="en-GB"/>
        </w:rPr>
        <w:t>g</w:t>
      </w:r>
      <w:r w:rsidR="00AA4764" w:rsidRPr="001302DE">
        <w:rPr>
          <w:lang w:val="en-GB"/>
        </w:rPr>
        <w:t xml:space="preserve">ender </w:t>
      </w:r>
      <w:r w:rsidR="00AA4764">
        <w:rPr>
          <w:lang w:val="en-GB"/>
        </w:rPr>
        <w:t>m</w:t>
      </w:r>
      <w:r w:rsidR="00AA4764" w:rsidRPr="001302DE">
        <w:rPr>
          <w:lang w:val="en-GB"/>
        </w:rPr>
        <w:t xml:space="preserve">arker </w:t>
      </w:r>
      <w:r w:rsidR="00C261F7" w:rsidRPr="001302DE">
        <w:rPr>
          <w:lang w:val="en-GB"/>
        </w:rPr>
        <w:t xml:space="preserve">will be used to monitor </w:t>
      </w:r>
      <w:r w:rsidR="00DF31FD" w:rsidRPr="001302DE">
        <w:rPr>
          <w:lang w:val="en-GB"/>
        </w:rPr>
        <w:t xml:space="preserve">results for </w:t>
      </w:r>
      <w:r w:rsidR="00C261F7" w:rsidRPr="001302DE">
        <w:rPr>
          <w:lang w:val="en-GB"/>
        </w:rPr>
        <w:t>gender equality.</w:t>
      </w:r>
      <w:r w:rsidR="002053A8" w:rsidRPr="001302DE">
        <w:rPr>
          <w:lang w:val="en-GB"/>
        </w:rPr>
        <w:t xml:space="preserve"> </w:t>
      </w:r>
      <w:r w:rsidR="000256E4" w:rsidRPr="001302DE">
        <w:rPr>
          <w:lang w:val="en-GB"/>
        </w:rPr>
        <w:t xml:space="preserve">Marker </w:t>
      </w:r>
      <w:r w:rsidR="00EB5C64" w:rsidRPr="001302DE">
        <w:rPr>
          <w:lang w:val="en-GB"/>
        </w:rPr>
        <w:t>results will be corroborated with</w:t>
      </w:r>
      <w:r w:rsidR="00B45581" w:rsidRPr="001302DE">
        <w:rPr>
          <w:lang w:val="en-GB"/>
        </w:rPr>
        <w:t xml:space="preserve"> results </w:t>
      </w:r>
      <w:r w:rsidR="006334ED" w:rsidRPr="001302DE">
        <w:rPr>
          <w:lang w:val="en-GB"/>
        </w:rPr>
        <w:t>from</w:t>
      </w:r>
      <w:r w:rsidR="00B45581" w:rsidRPr="001302DE">
        <w:rPr>
          <w:lang w:val="en-GB"/>
        </w:rPr>
        <w:t xml:space="preserve"> </w:t>
      </w:r>
      <w:r w:rsidR="006334ED" w:rsidRPr="001302DE">
        <w:rPr>
          <w:lang w:val="en-GB"/>
        </w:rPr>
        <w:t xml:space="preserve">mandatory </w:t>
      </w:r>
      <w:r w:rsidR="00B45581" w:rsidRPr="001302DE">
        <w:rPr>
          <w:lang w:val="en-GB"/>
        </w:rPr>
        <w:t>gender analysis provided by gender experts in each programme/project</w:t>
      </w:r>
      <w:r w:rsidR="00765F42">
        <w:rPr>
          <w:lang w:val="en-GB"/>
        </w:rPr>
        <w:t xml:space="preserve">. </w:t>
      </w:r>
      <w:r w:rsidR="005B2ABD">
        <w:rPr>
          <w:lang w:val="en-GB"/>
        </w:rPr>
        <w:t>In addition, UNDP</w:t>
      </w:r>
      <w:r w:rsidR="00566415">
        <w:rPr>
          <w:lang w:val="en-GB"/>
        </w:rPr>
        <w:t xml:space="preserve"> will ensure </w:t>
      </w:r>
      <w:r w:rsidR="00AA4764">
        <w:rPr>
          <w:lang w:val="en-GB"/>
        </w:rPr>
        <w:t xml:space="preserve">that </w:t>
      </w:r>
      <w:r w:rsidR="00566415">
        <w:rPr>
          <w:lang w:val="en-GB"/>
        </w:rPr>
        <w:t>at least 15</w:t>
      </w:r>
      <w:r w:rsidR="004E1662">
        <w:rPr>
          <w:lang w:val="en-GB"/>
        </w:rPr>
        <w:t xml:space="preserve"> per cent</w:t>
      </w:r>
      <w:r w:rsidR="005B2ABD">
        <w:rPr>
          <w:lang w:val="en-GB"/>
        </w:rPr>
        <w:t xml:space="preserve"> of all resources contribute to gender equality and women’s empowerment. </w:t>
      </w:r>
    </w:p>
    <w:p w14:paraId="1B6F3624" w14:textId="77777777" w:rsidR="00524A44" w:rsidRPr="001302DE" w:rsidRDefault="00524A44" w:rsidP="00A20A54">
      <w:pPr>
        <w:pStyle w:val="Heading4"/>
        <w:keepNext w:val="0"/>
        <w:spacing w:after="120"/>
        <w:ind w:hanging="142"/>
        <w:rPr>
          <w:rFonts w:ascii="Times New Roman" w:hAnsi="Times New Roman"/>
          <w:color w:val="000000"/>
          <w:sz w:val="20"/>
          <w:lang w:val="en-GB"/>
        </w:rPr>
        <w:sectPr w:rsidR="00524A44" w:rsidRPr="001302DE" w:rsidSect="00A6674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notePr>
            <w:numRestart w:val="eachSect"/>
          </w:footnotePr>
          <w:endnotePr>
            <w:numFmt w:val="decimal"/>
            <w:numStart w:val="7"/>
          </w:endnotePr>
          <w:type w:val="continuous"/>
          <w:pgSz w:w="11906" w:h="16838" w:code="9"/>
          <w:pgMar w:top="1166" w:right="2186" w:bottom="1440" w:left="2160" w:header="576" w:footer="1037" w:gutter="0"/>
          <w:cols w:space="720"/>
          <w:noEndnote/>
          <w:titlePg/>
          <w:docGrid w:linePitch="272"/>
        </w:sectPr>
      </w:pPr>
      <w:bookmarkStart w:id="3" w:name="_y06wdeo3ybwt" w:colFirst="0" w:colLast="0"/>
      <w:bookmarkEnd w:id="3"/>
    </w:p>
    <w:p w14:paraId="147CB462" w14:textId="5656810A" w:rsidR="00765F42" w:rsidRPr="00F24742" w:rsidRDefault="007432E0" w:rsidP="00A20A54">
      <w:pPr>
        <w:spacing w:after="120"/>
        <w:ind w:hanging="142"/>
        <w:outlineLvl w:val="3"/>
        <w:rPr>
          <w:i/>
          <w:color w:val="000000"/>
          <w:lang w:val="en-GB"/>
        </w:rPr>
      </w:pPr>
      <w:r w:rsidRPr="007432E0">
        <w:rPr>
          <w:b/>
          <w:bCs/>
          <w:color w:val="000000"/>
          <w:sz w:val="24"/>
          <w:szCs w:val="24"/>
          <w:lang w:val="en-GB" w:eastAsia="fr-FR"/>
        </w:rPr>
        <w:lastRenderedPageBreak/>
        <w:t xml:space="preserve">Annex. </w:t>
      </w:r>
      <w:r w:rsidRPr="007432E0">
        <w:rPr>
          <w:b/>
          <w:bCs/>
          <w:color w:val="000000"/>
          <w:kern w:val="14"/>
          <w:sz w:val="24"/>
          <w:szCs w:val="24"/>
          <w:lang w:val="en-GB" w:eastAsia="fr-FR"/>
        </w:rPr>
        <w:t xml:space="preserve">Results and resources framework for </w:t>
      </w:r>
      <w:r>
        <w:rPr>
          <w:b/>
          <w:bCs/>
          <w:color w:val="000000"/>
          <w:kern w:val="14"/>
          <w:sz w:val="24"/>
          <w:szCs w:val="24"/>
          <w:lang w:val="en-GB" w:eastAsia="fr-FR"/>
        </w:rPr>
        <w:t>Ukraine</w:t>
      </w:r>
      <w:r w:rsidRPr="007432E0">
        <w:rPr>
          <w:b/>
          <w:bCs/>
          <w:color w:val="000000"/>
          <w:kern w:val="14"/>
          <w:sz w:val="24"/>
          <w:szCs w:val="24"/>
          <w:lang w:val="en-GB" w:eastAsia="fr-FR"/>
        </w:rPr>
        <w:t xml:space="preserve"> (2018-2022)</w:t>
      </w:r>
    </w:p>
    <w:tbl>
      <w:tblPr>
        <w:tblpPr w:leftFromText="180" w:rightFromText="180" w:vertAnchor="text" w:tblpX="-225" w:tblpY="1"/>
        <w:tblOverlap w:val="never"/>
        <w:tblW w:w="14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755"/>
      </w:tblGrid>
      <w:tr w:rsidR="00765F42" w:rsidRPr="00A854AA" w14:paraId="7A7EB989" w14:textId="77777777" w:rsidTr="00E23D77">
        <w:tc>
          <w:tcPr>
            <w:tcW w:w="1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0DB03" w14:textId="77777777" w:rsidR="00765F42" w:rsidRPr="00A854AA" w:rsidRDefault="00765F42" w:rsidP="00977C58">
            <w:pPr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NATIONAL PRIORITY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>: Responsive, efficient and accountable governance institutions are able to respond to citizens' needs and provide high-quality public services</w:t>
            </w:r>
          </w:p>
        </w:tc>
      </w:tr>
      <w:tr w:rsidR="00765F42" w:rsidRPr="00A854AA" w14:paraId="30201501" w14:textId="77777777" w:rsidTr="00E23D77">
        <w:tc>
          <w:tcPr>
            <w:tcW w:w="1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0A67E" w14:textId="46BD5618" w:rsidR="00765F42" w:rsidRPr="00A854AA" w:rsidRDefault="00765F42" w:rsidP="00E826E5">
            <w:pPr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 xml:space="preserve">RELATED NATIONALLY ADOPTED </w:t>
            </w:r>
            <w:r w:rsidR="00E826E5">
              <w:rPr>
                <w:rFonts w:eastAsia="Calibri"/>
                <w:b/>
                <w:sz w:val="18"/>
                <w:szCs w:val="18"/>
                <w:lang w:val="en-GB"/>
              </w:rPr>
              <w:t>SUSTAINABLE DEVELOPMENT GOALS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>: 5,10,16</w:t>
            </w:r>
          </w:p>
        </w:tc>
      </w:tr>
      <w:tr w:rsidR="00765F42" w:rsidRPr="00A854AA" w14:paraId="7D06E185" w14:textId="77777777" w:rsidTr="00252CC9">
        <w:trPr>
          <w:trHeight w:val="148"/>
        </w:trPr>
        <w:tc>
          <w:tcPr>
            <w:tcW w:w="1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8A0C" w14:textId="77777777" w:rsidR="00765F42" w:rsidRPr="00A854AA" w:rsidRDefault="00765F42" w:rsidP="00977C58">
            <w:pPr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UNDAF OUTCOME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>: 1.</w:t>
            </w:r>
            <w:r w:rsidR="008E5C7C" w:rsidRPr="00A854AA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346DB7" w:rsidRPr="00A854AA">
              <w:rPr>
                <w:rFonts w:eastAsia="Calibri"/>
                <w:sz w:val="18"/>
                <w:szCs w:val="18"/>
                <w:lang w:val="en-GB"/>
              </w:rPr>
              <w:t>By 2022, women and men, girls and boys participate in decision-making and enjoy human rights, gender equality, effective, transparent and non-discriminatory public services</w:t>
            </w:r>
          </w:p>
        </w:tc>
      </w:tr>
      <w:tr w:rsidR="00765F42" w:rsidRPr="00A854AA" w14:paraId="77FA32F5" w14:textId="77777777" w:rsidTr="00E23D77">
        <w:tc>
          <w:tcPr>
            <w:tcW w:w="1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B27E" w14:textId="04EE6C12" w:rsidR="00765F42" w:rsidRPr="00A854AA" w:rsidRDefault="00765F42" w:rsidP="00AA4764">
            <w:pPr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Strategic Plan</w:t>
            </w:r>
            <w:r w:rsidR="00AA4764">
              <w:rPr>
                <w:rFonts w:eastAsia="Calibri"/>
                <w:b/>
                <w:sz w:val="18"/>
                <w:szCs w:val="18"/>
                <w:lang w:val="en-GB"/>
              </w:rPr>
              <w:t>,</w:t>
            </w: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 xml:space="preserve"> 2014-2017 OUTCOME: 2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>. Citizen expectations for voice, development, the rule of law and accountability are met by stronger systems of democratic governance</w:t>
            </w:r>
          </w:p>
        </w:tc>
      </w:tr>
    </w:tbl>
    <w:tbl>
      <w:tblPr>
        <w:tblW w:w="14693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2340"/>
        <w:gridCol w:w="5490"/>
        <w:gridCol w:w="2183"/>
        <w:gridCol w:w="1800"/>
      </w:tblGrid>
      <w:tr w:rsidR="006231E6" w:rsidRPr="006231E6" w14:paraId="492E3842" w14:textId="77777777" w:rsidTr="00252CC9">
        <w:tc>
          <w:tcPr>
            <w:tcW w:w="2880" w:type="dxa"/>
            <w:shd w:val="clear" w:color="000000" w:fill="auto"/>
            <w:vAlign w:val="center"/>
            <w:hideMark/>
          </w:tcPr>
          <w:p w14:paraId="4F8DBD9C" w14:textId="77777777" w:rsidR="006231E6" w:rsidRPr="006231E6" w:rsidRDefault="006231E6" w:rsidP="006231E6">
            <w:pPr>
              <w:tabs>
                <w:tab w:val="left" w:pos="1620"/>
              </w:tabs>
              <w:contextualSpacing/>
              <w:jc w:val="center"/>
              <w:rPr>
                <w:b/>
                <w:bCs/>
                <w:color w:val="000000"/>
                <w:sz w:val="18"/>
                <w:szCs w:val="18"/>
                <w:lang w:val="en-GB" w:eastAsia="fr-FR"/>
              </w:rPr>
            </w:pPr>
            <w:r w:rsidRPr="006231E6">
              <w:rPr>
                <w:b/>
                <w:bCs/>
                <w:color w:val="000000"/>
                <w:sz w:val="18"/>
                <w:szCs w:val="18"/>
                <w:lang w:val="en-GB" w:eastAsia="fr-FR"/>
              </w:rPr>
              <w:t>UNDAF outcome indicators,</w:t>
            </w:r>
          </w:p>
          <w:p w14:paraId="0BAFDFC5" w14:textId="77777777" w:rsidR="006231E6" w:rsidRPr="006231E6" w:rsidRDefault="006231E6" w:rsidP="006231E6">
            <w:pPr>
              <w:jc w:val="center"/>
              <w:rPr>
                <w:b/>
                <w:bCs/>
                <w:sz w:val="18"/>
                <w:szCs w:val="18"/>
              </w:rPr>
            </w:pPr>
            <w:r w:rsidRPr="006231E6">
              <w:rPr>
                <w:b/>
                <w:bCs/>
                <w:color w:val="000000"/>
                <w:sz w:val="18"/>
                <w:szCs w:val="18"/>
                <w:lang w:val="en-GB" w:eastAsia="fr-FR"/>
              </w:rPr>
              <w:t>baselines and targets</w:t>
            </w:r>
          </w:p>
        </w:tc>
        <w:tc>
          <w:tcPr>
            <w:tcW w:w="2340" w:type="dxa"/>
            <w:shd w:val="clear" w:color="000000" w:fill="auto"/>
            <w:vAlign w:val="center"/>
            <w:hideMark/>
          </w:tcPr>
          <w:p w14:paraId="752830BA" w14:textId="77777777" w:rsidR="006231E6" w:rsidRPr="006231E6" w:rsidRDefault="006231E6" w:rsidP="006231E6">
            <w:pPr>
              <w:jc w:val="center"/>
              <w:rPr>
                <w:b/>
                <w:bCs/>
                <w:sz w:val="18"/>
                <w:szCs w:val="18"/>
              </w:rPr>
            </w:pPr>
            <w:r w:rsidRPr="006231E6">
              <w:rPr>
                <w:b/>
                <w:bCs/>
                <w:color w:val="000000"/>
                <w:sz w:val="18"/>
                <w:szCs w:val="18"/>
                <w:lang w:val="en-GB" w:eastAsia="fr-FR"/>
              </w:rPr>
              <w:t>Data source and frequency of data collection, and responsibilities</w:t>
            </w:r>
          </w:p>
        </w:tc>
        <w:tc>
          <w:tcPr>
            <w:tcW w:w="5490" w:type="dxa"/>
            <w:shd w:val="clear" w:color="000000" w:fill="auto"/>
            <w:vAlign w:val="center"/>
            <w:hideMark/>
          </w:tcPr>
          <w:p w14:paraId="21E23733" w14:textId="77777777" w:rsidR="006231E6" w:rsidRPr="006231E6" w:rsidRDefault="006231E6" w:rsidP="006231E6">
            <w:pPr>
              <w:jc w:val="center"/>
              <w:rPr>
                <w:b/>
                <w:bCs/>
                <w:sz w:val="18"/>
                <w:szCs w:val="18"/>
              </w:rPr>
            </w:pPr>
            <w:r w:rsidRPr="006231E6">
              <w:rPr>
                <w:b/>
                <w:bCs/>
                <w:color w:val="000000"/>
                <w:sz w:val="18"/>
                <w:szCs w:val="18"/>
                <w:lang w:val="en-GB" w:eastAsia="fr-FR"/>
              </w:rPr>
              <w:t>Indicative country programme outputs</w:t>
            </w:r>
            <w:r w:rsidRPr="006231E6">
              <w:rPr>
                <w:b/>
                <w:bCs/>
                <w:i/>
                <w:iCs/>
                <w:sz w:val="18"/>
                <w:szCs w:val="18"/>
              </w:rPr>
              <w:t xml:space="preserve"> (including indicators, baselines targets)</w:t>
            </w:r>
          </w:p>
        </w:tc>
        <w:tc>
          <w:tcPr>
            <w:tcW w:w="2183" w:type="dxa"/>
            <w:shd w:val="clear" w:color="000000" w:fill="auto"/>
            <w:vAlign w:val="center"/>
            <w:hideMark/>
          </w:tcPr>
          <w:p w14:paraId="7E6C5B18" w14:textId="77777777" w:rsidR="006231E6" w:rsidRPr="006231E6" w:rsidRDefault="006231E6" w:rsidP="006231E6">
            <w:pPr>
              <w:tabs>
                <w:tab w:val="left" w:pos="1620"/>
              </w:tabs>
              <w:contextualSpacing/>
              <w:jc w:val="center"/>
              <w:rPr>
                <w:b/>
                <w:bCs/>
                <w:color w:val="000000"/>
                <w:sz w:val="18"/>
                <w:szCs w:val="18"/>
                <w:lang w:val="en-GB" w:eastAsia="fr-FR"/>
              </w:rPr>
            </w:pPr>
            <w:r w:rsidRPr="006231E6">
              <w:rPr>
                <w:b/>
                <w:bCs/>
                <w:color w:val="000000"/>
                <w:sz w:val="18"/>
                <w:szCs w:val="18"/>
                <w:lang w:val="en-GB" w:eastAsia="fr-FR"/>
              </w:rPr>
              <w:t>Major partners/</w:t>
            </w:r>
          </w:p>
          <w:p w14:paraId="1DEF9112" w14:textId="7E6F0BD1" w:rsidR="006231E6" w:rsidRPr="006231E6" w:rsidRDefault="00BF7F36" w:rsidP="006231E6">
            <w:pPr>
              <w:jc w:val="center"/>
              <w:rPr>
                <w:b/>
                <w:bCs/>
                <w:sz w:val="18"/>
                <w:szCs w:val="18"/>
              </w:rPr>
            </w:pPr>
            <w:r w:rsidRPr="006231E6">
              <w:rPr>
                <w:b/>
                <w:bCs/>
                <w:color w:val="000000"/>
                <w:sz w:val="18"/>
                <w:szCs w:val="18"/>
                <w:lang w:val="en-GB" w:eastAsia="fr-FR"/>
              </w:rPr>
              <w:t>P</w:t>
            </w:r>
            <w:r w:rsidR="006231E6" w:rsidRPr="006231E6">
              <w:rPr>
                <w:b/>
                <w:bCs/>
                <w:color w:val="000000"/>
                <w:sz w:val="18"/>
                <w:szCs w:val="18"/>
                <w:lang w:val="en-GB" w:eastAsia="fr-FR"/>
              </w:rPr>
              <w:t>artnerships</w:t>
            </w:r>
            <w:r>
              <w:rPr>
                <w:b/>
                <w:bCs/>
                <w:color w:val="000000"/>
                <w:sz w:val="18"/>
                <w:szCs w:val="18"/>
                <w:lang w:val="en-GB" w:eastAsia="fr-FR"/>
              </w:rPr>
              <w:t xml:space="preserve"> frameworks</w:t>
            </w:r>
          </w:p>
        </w:tc>
        <w:tc>
          <w:tcPr>
            <w:tcW w:w="1800" w:type="dxa"/>
            <w:shd w:val="clear" w:color="000000" w:fill="auto"/>
            <w:vAlign w:val="center"/>
            <w:hideMark/>
          </w:tcPr>
          <w:p w14:paraId="0A9D2201" w14:textId="432382EB" w:rsidR="006231E6" w:rsidRPr="006231E6" w:rsidRDefault="006231E6" w:rsidP="00252CC9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6231E6">
              <w:rPr>
                <w:b/>
                <w:bCs/>
                <w:color w:val="000000"/>
                <w:sz w:val="18"/>
                <w:szCs w:val="18"/>
                <w:lang w:val="en-GB" w:eastAsia="fr-FR"/>
              </w:rPr>
              <w:t>Indica</w:t>
            </w:r>
            <w:r w:rsidR="00252CC9">
              <w:rPr>
                <w:b/>
                <w:bCs/>
                <w:color w:val="000000"/>
                <w:sz w:val="18"/>
                <w:szCs w:val="18"/>
                <w:lang w:val="en-GB" w:eastAsia="fr-FR"/>
              </w:rPr>
              <w:t>tive resources by outcome (in $</w:t>
            </w:r>
            <w:r w:rsidRPr="006231E6">
              <w:rPr>
                <w:b/>
                <w:bCs/>
                <w:color w:val="000000"/>
                <w:sz w:val="18"/>
                <w:szCs w:val="18"/>
                <w:lang w:val="en-GB" w:eastAsia="fr-FR"/>
              </w:rPr>
              <w:t>)</w:t>
            </w:r>
          </w:p>
        </w:tc>
      </w:tr>
    </w:tbl>
    <w:tbl>
      <w:tblPr>
        <w:tblpPr w:leftFromText="180" w:rightFromText="180" w:vertAnchor="text" w:tblpX="-225" w:tblpY="1"/>
        <w:tblOverlap w:val="never"/>
        <w:tblW w:w="14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877"/>
        <w:gridCol w:w="2410"/>
        <w:gridCol w:w="5483"/>
        <w:gridCol w:w="2200"/>
        <w:gridCol w:w="1785"/>
      </w:tblGrid>
      <w:tr w:rsidR="00765F42" w:rsidRPr="00A854AA" w14:paraId="1F0E52A8" w14:textId="77777777" w:rsidTr="00252CC9">
        <w:tc>
          <w:tcPr>
            <w:tcW w:w="2877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0D524" w14:textId="77777777" w:rsidR="00765F42" w:rsidRPr="00A854AA" w:rsidRDefault="00765F42" w:rsidP="00977C58">
            <w:pPr>
              <w:rPr>
                <w:rFonts w:eastAsia="Calibri"/>
                <w:b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1.</w:t>
            </w:r>
            <w:r w:rsidR="00977C58" w:rsidRPr="00A854AA">
              <w:rPr>
                <w:rFonts w:eastAsia="Calibri"/>
                <w:b/>
                <w:sz w:val="18"/>
                <w:szCs w:val="18"/>
                <w:lang w:val="en-GB"/>
              </w:rPr>
              <w:t>1.</w:t>
            </w: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 xml:space="preserve"> Share of population satisfied with recent use of public services, by sex </w:t>
            </w:r>
            <w:r w:rsidR="007B11DA" w:rsidRPr="00A854AA">
              <w:rPr>
                <w:rFonts w:eastAsia="Calibri"/>
                <w:b/>
                <w:sz w:val="18"/>
                <w:szCs w:val="18"/>
                <w:lang w:val="en-GB"/>
              </w:rPr>
              <w:t xml:space="preserve">and age 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>(SDG)</w:t>
            </w:r>
          </w:p>
          <w:p w14:paraId="5DED92CE" w14:textId="6E36405C" w:rsidR="00765F42" w:rsidRPr="00A854AA" w:rsidRDefault="00765F42" w:rsidP="00977C58">
            <w:pPr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Baseline (2017</w:t>
            </w:r>
            <w:r w:rsidR="00977C58" w:rsidRPr="00A854AA">
              <w:rPr>
                <w:rFonts w:eastAsia="Calibri"/>
                <w:b/>
                <w:sz w:val="18"/>
                <w:szCs w:val="18"/>
                <w:lang w:val="en-GB"/>
              </w:rPr>
              <w:t>):</w:t>
            </w:r>
            <w:r w:rsidR="00977C58" w:rsidRPr="00A854AA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5A2BCD">
              <w:rPr>
                <w:rFonts w:eastAsia="Calibri"/>
                <w:sz w:val="18"/>
                <w:szCs w:val="18"/>
                <w:lang w:val="en-GB"/>
              </w:rPr>
              <w:t xml:space="preserve"> N/A</w:t>
            </w:r>
          </w:p>
          <w:p w14:paraId="7E25C2AC" w14:textId="324FF492" w:rsidR="00765F42" w:rsidRPr="00A854AA" w:rsidRDefault="00765F42" w:rsidP="00977C58">
            <w:pPr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Target (2020):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5A2BCD">
              <w:rPr>
                <w:rFonts w:eastAsia="Calibri"/>
                <w:sz w:val="18"/>
                <w:szCs w:val="18"/>
                <w:lang w:val="en-GB"/>
              </w:rPr>
              <w:t xml:space="preserve"> 40%</w:t>
            </w:r>
          </w:p>
          <w:p w14:paraId="09AA3886" w14:textId="77777777" w:rsidR="00765F42" w:rsidRPr="00A854AA" w:rsidRDefault="00765F42" w:rsidP="00977C58">
            <w:pPr>
              <w:rPr>
                <w:rFonts w:eastAsia="Calibri"/>
                <w:b/>
                <w:sz w:val="18"/>
                <w:szCs w:val="18"/>
                <w:lang w:val="en-GB"/>
              </w:rPr>
            </w:pPr>
          </w:p>
          <w:p w14:paraId="62471FDB" w14:textId="77777777" w:rsidR="00765F42" w:rsidRPr="00A854AA" w:rsidRDefault="00977C58" w:rsidP="00977C58">
            <w:pPr>
              <w:rPr>
                <w:b/>
                <w:color w:val="FF0000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1.2</w:t>
            </w:r>
            <w:r w:rsidR="00765F42" w:rsidRPr="00A854AA">
              <w:rPr>
                <w:rFonts w:eastAsia="Calibri"/>
                <w:b/>
                <w:sz w:val="18"/>
                <w:szCs w:val="18"/>
                <w:lang w:val="en-GB"/>
              </w:rPr>
              <w:t>. Availability of legal frameworks</w:t>
            </w:r>
            <w:r w:rsidR="006227A5" w:rsidRPr="00A854AA">
              <w:rPr>
                <w:rFonts w:eastAsia="Calibri"/>
                <w:b/>
                <w:sz w:val="18"/>
                <w:szCs w:val="18"/>
                <w:lang w:val="en-GB"/>
              </w:rPr>
              <w:t xml:space="preserve"> </w:t>
            </w:r>
            <w:r w:rsidR="00765F42" w:rsidRPr="00A854AA">
              <w:rPr>
                <w:rFonts w:eastAsia="Calibri"/>
                <w:b/>
                <w:sz w:val="18"/>
                <w:szCs w:val="18"/>
                <w:lang w:val="en-GB"/>
              </w:rPr>
              <w:t>that promote, enforce a</w:t>
            </w:r>
            <w:r w:rsidR="009841A9" w:rsidRPr="00A854AA">
              <w:rPr>
                <w:rFonts w:eastAsia="Calibri"/>
                <w:b/>
                <w:sz w:val="18"/>
                <w:szCs w:val="18"/>
                <w:lang w:val="en-GB"/>
              </w:rPr>
              <w:t>nd monitor equality and non-dis</w:t>
            </w:r>
            <w:r w:rsidR="00765F42" w:rsidRPr="00A854AA">
              <w:rPr>
                <w:rFonts w:eastAsia="Calibri"/>
                <w:b/>
                <w:sz w:val="18"/>
                <w:szCs w:val="18"/>
                <w:lang w:val="en-GB"/>
              </w:rPr>
              <w:t xml:space="preserve">crimination </w:t>
            </w:r>
            <w:r w:rsidR="00765F42" w:rsidRPr="00A854AA">
              <w:rPr>
                <w:rFonts w:eastAsia="Calibri"/>
                <w:sz w:val="18"/>
                <w:szCs w:val="18"/>
                <w:lang w:val="en-GB"/>
              </w:rPr>
              <w:t>(SDG)</w:t>
            </w:r>
            <w:r w:rsidR="00765F42" w:rsidRPr="00A854AA">
              <w:rPr>
                <w:rFonts w:eastAsia="Calibri"/>
                <w:b/>
                <w:sz w:val="18"/>
                <w:szCs w:val="18"/>
                <w:lang w:val="en-GB"/>
              </w:rPr>
              <w:t xml:space="preserve"> </w:t>
            </w:r>
          </w:p>
          <w:p w14:paraId="5D9DF0B8" w14:textId="77777777" w:rsidR="00765F42" w:rsidRPr="00A854AA" w:rsidRDefault="00765F42" w:rsidP="00977C58">
            <w:pPr>
              <w:rPr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Baseline (2016):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 3 </w:t>
            </w:r>
          </w:p>
          <w:p w14:paraId="0F28ACB9" w14:textId="77777777" w:rsidR="00765F42" w:rsidRPr="00A854AA" w:rsidRDefault="00765F42" w:rsidP="00977C58">
            <w:pPr>
              <w:rPr>
                <w:rFonts w:eastAsia="Calibri"/>
                <w:b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Target (2020):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 4 </w:t>
            </w:r>
          </w:p>
          <w:p w14:paraId="2676DB92" w14:textId="77777777" w:rsidR="00765F42" w:rsidRPr="00A854AA" w:rsidRDefault="00765F42" w:rsidP="00977C58">
            <w:pPr>
              <w:rPr>
                <w:rFonts w:eastAsia="Calibri"/>
                <w:b/>
                <w:sz w:val="18"/>
                <w:szCs w:val="18"/>
                <w:lang w:val="en-GB"/>
              </w:rPr>
            </w:pPr>
          </w:p>
          <w:p w14:paraId="645F0642" w14:textId="508C3770" w:rsidR="00765F42" w:rsidRPr="00A854AA" w:rsidRDefault="00765F42" w:rsidP="00977C58">
            <w:pPr>
              <w:rPr>
                <w:rFonts w:eastAsia="Calibri"/>
                <w:b/>
                <w:color w:val="000000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1.</w:t>
            </w:r>
            <w:r w:rsidR="00755EF2">
              <w:rPr>
                <w:rFonts w:eastAsia="Calibri"/>
                <w:b/>
                <w:sz w:val="18"/>
                <w:szCs w:val="18"/>
                <w:lang w:val="en-GB"/>
              </w:rPr>
              <w:t>3</w:t>
            </w:r>
            <w:r w:rsidR="009933F1">
              <w:rPr>
                <w:rFonts w:eastAsia="Calibri"/>
                <w:b/>
                <w:sz w:val="18"/>
                <w:szCs w:val="18"/>
                <w:lang w:val="en-GB"/>
              </w:rPr>
              <w:t>.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Pr="00A854AA">
              <w:rPr>
                <w:rFonts w:eastAsia="Calibri"/>
                <w:b/>
                <w:color w:val="000000"/>
                <w:sz w:val="18"/>
                <w:szCs w:val="18"/>
                <w:lang w:val="en-GB"/>
              </w:rPr>
              <w:t xml:space="preserve">Public confidence in the courts </w:t>
            </w:r>
            <w:r w:rsidRPr="00A854AA">
              <w:rPr>
                <w:rFonts w:eastAsia="Calibri"/>
                <w:color w:val="000000"/>
                <w:sz w:val="18"/>
                <w:szCs w:val="18"/>
                <w:lang w:val="en-GB"/>
              </w:rPr>
              <w:t>(SDG)</w:t>
            </w:r>
          </w:p>
          <w:p w14:paraId="2C800033" w14:textId="43911D44" w:rsidR="00765F42" w:rsidRPr="00A854AA" w:rsidRDefault="00765F42" w:rsidP="00977C58">
            <w:pPr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Baseline (201</w:t>
            </w:r>
            <w:r w:rsidR="00755EF2">
              <w:rPr>
                <w:rFonts w:eastAsia="Calibri"/>
                <w:b/>
                <w:sz w:val="18"/>
                <w:szCs w:val="18"/>
                <w:lang w:val="en-GB"/>
              </w:rPr>
              <w:t>5</w:t>
            </w: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):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755EF2">
              <w:rPr>
                <w:rFonts w:eastAsia="Calibri"/>
                <w:sz w:val="18"/>
                <w:szCs w:val="18"/>
                <w:lang w:val="en-GB"/>
              </w:rPr>
              <w:t>5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% </w:t>
            </w:r>
          </w:p>
          <w:p w14:paraId="45945F6C" w14:textId="77777777" w:rsidR="00765F42" w:rsidRPr="00A854AA" w:rsidRDefault="00765F42" w:rsidP="00977C58">
            <w:pPr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Target (2020):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 35% </w:t>
            </w:r>
          </w:p>
          <w:p w14:paraId="681D833B" w14:textId="77777777" w:rsidR="00765F42" w:rsidRPr="00A854AA" w:rsidRDefault="00765F42" w:rsidP="00977C58">
            <w:pPr>
              <w:rPr>
                <w:rFonts w:eastAsia="Calibri"/>
                <w:sz w:val="18"/>
                <w:szCs w:val="18"/>
                <w:lang w:val="en-GB"/>
              </w:rPr>
            </w:pPr>
          </w:p>
          <w:p w14:paraId="7229BFB1" w14:textId="311C8BFA" w:rsidR="00765F42" w:rsidRPr="00A854AA" w:rsidRDefault="00917337" w:rsidP="00977C58">
            <w:pPr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1.</w:t>
            </w:r>
            <w:r w:rsidR="00755EF2">
              <w:rPr>
                <w:rFonts w:eastAsia="Calibri"/>
                <w:b/>
                <w:sz w:val="18"/>
                <w:szCs w:val="18"/>
                <w:lang w:val="en-GB"/>
              </w:rPr>
              <w:t>4</w:t>
            </w:r>
            <w:r w:rsidR="00765F42" w:rsidRPr="00A854AA">
              <w:rPr>
                <w:rFonts w:eastAsia="Calibri"/>
                <w:b/>
                <w:sz w:val="18"/>
                <w:szCs w:val="18"/>
                <w:lang w:val="en-GB"/>
              </w:rPr>
              <w:t>. Percentage of women in the Parliament</w:t>
            </w:r>
            <w:r w:rsidR="00765F42" w:rsidRPr="00A854AA">
              <w:rPr>
                <w:rFonts w:eastAsia="Calibri"/>
                <w:sz w:val="18"/>
                <w:szCs w:val="18"/>
                <w:lang w:val="en-GB"/>
              </w:rPr>
              <w:t xml:space="preserve"> (SDG, </w:t>
            </w:r>
            <w:r w:rsidR="006D6145">
              <w:rPr>
                <w:rFonts w:eastAsia="Calibri"/>
                <w:sz w:val="18"/>
                <w:szCs w:val="18"/>
                <w:lang w:val="en-GB"/>
              </w:rPr>
              <w:t xml:space="preserve">UNDP </w:t>
            </w:r>
            <w:r w:rsidR="00765F42" w:rsidRPr="00A854AA">
              <w:rPr>
                <w:rFonts w:eastAsia="Calibri"/>
                <w:sz w:val="18"/>
                <w:szCs w:val="18"/>
                <w:lang w:val="en-GB"/>
              </w:rPr>
              <w:t>Integrated Results and Resources Framework (IRRF) 2.3)</w:t>
            </w:r>
          </w:p>
          <w:p w14:paraId="46ABD80B" w14:textId="77777777" w:rsidR="00765F42" w:rsidRPr="00A854AA" w:rsidRDefault="00765F42" w:rsidP="00977C58">
            <w:pPr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Baseline (2015):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 12% </w:t>
            </w:r>
          </w:p>
          <w:p w14:paraId="498C09D1" w14:textId="77777777" w:rsidR="00765F42" w:rsidRPr="00A854AA" w:rsidRDefault="00765F42" w:rsidP="00977C58">
            <w:pPr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Target (2020):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 30%</w:t>
            </w:r>
          </w:p>
          <w:p w14:paraId="1C617F61" w14:textId="77777777" w:rsidR="00765F42" w:rsidRPr="00A854AA" w:rsidRDefault="00765F42" w:rsidP="00977C58">
            <w:pPr>
              <w:rPr>
                <w:rFonts w:eastAsia="Calibri"/>
                <w:sz w:val="18"/>
                <w:szCs w:val="18"/>
                <w:lang w:val="en-GB"/>
              </w:rPr>
            </w:pPr>
          </w:p>
          <w:p w14:paraId="636067A8" w14:textId="2F32BA3B" w:rsidR="00765F42" w:rsidRPr="00A854AA" w:rsidRDefault="00917337" w:rsidP="00977C58">
            <w:pPr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1.</w:t>
            </w:r>
            <w:r w:rsidR="00755EF2">
              <w:rPr>
                <w:rFonts w:eastAsia="Calibri"/>
                <w:b/>
                <w:sz w:val="18"/>
                <w:szCs w:val="18"/>
                <w:lang w:val="en-GB"/>
              </w:rPr>
              <w:t>5</w:t>
            </w:r>
            <w:r w:rsidR="00765F42" w:rsidRPr="00A854AA">
              <w:rPr>
                <w:rFonts w:eastAsia="Calibri"/>
                <w:b/>
                <w:sz w:val="18"/>
                <w:szCs w:val="18"/>
                <w:lang w:val="en-GB"/>
              </w:rPr>
              <w:t>.</w:t>
            </w:r>
            <w:r w:rsidR="00765F42" w:rsidRPr="00A854AA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765F42" w:rsidRPr="00A854AA">
              <w:rPr>
                <w:rFonts w:eastAsia="Calibri"/>
                <w:b/>
                <w:sz w:val="18"/>
                <w:szCs w:val="18"/>
                <w:lang w:val="en-GB"/>
              </w:rPr>
              <w:t xml:space="preserve">Corruption Perception Index score </w:t>
            </w:r>
            <w:r w:rsidR="00765F42" w:rsidRPr="00A854AA">
              <w:rPr>
                <w:rFonts w:eastAsia="Calibri"/>
                <w:sz w:val="18"/>
                <w:szCs w:val="18"/>
                <w:lang w:val="en-GB"/>
              </w:rPr>
              <w:t>(SDG)</w:t>
            </w:r>
            <w:r w:rsidR="00765F42" w:rsidRPr="00A854AA">
              <w:rPr>
                <w:rFonts w:eastAsia="Calibri"/>
                <w:b/>
                <w:sz w:val="18"/>
                <w:szCs w:val="18"/>
                <w:lang w:val="en-GB"/>
              </w:rPr>
              <w:br/>
              <w:t>Baseline (2015)</w:t>
            </w:r>
            <w:r w:rsidR="00765F42" w:rsidRPr="00A854AA">
              <w:rPr>
                <w:rFonts w:eastAsia="Calibri"/>
                <w:sz w:val="18"/>
                <w:szCs w:val="18"/>
                <w:lang w:val="en-GB"/>
              </w:rPr>
              <w:t xml:space="preserve">: 27 </w:t>
            </w:r>
          </w:p>
          <w:p w14:paraId="04757373" w14:textId="77777777" w:rsidR="00765F42" w:rsidRPr="00A854AA" w:rsidRDefault="00765F42" w:rsidP="00977C58">
            <w:pPr>
              <w:rPr>
                <w:rFonts w:eastAsia="Calibri"/>
                <w:b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lastRenderedPageBreak/>
              <w:t>Target (2020):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 40</w:t>
            </w:r>
          </w:p>
          <w:p w14:paraId="417E4137" w14:textId="77777777" w:rsidR="00977C58" w:rsidRPr="00A854AA" w:rsidRDefault="00977C58" w:rsidP="00977C58">
            <w:pPr>
              <w:rPr>
                <w:rFonts w:eastAsia="Calibri"/>
                <w:b/>
                <w:sz w:val="18"/>
                <w:szCs w:val="18"/>
                <w:lang w:val="en-GB"/>
              </w:rPr>
            </w:pPr>
          </w:p>
          <w:p w14:paraId="2398A982" w14:textId="481F3D0E" w:rsidR="00765F42" w:rsidRPr="00A854AA" w:rsidRDefault="00917337" w:rsidP="00977C58">
            <w:pPr>
              <w:rPr>
                <w:rFonts w:eastAsia="Calibri"/>
                <w:b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1.</w:t>
            </w:r>
            <w:r w:rsidR="00755EF2">
              <w:rPr>
                <w:rFonts w:eastAsia="Calibri"/>
                <w:b/>
                <w:sz w:val="18"/>
                <w:szCs w:val="18"/>
                <w:lang w:val="en-GB"/>
              </w:rPr>
              <w:t>6</w:t>
            </w:r>
            <w:r w:rsidR="00765F42" w:rsidRPr="00A854AA">
              <w:rPr>
                <w:rFonts w:eastAsia="Calibri"/>
                <w:b/>
                <w:sz w:val="18"/>
                <w:szCs w:val="18"/>
                <w:lang w:val="en-GB"/>
              </w:rPr>
              <w:t>. Share of survivors of physical or sexual violence who sought help</w:t>
            </w:r>
          </w:p>
          <w:p w14:paraId="32ABA17E" w14:textId="77777777" w:rsidR="00765F42" w:rsidRPr="00A854AA" w:rsidRDefault="00765F42" w:rsidP="00977C58">
            <w:pPr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Baseline (2014):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 32%</w:t>
            </w:r>
          </w:p>
          <w:p w14:paraId="7D5F1A43" w14:textId="77777777" w:rsidR="00765F42" w:rsidRPr="00A854AA" w:rsidRDefault="00765F42" w:rsidP="00977C58">
            <w:pPr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Target (2020):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 50%</w:t>
            </w:r>
          </w:p>
          <w:p w14:paraId="447F8516" w14:textId="77777777" w:rsidR="00765F42" w:rsidRPr="00A854AA" w:rsidRDefault="00765F42" w:rsidP="00977C5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1637F" w14:textId="77777777" w:rsidR="00765F42" w:rsidRPr="00A854AA" w:rsidRDefault="00765F42" w:rsidP="00977C58">
            <w:pPr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lastRenderedPageBreak/>
              <w:t>Source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: UNDP survey </w:t>
            </w:r>
          </w:p>
          <w:p w14:paraId="7AF2FC6A" w14:textId="77777777" w:rsidR="00765F42" w:rsidRPr="00A854AA" w:rsidRDefault="00765F42" w:rsidP="00977C58">
            <w:pPr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Frequency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>: biennial</w:t>
            </w:r>
          </w:p>
          <w:p w14:paraId="56CA6352" w14:textId="77777777" w:rsidR="00765F42" w:rsidRPr="00A854AA" w:rsidRDefault="00765F42" w:rsidP="00977C58">
            <w:pPr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Responsible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>: UNDP, UNICEF</w:t>
            </w:r>
          </w:p>
          <w:p w14:paraId="2D512186" w14:textId="77777777" w:rsidR="00765F42" w:rsidRPr="00A854AA" w:rsidRDefault="00765F42" w:rsidP="00977C58">
            <w:pPr>
              <w:rPr>
                <w:rFonts w:eastAsia="Calibri"/>
                <w:sz w:val="18"/>
                <w:szCs w:val="18"/>
                <w:lang w:val="en-GB"/>
              </w:rPr>
            </w:pPr>
          </w:p>
          <w:p w14:paraId="1C7FD844" w14:textId="77777777" w:rsidR="00765F42" w:rsidRPr="00A854AA" w:rsidRDefault="00765F42" w:rsidP="00977C58">
            <w:pPr>
              <w:rPr>
                <w:rFonts w:eastAsia="Calibri"/>
                <w:sz w:val="18"/>
                <w:szCs w:val="18"/>
                <w:lang w:val="en-GB"/>
              </w:rPr>
            </w:pPr>
          </w:p>
          <w:p w14:paraId="602DE372" w14:textId="77777777" w:rsidR="00765F42" w:rsidRPr="00A854AA" w:rsidRDefault="00765F42" w:rsidP="00977C58">
            <w:pPr>
              <w:rPr>
                <w:rFonts w:eastAsia="Calibri"/>
                <w:color w:val="FF0000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Source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>: Parliament</w:t>
            </w:r>
          </w:p>
          <w:p w14:paraId="5B7B802D" w14:textId="49B498A6" w:rsidR="00765F42" w:rsidRPr="00A854AA" w:rsidRDefault="00765F42" w:rsidP="00977C58">
            <w:pPr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Frequency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>: annual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br/>
            </w: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Responsible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: </w:t>
            </w:r>
            <w:r w:rsidR="00AA4764" w:rsidRPr="00A854AA">
              <w:rPr>
                <w:rFonts w:eastAsia="Calibri"/>
                <w:sz w:val="18"/>
                <w:szCs w:val="18"/>
                <w:lang w:val="en-GB"/>
              </w:rPr>
              <w:t>UN</w:t>
            </w:r>
            <w:r w:rsidR="00AA4764">
              <w:rPr>
                <w:rFonts w:eastAsia="Calibri"/>
                <w:sz w:val="18"/>
                <w:szCs w:val="18"/>
                <w:lang w:val="en-GB"/>
              </w:rPr>
              <w:t>-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>Women, ILO</w:t>
            </w:r>
          </w:p>
          <w:p w14:paraId="2BF1308A" w14:textId="77777777" w:rsidR="00765F42" w:rsidRPr="00A854AA" w:rsidRDefault="00765F42" w:rsidP="00977C58">
            <w:pPr>
              <w:rPr>
                <w:rFonts w:eastAsia="Calibri"/>
                <w:sz w:val="18"/>
                <w:szCs w:val="18"/>
                <w:lang w:val="en-GB"/>
              </w:rPr>
            </w:pPr>
          </w:p>
          <w:p w14:paraId="5EDFF114" w14:textId="77777777" w:rsidR="00765F42" w:rsidRPr="00A854AA" w:rsidRDefault="00765F42" w:rsidP="00977C58">
            <w:pPr>
              <w:rPr>
                <w:rFonts w:eastAsia="Calibri"/>
                <w:sz w:val="18"/>
                <w:szCs w:val="18"/>
                <w:lang w:val="en-GB"/>
              </w:rPr>
            </w:pPr>
          </w:p>
          <w:p w14:paraId="50306907" w14:textId="77777777" w:rsidR="009841A9" w:rsidRPr="00A854AA" w:rsidRDefault="009841A9" w:rsidP="00977C58">
            <w:pPr>
              <w:rPr>
                <w:rFonts w:eastAsia="Calibri"/>
                <w:sz w:val="18"/>
                <w:szCs w:val="18"/>
                <w:lang w:val="en-GB"/>
              </w:rPr>
            </w:pPr>
          </w:p>
          <w:p w14:paraId="5D3A240D" w14:textId="689CC10A" w:rsidR="00765F42" w:rsidRPr="00A854AA" w:rsidRDefault="00765F42" w:rsidP="00977C58">
            <w:pPr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Source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>: Democratic Initiatives Foundation  survey</w:t>
            </w:r>
          </w:p>
          <w:p w14:paraId="1A85EA61" w14:textId="77777777" w:rsidR="00765F42" w:rsidRPr="00A854AA" w:rsidRDefault="00765F42" w:rsidP="00977C58">
            <w:pPr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Frequency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: annual </w:t>
            </w:r>
          </w:p>
          <w:p w14:paraId="1E7D550C" w14:textId="77777777" w:rsidR="00765F42" w:rsidRPr="00A854AA" w:rsidRDefault="00765F42" w:rsidP="00977C58">
            <w:pPr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Responsible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>: UNDP</w:t>
            </w:r>
          </w:p>
          <w:p w14:paraId="49345D9D" w14:textId="77777777" w:rsidR="00765F42" w:rsidRPr="00A854AA" w:rsidRDefault="00765F42" w:rsidP="00977C58">
            <w:pPr>
              <w:rPr>
                <w:rFonts w:eastAsia="Calibri"/>
                <w:sz w:val="18"/>
                <w:szCs w:val="18"/>
                <w:lang w:val="en-GB"/>
              </w:rPr>
            </w:pPr>
          </w:p>
          <w:p w14:paraId="78F828F9" w14:textId="60A6932B" w:rsidR="00765F42" w:rsidRPr="00A854AA" w:rsidRDefault="00765F42" w:rsidP="00977C58">
            <w:pPr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Source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: Inter-Parliamentary Union </w:t>
            </w:r>
            <w:r w:rsidR="001F425B"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1F425B" w:rsidRPr="00A854AA">
              <w:rPr>
                <w:rFonts w:eastAsia="Calibri"/>
                <w:sz w:val="18"/>
                <w:szCs w:val="18"/>
                <w:lang w:val="en-GB"/>
              </w:rPr>
              <w:t>atabase</w:t>
            </w:r>
          </w:p>
          <w:p w14:paraId="6348C999" w14:textId="77777777" w:rsidR="00765F42" w:rsidRPr="00A854AA" w:rsidRDefault="00765F42" w:rsidP="00977C58">
            <w:pPr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Frequency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: annual </w:t>
            </w:r>
          </w:p>
          <w:p w14:paraId="4081FEC8" w14:textId="77777777" w:rsidR="0027443B" w:rsidRDefault="00765F42" w:rsidP="00977C58">
            <w:pPr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Responsible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: UNDP, </w:t>
            </w:r>
          </w:p>
          <w:p w14:paraId="7A6AD735" w14:textId="02505C56" w:rsidR="00765F42" w:rsidRPr="00A854AA" w:rsidRDefault="0027443B" w:rsidP="00977C58">
            <w:pPr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sz w:val="18"/>
                <w:szCs w:val="18"/>
                <w:lang w:val="en-GB"/>
              </w:rPr>
              <w:t>UN</w:t>
            </w:r>
            <w:r>
              <w:rPr>
                <w:rFonts w:eastAsia="Calibri"/>
                <w:sz w:val="18"/>
                <w:szCs w:val="18"/>
                <w:lang w:val="en-GB"/>
              </w:rPr>
              <w:t>-</w:t>
            </w:r>
            <w:r w:rsidR="00765F42" w:rsidRPr="00A854AA">
              <w:rPr>
                <w:rFonts w:eastAsia="Calibri"/>
                <w:sz w:val="18"/>
                <w:szCs w:val="18"/>
                <w:lang w:val="en-GB"/>
              </w:rPr>
              <w:t>Women</w:t>
            </w:r>
          </w:p>
          <w:p w14:paraId="6FCF0A48" w14:textId="77777777" w:rsidR="00765F42" w:rsidRDefault="00765F42" w:rsidP="00977C58">
            <w:pPr>
              <w:rPr>
                <w:rFonts w:eastAsia="Calibri"/>
                <w:sz w:val="18"/>
                <w:szCs w:val="18"/>
                <w:lang w:val="en-GB"/>
              </w:rPr>
            </w:pPr>
          </w:p>
          <w:p w14:paraId="48447C64" w14:textId="77777777" w:rsidR="0063692E" w:rsidRPr="00A854AA" w:rsidRDefault="0063692E" w:rsidP="00977C58">
            <w:pPr>
              <w:rPr>
                <w:rFonts w:eastAsia="Calibri"/>
                <w:sz w:val="18"/>
                <w:szCs w:val="18"/>
                <w:lang w:val="en-GB"/>
              </w:rPr>
            </w:pPr>
          </w:p>
          <w:p w14:paraId="74CA5A13" w14:textId="77777777" w:rsidR="00765F42" w:rsidRPr="00A854AA" w:rsidRDefault="00765F42" w:rsidP="00977C58">
            <w:pPr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Source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>: Transparency International</w:t>
            </w:r>
          </w:p>
          <w:p w14:paraId="11EE76BA" w14:textId="77777777" w:rsidR="00765F42" w:rsidRPr="00A854AA" w:rsidRDefault="00765F42" w:rsidP="00977C58">
            <w:pPr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Frequency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>: annual</w:t>
            </w:r>
          </w:p>
          <w:p w14:paraId="044D7FBC" w14:textId="5FF306D6" w:rsidR="00765F42" w:rsidRPr="00A854AA" w:rsidRDefault="00765F42" w:rsidP="00977C58">
            <w:pPr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lastRenderedPageBreak/>
              <w:t>Responsible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: UNDP, </w:t>
            </w:r>
            <w:r w:rsidR="0027443B">
              <w:rPr>
                <w:rFonts w:eastAsia="Calibri"/>
                <w:sz w:val="18"/>
                <w:szCs w:val="18"/>
                <w:lang w:val="en-GB"/>
              </w:rPr>
              <w:t>UNODC</w:t>
            </w:r>
          </w:p>
          <w:p w14:paraId="64F53DDD" w14:textId="77777777" w:rsidR="00765F42" w:rsidRPr="00A854AA" w:rsidRDefault="00765F42" w:rsidP="00977C58">
            <w:pPr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Source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: UNFPA survey </w:t>
            </w:r>
          </w:p>
          <w:p w14:paraId="2F533894" w14:textId="77777777" w:rsidR="00765F42" w:rsidRPr="00A854AA" w:rsidRDefault="00765F42" w:rsidP="00977C58">
            <w:pPr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Frequency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: every five years </w:t>
            </w:r>
          </w:p>
          <w:p w14:paraId="19F30E55" w14:textId="77777777" w:rsidR="0027443B" w:rsidRDefault="00765F42" w:rsidP="00977C58">
            <w:pPr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Responsible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: UNFPA, </w:t>
            </w:r>
          </w:p>
          <w:p w14:paraId="26AE51D2" w14:textId="095A3769" w:rsidR="00765F42" w:rsidRPr="00A854AA" w:rsidRDefault="0027443B" w:rsidP="00977C58">
            <w:pPr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sz w:val="18"/>
                <w:szCs w:val="18"/>
                <w:lang w:val="en-GB"/>
              </w:rPr>
              <w:t>UN</w:t>
            </w:r>
            <w:r>
              <w:rPr>
                <w:rFonts w:eastAsia="Calibri"/>
                <w:sz w:val="18"/>
                <w:szCs w:val="18"/>
                <w:lang w:val="en-GB"/>
              </w:rPr>
              <w:t>-</w:t>
            </w:r>
            <w:r w:rsidR="00765F42" w:rsidRPr="00A854AA">
              <w:rPr>
                <w:rFonts w:eastAsia="Calibri"/>
                <w:sz w:val="18"/>
                <w:szCs w:val="18"/>
                <w:lang w:val="en-GB"/>
              </w:rPr>
              <w:t>Women</w:t>
            </w:r>
          </w:p>
          <w:p w14:paraId="0885A6C8" w14:textId="77777777" w:rsidR="00765F42" w:rsidRPr="00A854AA" w:rsidRDefault="00765F42" w:rsidP="00977C58">
            <w:pPr>
              <w:rPr>
                <w:rFonts w:eastAsia="Calibri"/>
                <w:sz w:val="18"/>
                <w:szCs w:val="18"/>
                <w:lang w:val="en-GB"/>
              </w:rPr>
            </w:pPr>
          </w:p>
          <w:p w14:paraId="0A5BF0B2" w14:textId="77777777" w:rsidR="00765F42" w:rsidRPr="00A854AA" w:rsidRDefault="00765F42" w:rsidP="00977C58">
            <w:pPr>
              <w:rPr>
                <w:rFonts w:eastAsia="Calibri"/>
                <w:sz w:val="18"/>
                <w:szCs w:val="18"/>
                <w:lang w:val="en-GB"/>
              </w:rPr>
            </w:pPr>
          </w:p>
          <w:p w14:paraId="042D8C53" w14:textId="77777777" w:rsidR="00765F42" w:rsidRPr="00A854AA" w:rsidRDefault="00765F42" w:rsidP="00977C5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5483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CED58" w14:textId="7168C018" w:rsidR="00765F42" w:rsidRPr="00A854AA" w:rsidRDefault="00765F42" w:rsidP="00977C58">
            <w:pPr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lastRenderedPageBreak/>
              <w:t xml:space="preserve">Output 1.1. 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Regional and local authorities have </w:t>
            </w:r>
            <w:r w:rsidR="001F425B" w:rsidRPr="00A854AA">
              <w:rPr>
                <w:rFonts w:eastAsia="Calibri"/>
                <w:sz w:val="18"/>
                <w:szCs w:val="18"/>
                <w:lang w:val="en-GB"/>
              </w:rPr>
              <w:t>scaled</w:t>
            </w:r>
            <w:r w:rsidR="001F425B">
              <w:rPr>
                <w:rFonts w:eastAsia="Calibri"/>
                <w:sz w:val="18"/>
                <w:szCs w:val="18"/>
                <w:lang w:val="en-GB"/>
              </w:rPr>
              <w:t>-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>up knowledge and skills to engage communities in planning, coordination, delivery and monitoring of public services provision</w:t>
            </w:r>
          </w:p>
          <w:p w14:paraId="07DA34B8" w14:textId="77777777" w:rsidR="00765F42" w:rsidRPr="00A854AA" w:rsidRDefault="00765F42" w:rsidP="00977C58">
            <w:pPr>
              <w:rPr>
                <w:rFonts w:eastAsia="Calibri"/>
                <w:b/>
                <w:sz w:val="18"/>
                <w:szCs w:val="18"/>
                <w:lang w:val="en-GB"/>
              </w:rPr>
            </w:pPr>
          </w:p>
          <w:p w14:paraId="592531F6" w14:textId="0CFF8CC7" w:rsidR="00765F42" w:rsidRPr="00A854AA" w:rsidRDefault="00765F42" w:rsidP="00801C9A">
            <w:pPr>
              <w:ind w:left="23"/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 xml:space="preserve">Indicator 1.1.1: 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Share of people with improved access to health and social services, provided with UNDP support </w:t>
            </w:r>
          </w:p>
          <w:p w14:paraId="02FA9046" w14:textId="77777777" w:rsidR="00765F42" w:rsidRPr="00A854AA" w:rsidRDefault="00765F42" w:rsidP="00801C9A">
            <w:pPr>
              <w:ind w:left="23"/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Baseline (2016):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 0%</w:t>
            </w:r>
          </w:p>
          <w:p w14:paraId="617D821A" w14:textId="77777777" w:rsidR="00765F42" w:rsidRPr="00A854AA" w:rsidRDefault="00765F42" w:rsidP="00801C9A">
            <w:pPr>
              <w:ind w:left="23"/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Target (2022):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 20% (women), 20% (men); 20% (vulnerable groups)</w:t>
            </w:r>
          </w:p>
          <w:p w14:paraId="26F513E3" w14:textId="268BBCA5" w:rsidR="00765F42" w:rsidRPr="00A854AA" w:rsidRDefault="00765F42" w:rsidP="00801C9A">
            <w:pPr>
              <w:ind w:left="23"/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Source: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2766CA">
              <w:rPr>
                <w:rFonts w:eastAsia="Calibri"/>
                <w:sz w:val="18"/>
                <w:szCs w:val="18"/>
                <w:lang w:val="en-GB"/>
              </w:rPr>
              <w:t>A</w:t>
            </w:r>
            <w:r w:rsidR="009841A9" w:rsidRPr="00A854AA">
              <w:rPr>
                <w:rFonts w:eastAsia="Calibri"/>
                <w:sz w:val="18"/>
                <w:szCs w:val="18"/>
                <w:lang w:val="en-GB"/>
              </w:rPr>
              <w:t>nnual reports</w:t>
            </w:r>
            <w:r w:rsidR="002766CA">
              <w:rPr>
                <w:rFonts w:eastAsia="Calibri"/>
                <w:sz w:val="18"/>
                <w:szCs w:val="18"/>
                <w:lang w:val="en-GB"/>
              </w:rPr>
              <w:t xml:space="preserve"> of Ministries of Health and of Social Policy</w:t>
            </w:r>
          </w:p>
          <w:p w14:paraId="2308C049" w14:textId="77777777" w:rsidR="00765F42" w:rsidRPr="00A854AA" w:rsidRDefault="00765F42" w:rsidP="00801C9A">
            <w:pPr>
              <w:ind w:left="23"/>
              <w:rPr>
                <w:rFonts w:eastAsia="Calibri"/>
                <w:b/>
                <w:sz w:val="18"/>
                <w:szCs w:val="18"/>
                <w:lang w:val="en-GB"/>
              </w:rPr>
            </w:pPr>
          </w:p>
          <w:p w14:paraId="21C57BAD" w14:textId="77777777" w:rsidR="00765F42" w:rsidRPr="00A854AA" w:rsidRDefault="00765F42" w:rsidP="00801C9A">
            <w:pPr>
              <w:ind w:left="23"/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 xml:space="preserve">Indicator 1.1.2: 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>Number of people with scaled-up access to administrative services with UNDP support</w:t>
            </w:r>
          </w:p>
          <w:p w14:paraId="30265671" w14:textId="77777777" w:rsidR="00765F42" w:rsidRPr="00A854AA" w:rsidRDefault="00765F42" w:rsidP="00801C9A">
            <w:pPr>
              <w:ind w:left="23"/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Baseline (2016):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 13,496 (men), 14,621 (women)</w:t>
            </w:r>
          </w:p>
          <w:p w14:paraId="49CF088A" w14:textId="77777777" w:rsidR="00765F42" w:rsidRPr="00A854AA" w:rsidRDefault="00765F42" w:rsidP="00801C9A">
            <w:pPr>
              <w:ind w:left="23"/>
              <w:rPr>
                <w:rFonts w:eastAsia="Calibri"/>
                <w:color w:val="FF0000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Target (2022):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 23,500 (men), 26,500 (women) </w:t>
            </w:r>
          </w:p>
          <w:p w14:paraId="268767A8" w14:textId="06E311A0" w:rsidR="00765F42" w:rsidRPr="00A854AA" w:rsidRDefault="00765F42" w:rsidP="00801C9A">
            <w:pPr>
              <w:ind w:left="23"/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Source: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E826E5" w:rsidRPr="00E826E5">
              <w:rPr>
                <w:lang w:val="en-GB"/>
              </w:rPr>
              <w:t xml:space="preserve"> </w:t>
            </w:r>
            <w:r w:rsidR="00E826E5" w:rsidRPr="00E826E5">
              <w:rPr>
                <w:rFonts w:eastAsia="Calibri"/>
                <w:sz w:val="18"/>
                <w:szCs w:val="18"/>
                <w:lang w:val="en-GB"/>
              </w:rPr>
              <w:t xml:space="preserve">Community-Based Approach  to Local Development programme 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 database</w:t>
            </w:r>
          </w:p>
          <w:p w14:paraId="33A0637C" w14:textId="77777777" w:rsidR="00765F42" w:rsidRPr="00A854AA" w:rsidRDefault="00765F42" w:rsidP="00977C58">
            <w:pPr>
              <w:rPr>
                <w:rFonts w:eastAsia="Calibri"/>
                <w:b/>
                <w:sz w:val="18"/>
                <w:szCs w:val="18"/>
                <w:lang w:val="en-GB"/>
              </w:rPr>
            </w:pPr>
          </w:p>
          <w:p w14:paraId="2B156284" w14:textId="77777777" w:rsidR="00765F42" w:rsidRPr="00A854AA" w:rsidRDefault="00765F42" w:rsidP="00977C58">
            <w:pPr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 xml:space="preserve">Output 1.2. 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National institutions, systems, laws and policies advance the equitable realization of human rights, especially among vulnerable groups </w:t>
            </w:r>
          </w:p>
          <w:p w14:paraId="6E712CF4" w14:textId="77777777" w:rsidR="00765F42" w:rsidRPr="00A854AA" w:rsidRDefault="00765F42" w:rsidP="00977C58">
            <w:pPr>
              <w:rPr>
                <w:sz w:val="18"/>
                <w:szCs w:val="18"/>
                <w:lang w:val="en-GB"/>
              </w:rPr>
            </w:pPr>
          </w:p>
          <w:p w14:paraId="06D68607" w14:textId="77777777" w:rsidR="00765F42" w:rsidRPr="00A854AA" w:rsidRDefault="00765F42" w:rsidP="00801C9A">
            <w:pPr>
              <w:ind w:left="23"/>
              <w:rPr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 xml:space="preserve">Indicator 1.2.1: 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Number of new policies and institutional reforms targeting the most vulnerable groups, including persons with disabilities </w:t>
            </w:r>
            <w:r w:rsidRPr="00A854AA">
              <w:rPr>
                <w:rFonts w:eastAsia="Calibri"/>
                <w:sz w:val="18"/>
                <w:szCs w:val="18"/>
                <w:shd w:val="clear" w:color="auto" w:fill="FFFFFF"/>
                <w:lang w:val="en-GB"/>
              </w:rPr>
              <w:t>[IRRF 1.2.1]</w:t>
            </w:r>
          </w:p>
          <w:p w14:paraId="6EE077E8" w14:textId="77777777" w:rsidR="00765F42" w:rsidRPr="00A854AA" w:rsidRDefault="00765F42" w:rsidP="00801C9A">
            <w:pPr>
              <w:ind w:left="23"/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Baseline (2016):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 0</w:t>
            </w:r>
          </w:p>
          <w:p w14:paraId="3464F66B" w14:textId="77777777" w:rsidR="00765F42" w:rsidRPr="00A854AA" w:rsidRDefault="00765F42" w:rsidP="00801C9A">
            <w:pPr>
              <w:ind w:left="23"/>
              <w:rPr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Target (2022):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 7</w:t>
            </w:r>
          </w:p>
          <w:p w14:paraId="204E3985" w14:textId="77777777" w:rsidR="00765F42" w:rsidRPr="00A854AA" w:rsidRDefault="00765F42" w:rsidP="00801C9A">
            <w:pPr>
              <w:ind w:left="23"/>
              <w:rPr>
                <w:rFonts w:eastAsia="Calibri"/>
                <w:color w:val="000000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color w:val="000000"/>
                <w:sz w:val="18"/>
                <w:szCs w:val="18"/>
                <w:lang w:val="en-GB"/>
              </w:rPr>
              <w:t>Source:</w:t>
            </w:r>
            <w:r w:rsidR="009841A9" w:rsidRPr="00A854AA">
              <w:rPr>
                <w:rFonts w:eastAsia="Calibri"/>
                <w:color w:val="000000"/>
                <w:sz w:val="18"/>
                <w:szCs w:val="18"/>
                <w:lang w:val="en-GB"/>
              </w:rPr>
              <w:t xml:space="preserve"> CSOs/l</w:t>
            </w:r>
            <w:r w:rsidRPr="00A854AA">
              <w:rPr>
                <w:rFonts w:eastAsia="Calibri"/>
                <w:color w:val="000000"/>
                <w:sz w:val="18"/>
                <w:szCs w:val="18"/>
                <w:lang w:val="en-GB"/>
              </w:rPr>
              <w:t>ine ministry reports</w:t>
            </w:r>
          </w:p>
          <w:p w14:paraId="74016434" w14:textId="77777777" w:rsidR="00765F42" w:rsidRPr="00A854AA" w:rsidRDefault="00765F42" w:rsidP="00801C9A">
            <w:pPr>
              <w:ind w:left="23"/>
              <w:rPr>
                <w:rFonts w:eastAsia="Calibri"/>
                <w:color w:val="000000"/>
                <w:sz w:val="18"/>
                <w:szCs w:val="18"/>
                <w:lang w:val="en-GB"/>
              </w:rPr>
            </w:pPr>
          </w:p>
          <w:p w14:paraId="746E0444" w14:textId="793F6537" w:rsidR="00765F42" w:rsidRPr="00A854AA" w:rsidRDefault="00765F42" w:rsidP="00801C9A">
            <w:pPr>
              <w:ind w:left="23"/>
              <w:rPr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lastRenderedPageBreak/>
              <w:t xml:space="preserve">Indicator 1.2.2: </w:t>
            </w:r>
            <w:r w:rsidR="004C0086" w:rsidRPr="00A854AA">
              <w:rPr>
                <w:rFonts w:eastAsia="Calibri"/>
                <w:sz w:val="18"/>
                <w:szCs w:val="18"/>
                <w:lang w:val="en-GB"/>
              </w:rPr>
              <w:t>Share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 of 2017 </w:t>
            </w:r>
            <w:r w:rsidR="002766CA">
              <w:rPr>
                <w:rFonts w:eastAsia="Calibri"/>
                <w:sz w:val="18"/>
                <w:szCs w:val="18"/>
                <w:lang w:val="en-GB"/>
              </w:rPr>
              <w:t xml:space="preserve">universal periodic review 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 recommendations implemented </w:t>
            </w:r>
          </w:p>
          <w:p w14:paraId="3BA69BC4" w14:textId="77777777" w:rsidR="00765F42" w:rsidRPr="00A854AA" w:rsidRDefault="00765F42" w:rsidP="00801C9A">
            <w:pPr>
              <w:ind w:left="23"/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Baseline (2017):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 0%</w:t>
            </w:r>
          </w:p>
          <w:p w14:paraId="01B279CF" w14:textId="101AF1E2" w:rsidR="00765F42" w:rsidRPr="00A854AA" w:rsidRDefault="00765F42" w:rsidP="00801C9A">
            <w:pPr>
              <w:ind w:left="23"/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Target (2022):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Pr="00A854AA">
              <w:rPr>
                <w:sz w:val="18"/>
                <w:szCs w:val="18"/>
                <w:lang w:val="en-GB"/>
              </w:rPr>
              <w:t>pending recommendations of 2017</w:t>
            </w:r>
            <w:r w:rsidR="001F425B">
              <w:rPr>
                <w:sz w:val="18"/>
                <w:szCs w:val="18"/>
                <w:lang w:val="en-GB"/>
              </w:rPr>
              <w:t xml:space="preserve"> universal periodic review</w:t>
            </w:r>
          </w:p>
          <w:p w14:paraId="36F7B83E" w14:textId="3E8ACFB6" w:rsidR="00765F42" w:rsidRPr="00A854AA" w:rsidRDefault="00765F42" w:rsidP="00801C9A">
            <w:pPr>
              <w:ind w:left="23"/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Source: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 Ombudsperson </w:t>
            </w:r>
            <w:r w:rsidR="001F425B">
              <w:rPr>
                <w:rFonts w:eastAsia="Calibri"/>
                <w:sz w:val="18"/>
                <w:szCs w:val="18"/>
                <w:lang w:val="en-GB"/>
              </w:rPr>
              <w:t>a</w:t>
            </w:r>
            <w:r w:rsidR="001F425B" w:rsidRPr="00A854AA">
              <w:rPr>
                <w:rFonts w:eastAsia="Calibri"/>
                <w:sz w:val="18"/>
                <w:szCs w:val="18"/>
                <w:lang w:val="en-GB"/>
              </w:rPr>
              <w:t xml:space="preserve">nnual </w:t>
            </w:r>
            <w:r w:rsidR="001F425B">
              <w:rPr>
                <w:rFonts w:eastAsia="Calibri"/>
                <w:sz w:val="18"/>
                <w:szCs w:val="18"/>
                <w:lang w:val="en-GB"/>
              </w:rPr>
              <w:t>r</w:t>
            </w:r>
            <w:r w:rsidR="001F425B" w:rsidRPr="00A854AA">
              <w:rPr>
                <w:rFonts w:eastAsia="Calibri"/>
                <w:sz w:val="18"/>
                <w:szCs w:val="18"/>
                <w:lang w:val="en-GB"/>
              </w:rPr>
              <w:t xml:space="preserve">eports </w:t>
            </w:r>
          </w:p>
          <w:p w14:paraId="5863E549" w14:textId="77777777" w:rsidR="00765F42" w:rsidRPr="00A854AA" w:rsidRDefault="00765F42" w:rsidP="00801C9A">
            <w:pPr>
              <w:ind w:left="23"/>
              <w:rPr>
                <w:rFonts w:eastAsia="Calibri"/>
                <w:sz w:val="18"/>
                <w:szCs w:val="18"/>
                <w:lang w:val="en-GB"/>
              </w:rPr>
            </w:pPr>
          </w:p>
          <w:p w14:paraId="0B600C4C" w14:textId="77777777" w:rsidR="00765F42" w:rsidRPr="00A854AA" w:rsidRDefault="00765F42" w:rsidP="00801C9A">
            <w:pPr>
              <w:ind w:left="23"/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 xml:space="preserve">Indicator 1.2.3: 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>Number of cases addressed by the Ombudsperson (per 10,000 population)</w:t>
            </w:r>
          </w:p>
          <w:p w14:paraId="7EC46CDD" w14:textId="77777777" w:rsidR="00765F42" w:rsidRPr="00A854AA" w:rsidRDefault="00765F42" w:rsidP="00801C9A">
            <w:pPr>
              <w:ind w:left="23"/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Baseline (2016):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 5.3</w:t>
            </w:r>
          </w:p>
          <w:p w14:paraId="50914F66" w14:textId="77777777" w:rsidR="00765F42" w:rsidRPr="00A854AA" w:rsidRDefault="00765F42" w:rsidP="00801C9A">
            <w:pPr>
              <w:ind w:left="23"/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Target (2022):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 8</w:t>
            </w:r>
          </w:p>
          <w:p w14:paraId="719FD24B" w14:textId="3AE12774" w:rsidR="00765F42" w:rsidRPr="00A854AA" w:rsidRDefault="00765F42" w:rsidP="00801C9A">
            <w:pPr>
              <w:ind w:left="23"/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Source: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 Ombudsperson </w:t>
            </w:r>
            <w:r w:rsidR="0027443B">
              <w:rPr>
                <w:rFonts w:eastAsia="Calibri"/>
                <w:sz w:val="18"/>
                <w:szCs w:val="18"/>
                <w:lang w:val="en-GB"/>
              </w:rPr>
              <w:t>a</w:t>
            </w:r>
            <w:r w:rsidR="0027443B" w:rsidRPr="00A854AA">
              <w:rPr>
                <w:rFonts w:eastAsia="Calibri"/>
                <w:sz w:val="18"/>
                <w:szCs w:val="18"/>
                <w:lang w:val="en-GB"/>
              </w:rPr>
              <w:t xml:space="preserve">nnual </w:t>
            </w:r>
            <w:r w:rsidR="0027443B">
              <w:rPr>
                <w:rFonts w:eastAsia="Calibri"/>
                <w:sz w:val="18"/>
                <w:szCs w:val="18"/>
                <w:lang w:val="en-GB"/>
              </w:rPr>
              <w:t>r</w:t>
            </w:r>
            <w:r w:rsidR="0027443B" w:rsidRPr="00A854AA">
              <w:rPr>
                <w:rFonts w:eastAsia="Calibri"/>
                <w:sz w:val="18"/>
                <w:szCs w:val="18"/>
                <w:lang w:val="en-GB"/>
              </w:rPr>
              <w:t>eports</w:t>
            </w:r>
          </w:p>
          <w:p w14:paraId="1B538A13" w14:textId="77777777" w:rsidR="00765F42" w:rsidRPr="00A854AA" w:rsidRDefault="00765F42" w:rsidP="00977C58">
            <w:pPr>
              <w:ind w:left="331"/>
              <w:rPr>
                <w:rFonts w:eastAsia="Calibri"/>
                <w:sz w:val="18"/>
                <w:szCs w:val="18"/>
                <w:lang w:val="en-GB"/>
              </w:rPr>
            </w:pPr>
          </w:p>
          <w:p w14:paraId="6EE4B412" w14:textId="77777777" w:rsidR="00765F42" w:rsidRPr="00A854AA" w:rsidRDefault="00765F42" w:rsidP="00977C58">
            <w:pPr>
              <w:rPr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 xml:space="preserve">Output 1.3. 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Civil society is more engaged in national development processes </w:t>
            </w:r>
          </w:p>
          <w:p w14:paraId="56DD0715" w14:textId="77777777" w:rsidR="00765F42" w:rsidRPr="00A854AA" w:rsidRDefault="00765F42" w:rsidP="00977C58">
            <w:pPr>
              <w:ind w:left="331"/>
              <w:rPr>
                <w:rFonts w:eastAsia="Calibri"/>
                <w:b/>
                <w:sz w:val="18"/>
                <w:szCs w:val="18"/>
                <w:lang w:val="en-GB"/>
              </w:rPr>
            </w:pPr>
          </w:p>
          <w:p w14:paraId="786583DF" w14:textId="77777777" w:rsidR="00765F42" w:rsidRPr="00A854AA" w:rsidRDefault="00765F42" w:rsidP="00801C9A">
            <w:pPr>
              <w:ind w:left="23"/>
              <w:rPr>
                <w:b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 xml:space="preserve">Indicator 1.3.1: 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>Number of new policies and strategies developed and operationalized with active CSO</w:t>
            </w: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 xml:space="preserve"> 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participation </w:t>
            </w:r>
          </w:p>
          <w:p w14:paraId="6980FAA5" w14:textId="77777777" w:rsidR="00765F42" w:rsidRPr="00A854AA" w:rsidRDefault="00765F42" w:rsidP="00801C9A">
            <w:pPr>
              <w:ind w:left="23"/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Baseline (2016):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 0</w:t>
            </w:r>
          </w:p>
          <w:p w14:paraId="141C76DE" w14:textId="77777777" w:rsidR="00765F42" w:rsidRPr="00A854AA" w:rsidRDefault="00765F42" w:rsidP="00801C9A">
            <w:pPr>
              <w:ind w:left="23"/>
              <w:rPr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Target (2022):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 10</w:t>
            </w:r>
          </w:p>
          <w:p w14:paraId="2308DDD8" w14:textId="77777777" w:rsidR="00765F42" w:rsidRPr="00A854AA" w:rsidRDefault="00765F42" w:rsidP="00801C9A">
            <w:pPr>
              <w:ind w:left="23"/>
              <w:rPr>
                <w:rFonts w:eastAsia="Calibri"/>
                <w:color w:val="000000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Source: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Pr="00A854AA">
              <w:rPr>
                <w:rFonts w:eastAsia="Calibri"/>
                <w:color w:val="000000"/>
                <w:sz w:val="18"/>
                <w:szCs w:val="18"/>
                <w:lang w:val="en-GB"/>
              </w:rPr>
              <w:t>CSOs/line ministry reports</w:t>
            </w:r>
          </w:p>
          <w:p w14:paraId="26336DFA" w14:textId="77777777" w:rsidR="00765F42" w:rsidRPr="00A854AA" w:rsidRDefault="00765F42" w:rsidP="00801C9A">
            <w:pPr>
              <w:ind w:left="23"/>
              <w:rPr>
                <w:rFonts w:eastAsia="Calibri"/>
                <w:color w:val="000000"/>
                <w:sz w:val="18"/>
                <w:szCs w:val="18"/>
                <w:lang w:val="en-GB"/>
              </w:rPr>
            </w:pPr>
          </w:p>
          <w:p w14:paraId="1E0EE6BD" w14:textId="77777777" w:rsidR="00765F42" w:rsidRPr="00A854AA" w:rsidRDefault="00765F42" w:rsidP="00801C9A">
            <w:pPr>
              <w:ind w:left="23"/>
              <w:rPr>
                <w:rFonts w:eastAsia="Calibri"/>
                <w:b/>
                <w:color w:val="000000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color w:val="000000"/>
                <w:sz w:val="18"/>
                <w:szCs w:val="18"/>
                <w:lang w:val="en-GB"/>
              </w:rPr>
              <w:t xml:space="preserve">Indicator 1.3.2: </w:t>
            </w:r>
            <w:r w:rsidRPr="00A854AA">
              <w:rPr>
                <w:rFonts w:eastAsia="Calibri"/>
                <w:color w:val="000000"/>
                <w:sz w:val="18"/>
                <w:szCs w:val="18"/>
                <w:lang w:val="en-GB"/>
              </w:rPr>
              <w:t>Number of CSO hubs with strategies and funding to scale up civic engagement</w:t>
            </w:r>
          </w:p>
          <w:p w14:paraId="3CB6AF1C" w14:textId="77777777" w:rsidR="00765F42" w:rsidRPr="00A854AA" w:rsidRDefault="00765F42" w:rsidP="00801C9A">
            <w:pPr>
              <w:ind w:left="23"/>
              <w:rPr>
                <w:rFonts w:eastAsia="Calibri"/>
                <w:color w:val="000000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color w:val="000000"/>
                <w:sz w:val="18"/>
                <w:szCs w:val="18"/>
                <w:lang w:val="en-GB"/>
              </w:rPr>
              <w:t>Baseline (2016):</w:t>
            </w:r>
            <w:r w:rsidRPr="00A854AA">
              <w:rPr>
                <w:rFonts w:eastAsia="Calibri"/>
                <w:color w:val="000000"/>
                <w:sz w:val="18"/>
                <w:szCs w:val="18"/>
                <w:lang w:val="en-GB"/>
              </w:rPr>
              <w:t xml:space="preserve"> 6</w:t>
            </w:r>
          </w:p>
          <w:p w14:paraId="4768A5D4" w14:textId="77777777" w:rsidR="00765F42" w:rsidRPr="00A854AA" w:rsidRDefault="00765F42" w:rsidP="00801C9A">
            <w:pPr>
              <w:ind w:left="23"/>
              <w:rPr>
                <w:rFonts w:eastAsia="Calibri"/>
                <w:color w:val="000000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color w:val="000000"/>
                <w:sz w:val="18"/>
                <w:szCs w:val="18"/>
                <w:lang w:val="en-GB"/>
              </w:rPr>
              <w:t>Target (2022):</w:t>
            </w:r>
            <w:r w:rsidRPr="00A854AA">
              <w:rPr>
                <w:rFonts w:eastAsia="Calibri"/>
                <w:color w:val="000000"/>
                <w:sz w:val="18"/>
                <w:szCs w:val="18"/>
                <w:lang w:val="en-GB"/>
              </w:rPr>
              <w:t xml:space="preserve"> 15</w:t>
            </w:r>
          </w:p>
          <w:p w14:paraId="14AE9BFF" w14:textId="77777777" w:rsidR="00765F42" w:rsidRPr="00A854AA" w:rsidRDefault="00765F42" w:rsidP="00801C9A">
            <w:pPr>
              <w:ind w:left="23"/>
              <w:rPr>
                <w:rFonts w:eastAsia="Calibri"/>
                <w:color w:val="000000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color w:val="000000"/>
                <w:sz w:val="18"/>
                <w:szCs w:val="18"/>
                <w:lang w:val="en-GB"/>
              </w:rPr>
              <w:t>Source:</w:t>
            </w:r>
            <w:r w:rsidRPr="00A854AA">
              <w:rPr>
                <w:rFonts w:eastAsia="Calibri"/>
                <w:color w:val="000000"/>
                <w:sz w:val="18"/>
                <w:szCs w:val="18"/>
                <w:lang w:val="en-GB"/>
              </w:rPr>
              <w:t xml:space="preserve"> CSO reports</w:t>
            </w:r>
          </w:p>
          <w:p w14:paraId="09A34149" w14:textId="77777777" w:rsidR="00765F42" w:rsidRPr="00A854AA" w:rsidRDefault="00765F42" w:rsidP="00801C9A">
            <w:pPr>
              <w:ind w:left="23"/>
              <w:rPr>
                <w:sz w:val="18"/>
                <w:szCs w:val="18"/>
                <w:lang w:val="en-GB"/>
              </w:rPr>
            </w:pPr>
          </w:p>
          <w:p w14:paraId="570C311C" w14:textId="77777777" w:rsidR="00765F42" w:rsidRPr="00A854AA" w:rsidRDefault="00765F42" w:rsidP="00977C58">
            <w:pPr>
              <w:rPr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 xml:space="preserve">Output 1.4. 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>Rule of law institutions have capacities and functions to effectively fulfil their mandates</w:t>
            </w:r>
          </w:p>
          <w:p w14:paraId="09C4E3BB" w14:textId="77777777" w:rsidR="00765F42" w:rsidRPr="00A854AA" w:rsidRDefault="00765F42" w:rsidP="00977C58">
            <w:pPr>
              <w:ind w:left="331"/>
              <w:rPr>
                <w:rFonts w:eastAsia="Calibri"/>
                <w:b/>
                <w:sz w:val="18"/>
                <w:szCs w:val="18"/>
                <w:lang w:val="en-GB"/>
              </w:rPr>
            </w:pPr>
          </w:p>
          <w:p w14:paraId="61612744" w14:textId="77777777" w:rsidR="00765F42" w:rsidRPr="00A854AA" w:rsidRDefault="00765F42" w:rsidP="00801C9A">
            <w:pPr>
              <w:rPr>
                <w:color w:val="FF0000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Indicator 1.4.1: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 Share of people who trust justice institutions supported by UNDP</w:t>
            </w: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 xml:space="preserve"> </w:t>
            </w:r>
          </w:p>
          <w:p w14:paraId="672C4D98" w14:textId="77777777" w:rsidR="00765F42" w:rsidRPr="00A854AA" w:rsidRDefault="00765F42" w:rsidP="00801C9A">
            <w:pPr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Baseline (2016):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 23.5%</w:t>
            </w:r>
          </w:p>
          <w:p w14:paraId="29A99DA8" w14:textId="77777777" w:rsidR="00765F42" w:rsidRPr="00A854AA" w:rsidRDefault="00765F42" w:rsidP="00801C9A">
            <w:pPr>
              <w:rPr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Target (2022):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 33%</w:t>
            </w:r>
          </w:p>
          <w:p w14:paraId="6B11FCE9" w14:textId="6E4F50DB" w:rsidR="00765F42" w:rsidRPr="00A854AA" w:rsidRDefault="00765F42" w:rsidP="00801C9A">
            <w:pPr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Source: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1F425B" w:rsidRPr="00A854AA">
              <w:rPr>
                <w:rFonts w:eastAsia="Calibri"/>
                <w:sz w:val="18"/>
                <w:szCs w:val="18"/>
                <w:lang w:val="en-GB"/>
              </w:rPr>
              <w:t xml:space="preserve"> Democratic Initiatives Foundation 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 survey</w:t>
            </w:r>
          </w:p>
          <w:p w14:paraId="2C207068" w14:textId="77777777" w:rsidR="00765F42" w:rsidRPr="00A854AA" w:rsidRDefault="00765F42" w:rsidP="00801C9A">
            <w:pPr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</w:p>
          <w:p w14:paraId="7384FFB3" w14:textId="77777777" w:rsidR="00765F42" w:rsidRPr="00A854AA" w:rsidRDefault="00765F42" w:rsidP="00801C9A">
            <w:pPr>
              <w:rPr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Indicator</w:t>
            </w:r>
            <w:r w:rsidRPr="00A854AA">
              <w:rPr>
                <w:b/>
                <w:sz w:val="18"/>
                <w:szCs w:val="18"/>
                <w:lang w:val="en-GB"/>
              </w:rPr>
              <w:t xml:space="preserve"> 1.4.2: </w:t>
            </w:r>
            <w:r w:rsidRPr="00A854AA">
              <w:rPr>
                <w:sz w:val="18"/>
                <w:szCs w:val="18"/>
                <w:lang w:val="en-GB"/>
              </w:rPr>
              <w:t xml:space="preserve">Extent to which the Parliament has improved its 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>administrative</w:t>
            </w:r>
            <w:r w:rsidRPr="00A854AA">
              <w:rPr>
                <w:sz w:val="18"/>
                <w:szCs w:val="18"/>
                <w:lang w:val="en-GB"/>
              </w:rPr>
              <w:t xml:space="preserve"> 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>and</w:t>
            </w:r>
            <w:r w:rsidRPr="00A854AA">
              <w:rPr>
                <w:sz w:val="18"/>
                <w:szCs w:val="18"/>
                <w:lang w:val="en-GB"/>
              </w:rPr>
              <w:t xml:space="preserve"> human resource capacities required to discharge its </w:t>
            </w:r>
            <w:r w:rsidRPr="00A854AA">
              <w:rPr>
                <w:sz w:val="18"/>
                <w:szCs w:val="18"/>
                <w:lang w:val="en-GB"/>
              </w:rPr>
              <w:lastRenderedPageBreak/>
              <w:t xml:space="preserve">mandates in relation to law-making, oversight and representation </w:t>
            </w:r>
            <w:r w:rsidRPr="00A854AA">
              <w:rPr>
                <w:rFonts w:eastAsia="Calibri"/>
                <w:sz w:val="18"/>
                <w:szCs w:val="18"/>
                <w:shd w:val="clear" w:color="auto" w:fill="FFFFFF"/>
                <w:lang w:val="en-GB"/>
              </w:rPr>
              <w:t>[IRRF 2.1.1.A]</w:t>
            </w:r>
            <w:r w:rsidRPr="00A854AA">
              <w:rPr>
                <w:b/>
                <w:sz w:val="18"/>
                <w:szCs w:val="18"/>
                <w:vertAlign w:val="superscript"/>
                <w:lang w:val="en-GB"/>
              </w:rPr>
              <w:footnoteReference w:id="31"/>
            </w:r>
          </w:p>
          <w:p w14:paraId="50525F87" w14:textId="77777777" w:rsidR="00765F42" w:rsidRPr="00A854AA" w:rsidRDefault="00765F42" w:rsidP="00801C9A">
            <w:pPr>
              <w:rPr>
                <w:sz w:val="18"/>
                <w:szCs w:val="18"/>
                <w:lang w:val="en-GB"/>
              </w:rPr>
            </w:pPr>
            <w:r w:rsidRPr="00A854AA">
              <w:rPr>
                <w:b/>
                <w:sz w:val="18"/>
                <w:szCs w:val="18"/>
                <w:lang w:val="en-GB"/>
              </w:rPr>
              <w:t>Baseline (2016):</w:t>
            </w:r>
            <w:r w:rsidRPr="00A854AA">
              <w:rPr>
                <w:sz w:val="18"/>
                <w:szCs w:val="18"/>
                <w:lang w:val="en-GB"/>
              </w:rPr>
              <w:t xml:space="preserve"> 2 </w:t>
            </w:r>
          </w:p>
          <w:p w14:paraId="03278E4C" w14:textId="77777777" w:rsidR="00765F42" w:rsidRPr="00A854AA" w:rsidRDefault="00765F42" w:rsidP="00801C9A">
            <w:pPr>
              <w:rPr>
                <w:sz w:val="18"/>
                <w:szCs w:val="18"/>
                <w:lang w:val="en-GB"/>
              </w:rPr>
            </w:pPr>
            <w:r w:rsidRPr="00A854AA">
              <w:rPr>
                <w:b/>
                <w:sz w:val="18"/>
                <w:szCs w:val="18"/>
                <w:lang w:val="en-GB"/>
              </w:rPr>
              <w:t>Target (2022):</w:t>
            </w:r>
            <w:r w:rsidRPr="00A854AA">
              <w:rPr>
                <w:sz w:val="18"/>
                <w:szCs w:val="18"/>
                <w:lang w:val="en-GB"/>
              </w:rPr>
              <w:t xml:space="preserve"> 4</w:t>
            </w:r>
          </w:p>
          <w:p w14:paraId="1F8A9B54" w14:textId="77777777" w:rsidR="00765F42" w:rsidRPr="00A854AA" w:rsidRDefault="00765F42" w:rsidP="00801C9A">
            <w:pPr>
              <w:rPr>
                <w:sz w:val="18"/>
                <w:szCs w:val="18"/>
                <w:lang w:val="en-GB"/>
              </w:rPr>
            </w:pPr>
            <w:r w:rsidRPr="00A854AA">
              <w:rPr>
                <w:b/>
                <w:sz w:val="18"/>
                <w:szCs w:val="18"/>
                <w:lang w:val="en-GB"/>
              </w:rPr>
              <w:t>Source:</w:t>
            </w:r>
            <w:r w:rsidRPr="00A854AA">
              <w:rPr>
                <w:sz w:val="18"/>
                <w:szCs w:val="18"/>
                <w:lang w:val="en-GB"/>
              </w:rPr>
              <w:t xml:space="preserve"> Annual assessment of UNDP based on administrative records of the Parliament </w:t>
            </w:r>
          </w:p>
          <w:p w14:paraId="2375B552" w14:textId="77777777" w:rsidR="00765F42" w:rsidRPr="00A854AA" w:rsidRDefault="00765F42" w:rsidP="00801C9A">
            <w:pPr>
              <w:rPr>
                <w:sz w:val="18"/>
                <w:szCs w:val="18"/>
                <w:lang w:val="en-GB"/>
              </w:rPr>
            </w:pPr>
          </w:p>
          <w:p w14:paraId="75B9C00F" w14:textId="77777777" w:rsidR="00765F42" w:rsidRPr="00A854AA" w:rsidRDefault="00765F42" w:rsidP="00801C9A">
            <w:pPr>
              <w:rPr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 xml:space="preserve">Indicator 1.4.3: 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Share of public officials declaring assets in open </w:t>
            </w:r>
            <w:r w:rsidR="00917337" w:rsidRPr="00A854AA">
              <w:rPr>
                <w:rFonts w:eastAsia="Calibri"/>
                <w:sz w:val="18"/>
                <w:szCs w:val="18"/>
                <w:lang w:val="en-GB"/>
              </w:rPr>
              <w:t>registry annually</w:t>
            </w:r>
          </w:p>
          <w:p w14:paraId="720A0545" w14:textId="77777777" w:rsidR="00765F42" w:rsidRPr="00A854AA" w:rsidRDefault="00765F42" w:rsidP="00801C9A">
            <w:pPr>
              <w:shd w:val="clear" w:color="auto" w:fill="FFFFFF"/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Baseline (2016):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 17.5%</w:t>
            </w:r>
          </w:p>
          <w:p w14:paraId="057911CB" w14:textId="77777777" w:rsidR="00765F42" w:rsidRPr="00A854AA" w:rsidRDefault="00765F42" w:rsidP="00801C9A">
            <w:pPr>
              <w:shd w:val="clear" w:color="auto" w:fill="FFFFFF"/>
              <w:rPr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Target (2022):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 95%</w:t>
            </w:r>
          </w:p>
          <w:p w14:paraId="10AC579D" w14:textId="62AB9096" w:rsidR="00765F42" w:rsidRPr="00A854AA" w:rsidRDefault="00765F42" w:rsidP="00801C9A">
            <w:pPr>
              <w:rPr>
                <w:rFonts w:eastAsia="Calibri"/>
                <w:color w:val="000000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Source</w:t>
            </w:r>
            <w:r w:rsidRPr="00A854AA">
              <w:rPr>
                <w:rFonts w:eastAsia="Calibri"/>
                <w:b/>
                <w:color w:val="000000"/>
                <w:sz w:val="18"/>
                <w:szCs w:val="18"/>
                <w:lang w:val="en-GB"/>
              </w:rPr>
              <w:t>: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27443B" w:rsidRPr="002766CA">
              <w:rPr>
                <w:rFonts w:eastAsia="Calibri"/>
                <w:sz w:val="18"/>
                <w:szCs w:val="18"/>
                <w:lang w:val="en-GB"/>
              </w:rPr>
              <w:t xml:space="preserve"> National Agency for Corruption Prevention</w:t>
            </w:r>
            <w:r w:rsidR="0027443B" w:rsidRPr="00A854AA" w:rsidDel="0027443B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 reports</w:t>
            </w:r>
            <w:r w:rsidRPr="00A854AA">
              <w:rPr>
                <w:rFonts w:eastAsia="Calibri"/>
                <w:color w:val="000000"/>
                <w:sz w:val="18"/>
                <w:szCs w:val="18"/>
                <w:lang w:val="en-GB"/>
              </w:rPr>
              <w:t xml:space="preserve"> </w:t>
            </w:r>
          </w:p>
          <w:p w14:paraId="3EA9E4B9" w14:textId="77777777" w:rsidR="00765F42" w:rsidRPr="00A854AA" w:rsidRDefault="00765F42" w:rsidP="00801C9A">
            <w:pPr>
              <w:rPr>
                <w:rFonts w:eastAsia="Calibri"/>
                <w:b/>
                <w:sz w:val="18"/>
                <w:szCs w:val="18"/>
                <w:lang w:val="en-GB"/>
              </w:rPr>
            </w:pPr>
          </w:p>
          <w:p w14:paraId="16B85A03" w14:textId="77777777" w:rsidR="00765F42" w:rsidRPr="00A854AA" w:rsidRDefault="00765F42" w:rsidP="00977C58">
            <w:pPr>
              <w:rPr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 xml:space="preserve">Output 1.5. 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>Measures scaled up and implemented to prevent and respond to domestic and gender-based violence</w:t>
            </w: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 xml:space="preserve"> </w:t>
            </w:r>
          </w:p>
          <w:p w14:paraId="3961DF89" w14:textId="77777777" w:rsidR="00765F42" w:rsidRPr="00A854AA" w:rsidRDefault="00765F42" w:rsidP="00977C58">
            <w:pPr>
              <w:ind w:left="331"/>
              <w:rPr>
                <w:rFonts w:eastAsia="Calibri"/>
                <w:b/>
                <w:sz w:val="18"/>
                <w:szCs w:val="18"/>
                <w:lang w:val="en-GB"/>
              </w:rPr>
            </w:pPr>
          </w:p>
          <w:p w14:paraId="7AC95851" w14:textId="77777777" w:rsidR="00765F42" w:rsidRPr="00A854AA" w:rsidRDefault="00765F42" w:rsidP="00801C9A">
            <w:pPr>
              <w:rPr>
                <w:rFonts w:eastAsia="Calibri"/>
                <w:b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Indicator 1.5.1: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 Number of victims of domestic and gender-based violence provided with scaled-up legal and security services, provided with UNDP support</w:t>
            </w:r>
          </w:p>
          <w:p w14:paraId="194E1B8E" w14:textId="77777777" w:rsidR="00765F42" w:rsidRPr="00A854AA" w:rsidRDefault="00765F42" w:rsidP="00801C9A">
            <w:pPr>
              <w:rPr>
                <w:rFonts w:eastAsia="Calibri"/>
                <w:color w:val="FF0000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Baseline (2016):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 0</w:t>
            </w:r>
          </w:p>
          <w:p w14:paraId="6483E170" w14:textId="77777777" w:rsidR="00765F42" w:rsidRPr="00A854AA" w:rsidRDefault="00765F42" w:rsidP="00801C9A">
            <w:pPr>
              <w:rPr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Target (2022):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 5,000</w:t>
            </w:r>
          </w:p>
          <w:p w14:paraId="053D1154" w14:textId="72449DEE" w:rsidR="00765F42" w:rsidRPr="00A854AA" w:rsidRDefault="00765F42" w:rsidP="00801C9A">
            <w:pPr>
              <w:jc w:val="both"/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sz w:val="18"/>
                <w:szCs w:val="18"/>
                <w:lang w:val="en-GB"/>
              </w:rPr>
              <w:t>Source: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 MSP reports</w:t>
            </w:r>
          </w:p>
        </w:tc>
        <w:tc>
          <w:tcPr>
            <w:tcW w:w="220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74059DE" w14:textId="6BF36078" w:rsidR="002766CA" w:rsidRDefault="00765F42" w:rsidP="00977C58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  <w:r w:rsidRPr="002766CA">
              <w:rPr>
                <w:rFonts w:eastAsia="Calibri"/>
                <w:sz w:val="18"/>
                <w:szCs w:val="18"/>
                <w:lang w:val="en-GB"/>
              </w:rPr>
              <w:lastRenderedPageBreak/>
              <w:t xml:space="preserve">Cabinet of Ministries, Ministries of </w:t>
            </w:r>
            <w:r w:rsidR="00977C58" w:rsidRPr="002766CA">
              <w:rPr>
                <w:rFonts w:eastAsia="Calibri"/>
                <w:sz w:val="18"/>
                <w:szCs w:val="18"/>
                <w:lang w:val="en-GB"/>
              </w:rPr>
              <w:t xml:space="preserve">Interior, </w:t>
            </w:r>
            <w:r w:rsidR="00AA4764" w:rsidRPr="002766CA">
              <w:rPr>
                <w:rFonts w:eastAsia="Calibri"/>
                <w:sz w:val="18"/>
                <w:szCs w:val="18"/>
                <w:lang w:val="en-GB"/>
              </w:rPr>
              <w:t xml:space="preserve">of </w:t>
            </w:r>
            <w:r w:rsidRPr="002766CA">
              <w:rPr>
                <w:rFonts w:eastAsia="Calibri"/>
                <w:sz w:val="18"/>
                <w:szCs w:val="18"/>
                <w:lang w:val="en-GB"/>
              </w:rPr>
              <w:t xml:space="preserve">Justice, </w:t>
            </w:r>
            <w:r w:rsidR="00AA4764" w:rsidRPr="002766CA">
              <w:rPr>
                <w:rFonts w:eastAsia="Calibri"/>
                <w:sz w:val="18"/>
                <w:szCs w:val="18"/>
                <w:lang w:val="en-GB"/>
              </w:rPr>
              <w:t xml:space="preserve">of </w:t>
            </w:r>
            <w:r w:rsidRPr="002766CA">
              <w:rPr>
                <w:rFonts w:eastAsia="Calibri"/>
                <w:sz w:val="18"/>
                <w:szCs w:val="18"/>
                <w:lang w:val="en-GB"/>
              </w:rPr>
              <w:t xml:space="preserve">Education, </w:t>
            </w:r>
            <w:r w:rsidR="00AA4764" w:rsidRPr="002766CA">
              <w:rPr>
                <w:rFonts w:eastAsia="Calibri"/>
                <w:sz w:val="18"/>
                <w:szCs w:val="18"/>
                <w:lang w:val="en-GB"/>
              </w:rPr>
              <w:t>of Health</w:t>
            </w:r>
            <w:r w:rsidR="00977C58" w:rsidRPr="002766CA">
              <w:rPr>
                <w:rFonts w:eastAsia="Calibri"/>
                <w:sz w:val="18"/>
                <w:szCs w:val="18"/>
                <w:lang w:val="en-GB"/>
              </w:rPr>
              <w:t>,</w:t>
            </w:r>
            <w:r w:rsidRPr="002766CA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AA4764" w:rsidRPr="002766CA">
              <w:rPr>
                <w:rFonts w:eastAsia="Calibri"/>
                <w:sz w:val="18"/>
                <w:szCs w:val="18"/>
                <w:lang w:val="en-GB"/>
              </w:rPr>
              <w:t>of Social Policy and of  Temporarily Occupied Territories and IDPs;</w:t>
            </w:r>
            <w:r w:rsidRPr="002766CA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</w:p>
          <w:p w14:paraId="12CE6D2E" w14:textId="4BEC0CF0" w:rsidR="00765F42" w:rsidRPr="002766CA" w:rsidRDefault="00765F42" w:rsidP="00977C58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  <w:r w:rsidRPr="002766CA">
              <w:rPr>
                <w:rFonts w:eastAsia="Calibri"/>
                <w:sz w:val="18"/>
                <w:szCs w:val="18"/>
                <w:lang w:val="en-GB"/>
              </w:rPr>
              <w:t>National Agency for Corruption Prevention, National Anti-Corruption Bureau, Ombudsperson</w:t>
            </w:r>
            <w:r w:rsidR="00E826E5">
              <w:rPr>
                <w:rFonts w:eastAsia="Calibri"/>
                <w:sz w:val="18"/>
                <w:szCs w:val="18"/>
                <w:lang w:val="en-GB"/>
              </w:rPr>
              <w:t>'s</w:t>
            </w:r>
            <w:r w:rsidRPr="002766CA">
              <w:rPr>
                <w:rFonts w:eastAsia="Calibri"/>
                <w:sz w:val="18"/>
                <w:szCs w:val="18"/>
                <w:lang w:val="en-GB"/>
              </w:rPr>
              <w:t xml:space="preserve"> Office, Parliament, </w:t>
            </w:r>
            <w:r w:rsidR="00AA4764" w:rsidRPr="002766CA">
              <w:rPr>
                <w:rFonts w:eastAsia="Calibri"/>
                <w:sz w:val="18"/>
                <w:szCs w:val="18"/>
                <w:lang w:val="en-GB"/>
              </w:rPr>
              <w:t>State Statistics Service</w:t>
            </w:r>
          </w:p>
          <w:p w14:paraId="143F30E4" w14:textId="77777777" w:rsidR="00765F42" w:rsidRPr="00A854AA" w:rsidRDefault="00765F42" w:rsidP="00977C58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  </w:t>
            </w:r>
          </w:p>
          <w:p w14:paraId="7DB123CD" w14:textId="77777777" w:rsidR="0027443B" w:rsidRDefault="0027443B" w:rsidP="00977C58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CSOs</w:t>
            </w:r>
          </w:p>
          <w:p w14:paraId="72318CC6" w14:textId="335209DE" w:rsidR="0027443B" w:rsidRDefault="0027443B" w:rsidP="00AA4764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</w:p>
          <w:p w14:paraId="79AF32AB" w14:textId="77777777" w:rsidR="00765F42" w:rsidRDefault="00765F42" w:rsidP="0027443B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sz w:val="18"/>
                <w:szCs w:val="18"/>
                <w:lang w:val="en-GB"/>
              </w:rPr>
              <w:t>ILO</w:t>
            </w:r>
            <w:r w:rsidRPr="00A854AA" w:rsidDel="009B1C82">
              <w:rPr>
                <w:rFonts w:eastAsia="Calibri"/>
                <w:sz w:val="18"/>
                <w:szCs w:val="18"/>
                <w:lang w:val="en-GB"/>
              </w:rPr>
              <w:t>,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AA4764" w:rsidRPr="00A854AA">
              <w:rPr>
                <w:rFonts w:eastAsia="Calibri"/>
                <w:sz w:val="18"/>
                <w:szCs w:val="18"/>
                <w:lang w:val="en-GB"/>
              </w:rPr>
              <w:t>UN</w:t>
            </w:r>
            <w:r w:rsidR="00AA4764">
              <w:rPr>
                <w:rFonts w:eastAsia="Calibri"/>
                <w:sz w:val="18"/>
                <w:szCs w:val="18"/>
                <w:lang w:val="en-GB"/>
              </w:rPr>
              <w:t>-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>Women, UNFPA</w:t>
            </w:r>
            <w:r w:rsidRPr="00A854AA" w:rsidDel="009B1C82">
              <w:rPr>
                <w:rFonts w:eastAsia="Calibri"/>
                <w:sz w:val="18"/>
                <w:szCs w:val="18"/>
                <w:lang w:val="en-GB"/>
              </w:rPr>
              <w:t>,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 UNHCR</w:t>
            </w:r>
            <w:r w:rsidRPr="00A854AA" w:rsidDel="009B1C82">
              <w:rPr>
                <w:rFonts w:eastAsia="Calibri"/>
                <w:sz w:val="18"/>
                <w:szCs w:val="18"/>
                <w:lang w:val="en-GB"/>
              </w:rPr>
              <w:t>,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 UNICEF</w:t>
            </w:r>
            <w:r w:rsidRPr="00A854AA" w:rsidDel="009B1C82">
              <w:rPr>
                <w:rFonts w:eastAsia="Calibri"/>
                <w:sz w:val="18"/>
                <w:szCs w:val="18"/>
                <w:lang w:val="en-GB"/>
              </w:rPr>
              <w:t>,</w:t>
            </w:r>
            <w:r w:rsidRPr="00A854AA">
              <w:rPr>
                <w:rFonts w:eastAsia="Calibri"/>
                <w:sz w:val="18"/>
                <w:szCs w:val="18"/>
                <w:lang w:val="en-GB"/>
              </w:rPr>
              <w:t xml:space="preserve"> WHO </w:t>
            </w:r>
          </w:p>
          <w:p w14:paraId="5137C527" w14:textId="64295DB0" w:rsidR="0027443B" w:rsidRPr="00A854AA" w:rsidRDefault="00CD66AD" w:rsidP="0027443B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 xml:space="preserve">EU, </w:t>
            </w:r>
            <w:r w:rsidR="0027443B">
              <w:rPr>
                <w:rFonts w:eastAsia="Calibri"/>
                <w:sz w:val="18"/>
                <w:szCs w:val="18"/>
                <w:lang w:val="en-GB"/>
              </w:rPr>
              <w:t xml:space="preserve">Governments of </w:t>
            </w:r>
            <w:r w:rsidR="0027443B" w:rsidRPr="00A854AA">
              <w:rPr>
                <w:rFonts w:eastAsia="Calibri"/>
                <w:sz w:val="18"/>
                <w:szCs w:val="18"/>
                <w:lang w:val="en-GB"/>
              </w:rPr>
              <w:t>Canada</w:t>
            </w:r>
            <w:r w:rsidR="0027443B" w:rsidRPr="00A854AA" w:rsidDel="009B1C82">
              <w:rPr>
                <w:rFonts w:eastAsia="Calibri"/>
                <w:sz w:val="18"/>
                <w:szCs w:val="18"/>
                <w:lang w:val="en-GB"/>
              </w:rPr>
              <w:t>,</w:t>
            </w:r>
            <w:r w:rsidR="0027443B" w:rsidRPr="00A854AA">
              <w:rPr>
                <w:rFonts w:eastAsia="Calibri"/>
                <w:sz w:val="18"/>
                <w:szCs w:val="18"/>
                <w:lang w:val="en-GB"/>
              </w:rPr>
              <w:t xml:space="preserve"> Denmark, Sweden, USAID</w:t>
            </w:r>
          </w:p>
          <w:p w14:paraId="4C78F400" w14:textId="58D18A30" w:rsidR="0027443B" w:rsidRPr="00A854AA" w:rsidRDefault="0027443B" w:rsidP="0027443B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</w:p>
        </w:tc>
        <w:tc>
          <w:tcPr>
            <w:tcW w:w="1785" w:type="dxa"/>
            <w:tcBorders>
              <w:bottom w:val="single" w:sz="4" w:space="0" w:color="auto"/>
            </w:tcBorders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573570BA" w14:textId="77777777" w:rsidR="00765F42" w:rsidRPr="00A854AA" w:rsidRDefault="00765F42" w:rsidP="00977C58">
            <w:pPr>
              <w:widowControl w:val="0"/>
              <w:rPr>
                <w:rFonts w:eastAsia="Calibri"/>
                <w:b/>
                <w:color w:val="000000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color w:val="000000"/>
                <w:sz w:val="18"/>
                <w:szCs w:val="18"/>
                <w:lang w:val="en-GB"/>
              </w:rPr>
              <w:t xml:space="preserve">Regular: </w:t>
            </w:r>
          </w:p>
          <w:p w14:paraId="38326969" w14:textId="33A31C41" w:rsidR="00765F42" w:rsidRPr="00A854AA" w:rsidRDefault="003A17D5" w:rsidP="00977C58">
            <w:pPr>
              <w:widowControl w:val="0"/>
              <w:pBdr>
                <w:bottom w:val="single" w:sz="6" w:space="1" w:color="auto"/>
              </w:pBdr>
              <w:rPr>
                <w:rFonts w:eastAsia="Calibri"/>
                <w:color w:val="000000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color w:val="000000"/>
                <w:sz w:val="18"/>
                <w:szCs w:val="18"/>
                <w:lang w:val="en-GB"/>
              </w:rPr>
              <w:t>$</w:t>
            </w:r>
            <w:r w:rsidR="00B37ABB">
              <w:rPr>
                <w:rFonts w:eastAsia="Calibri"/>
                <w:color w:val="000000"/>
                <w:sz w:val="18"/>
                <w:szCs w:val="18"/>
                <w:lang w:val="en-GB"/>
              </w:rPr>
              <w:t>9</w:t>
            </w:r>
            <w:r w:rsidR="002D50D9">
              <w:rPr>
                <w:rFonts w:eastAsia="Calibri"/>
                <w:color w:val="000000"/>
                <w:sz w:val="18"/>
                <w:szCs w:val="18"/>
                <w:lang w:val="en-GB"/>
              </w:rPr>
              <w:t>44</w:t>
            </w:r>
            <w:r w:rsidR="00AA4764">
              <w:rPr>
                <w:rFonts w:eastAsia="Calibri"/>
                <w:color w:val="000000"/>
                <w:sz w:val="18"/>
                <w:szCs w:val="18"/>
                <w:lang w:val="en-GB"/>
              </w:rPr>
              <w:t>,</w:t>
            </w:r>
            <w:r w:rsidR="002D50D9">
              <w:rPr>
                <w:rFonts w:eastAsia="Calibri"/>
                <w:color w:val="000000"/>
                <w:sz w:val="18"/>
                <w:szCs w:val="18"/>
                <w:lang w:val="en-GB"/>
              </w:rPr>
              <w:t>000</w:t>
            </w:r>
            <w:r w:rsidR="00765F42" w:rsidRPr="00A854AA">
              <w:rPr>
                <w:rFonts w:eastAsia="Calibri"/>
                <w:color w:val="000000"/>
                <w:sz w:val="18"/>
                <w:szCs w:val="18"/>
                <w:lang w:val="en-GB"/>
              </w:rPr>
              <w:t xml:space="preserve"> </w:t>
            </w:r>
          </w:p>
          <w:p w14:paraId="0102B2D2" w14:textId="77777777" w:rsidR="00765F42" w:rsidRPr="00A854AA" w:rsidRDefault="00765F42" w:rsidP="00977C58">
            <w:pPr>
              <w:widowControl w:val="0"/>
              <w:rPr>
                <w:rFonts w:eastAsia="Calibri"/>
                <w:b/>
                <w:color w:val="000000"/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b/>
                <w:color w:val="000000"/>
                <w:sz w:val="18"/>
                <w:szCs w:val="18"/>
                <w:lang w:val="en-GB"/>
              </w:rPr>
              <w:t xml:space="preserve">Other: </w:t>
            </w:r>
          </w:p>
          <w:p w14:paraId="5F92D550" w14:textId="0FF5E8E5" w:rsidR="00765F42" w:rsidRPr="00A854AA" w:rsidRDefault="003A17D5" w:rsidP="00AA4764">
            <w:pPr>
              <w:widowControl w:val="0"/>
              <w:rPr>
                <w:sz w:val="18"/>
                <w:szCs w:val="18"/>
                <w:lang w:val="en-GB"/>
              </w:rPr>
            </w:pPr>
            <w:r w:rsidRPr="00A854AA">
              <w:rPr>
                <w:rFonts w:eastAsia="Calibri"/>
                <w:color w:val="000000"/>
                <w:sz w:val="18"/>
                <w:szCs w:val="18"/>
                <w:lang w:val="en-GB"/>
              </w:rPr>
              <w:t>$90</w:t>
            </w:r>
            <w:r w:rsidR="00AA4764">
              <w:rPr>
                <w:rFonts w:eastAsia="Calibri"/>
                <w:color w:val="000000"/>
                <w:sz w:val="18"/>
                <w:szCs w:val="18"/>
                <w:lang w:val="en-GB"/>
              </w:rPr>
              <w:t>,</w:t>
            </w:r>
            <w:r w:rsidR="00B37ABB">
              <w:rPr>
                <w:rFonts w:eastAsia="Calibri"/>
                <w:color w:val="000000"/>
                <w:sz w:val="18"/>
                <w:szCs w:val="18"/>
                <w:lang w:val="en-GB"/>
              </w:rPr>
              <w:t>800</w:t>
            </w:r>
            <w:r w:rsidR="00AA4764">
              <w:rPr>
                <w:rFonts w:eastAsia="Calibri"/>
                <w:color w:val="000000"/>
                <w:sz w:val="18"/>
                <w:szCs w:val="18"/>
                <w:lang w:val="en-GB"/>
              </w:rPr>
              <w:t>,000</w:t>
            </w:r>
          </w:p>
        </w:tc>
      </w:tr>
    </w:tbl>
    <w:tbl>
      <w:tblPr>
        <w:tblW w:w="14710" w:type="dxa"/>
        <w:tblInd w:w="-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877"/>
        <w:gridCol w:w="2693"/>
        <w:gridCol w:w="5200"/>
        <w:gridCol w:w="2245"/>
        <w:gridCol w:w="1695"/>
      </w:tblGrid>
      <w:tr w:rsidR="00765F42" w:rsidRPr="00E5217A" w14:paraId="3986736D" w14:textId="77777777" w:rsidTr="00E5217A">
        <w:trPr>
          <w:trHeight w:val="18"/>
        </w:trPr>
        <w:tc>
          <w:tcPr>
            <w:tcW w:w="14710" w:type="dxa"/>
            <w:gridSpan w:val="5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A7E3" w14:textId="0FB77B24" w:rsidR="00765F42" w:rsidRPr="00E5217A" w:rsidRDefault="00765F42" w:rsidP="00977C58">
            <w:pPr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lastRenderedPageBreak/>
              <w:t>NATIONAL PRIORITY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>: To create favourable business environment, support development of small and medium enterprises, attract investments, facilitate international trade and enhance labour market efficiency</w:t>
            </w:r>
          </w:p>
        </w:tc>
      </w:tr>
      <w:tr w:rsidR="00765F42" w:rsidRPr="00E5217A" w14:paraId="02B6290C" w14:textId="77777777" w:rsidTr="00E5217A">
        <w:trPr>
          <w:trHeight w:val="18"/>
        </w:trPr>
        <w:tc>
          <w:tcPr>
            <w:tcW w:w="1471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6ECC5" w14:textId="73DDD64B" w:rsidR="00765F42" w:rsidRPr="00E5217A" w:rsidRDefault="00765F42" w:rsidP="001F425B">
            <w:pPr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 xml:space="preserve">RELATED NATIONALLY ADOPTED </w:t>
            </w:r>
            <w:r w:rsidR="001F425B">
              <w:rPr>
                <w:rFonts w:eastAsia="Calibri"/>
                <w:b/>
                <w:sz w:val="18"/>
                <w:szCs w:val="18"/>
                <w:lang w:val="en-GB"/>
              </w:rPr>
              <w:t>SUSTAINABLE DEVELOPMENT GOALS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>: 1,8,9,10</w:t>
            </w:r>
          </w:p>
        </w:tc>
      </w:tr>
      <w:tr w:rsidR="00765F42" w:rsidRPr="00E5217A" w14:paraId="49B60181" w14:textId="77777777" w:rsidTr="00E5217A">
        <w:tc>
          <w:tcPr>
            <w:tcW w:w="1471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15EFE" w14:textId="67F44699" w:rsidR="00765F42" w:rsidRPr="00E5217A" w:rsidRDefault="00765F42" w:rsidP="00977C58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UNDAF OUTCOME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>: 4.1.</w:t>
            </w:r>
            <w:r w:rsidR="00346DB7" w:rsidRPr="00E5217A">
              <w:rPr>
                <w:rFonts w:eastAsia="Calibri"/>
                <w:sz w:val="18"/>
                <w:szCs w:val="18"/>
                <w:lang w:val="en-GB"/>
              </w:rPr>
              <w:t xml:space="preserve"> By 2022, all women and men, especially young people, equally benefit from an enabling </w:t>
            </w:r>
            <w:r w:rsidR="007B11DA" w:rsidRPr="00E5217A">
              <w:rPr>
                <w:rFonts w:eastAsia="Calibri"/>
                <w:sz w:val="18"/>
                <w:szCs w:val="18"/>
                <w:lang w:val="en-GB"/>
              </w:rPr>
              <w:t>environment that</w:t>
            </w:r>
            <w:r w:rsidR="00346DB7" w:rsidRPr="00E5217A">
              <w:rPr>
                <w:rFonts w:eastAsia="Calibri"/>
                <w:sz w:val="18"/>
                <w:szCs w:val="18"/>
                <w:lang w:val="en-GB"/>
              </w:rPr>
              <w:t xml:space="preserve"> includes </w:t>
            </w:r>
            <w:r w:rsidR="006D6145" w:rsidRPr="00E5217A">
              <w:rPr>
                <w:rFonts w:eastAsia="Calibri"/>
                <w:sz w:val="18"/>
                <w:szCs w:val="18"/>
                <w:lang w:val="en-GB"/>
              </w:rPr>
              <w:t>labour</w:t>
            </w:r>
            <w:r w:rsidR="00346DB7" w:rsidRPr="00E5217A">
              <w:rPr>
                <w:rFonts w:eastAsia="Calibri"/>
                <w:sz w:val="18"/>
                <w:szCs w:val="18"/>
                <w:lang w:val="en-GB"/>
              </w:rPr>
              <w:t xml:space="preserve"> market, access to decent jobs and economic opportunities</w:t>
            </w:r>
          </w:p>
        </w:tc>
      </w:tr>
      <w:tr w:rsidR="00765F42" w:rsidRPr="00E5217A" w14:paraId="3A1F6C43" w14:textId="77777777" w:rsidTr="00E5217A">
        <w:tc>
          <w:tcPr>
            <w:tcW w:w="1471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8A6D" w14:textId="778C7CFD" w:rsidR="00765F42" w:rsidRPr="00E5217A" w:rsidRDefault="00765F42" w:rsidP="0027443B">
            <w:pPr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S</w:t>
            </w:r>
            <w:r w:rsidR="0027443B">
              <w:rPr>
                <w:rFonts w:eastAsia="Calibri"/>
                <w:b/>
                <w:sz w:val="18"/>
                <w:szCs w:val="18"/>
                <w:lang w:val="en-GB"/>
              </w:rPr>
              <w:t xml:space="preserve">trategic </w:t>
            </w: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P</w:t>
            </w:r>
            <w:r w:rsidR="0027443B">
              <w:rPr>
                <w:rFonts w:eastAsia="Calibri"/>
                <w:b/>
                <w:sz w:val="18"/>
                <w:szCs w:val="18"/>
                <w:lang w:val="en-GB"/>
              </w:rPr>
              <w:t>lan,</w:t>
            </w: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 xml:space="preserve"> 2014-2017 OUTCOME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: 1. Growth is inclusive and sustainable, incorporating productive capacities that create employment and livelihoods for the poor and excluded </w:t>
            </w:r>
          </w:p>
        </w:tc>
      </w:tr>
      <w:tr w:rsidR="00765F42" w:rsidRPr="00E5217A" w14:paraId="0DB57979" w14:textId="77777777" w:rsidTr="005B6DCB">
        <w:tc>
          <w:tcPr>
            <w:tcW w:w="2877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927C3" w14:textId="77777777" w:rsidR="00765F42" w:rsidRPr="00E5217A" w:rsidRDefault="00917337" w:rsidP="00977C58">
            <w:pPr>
              <w:contextualSpacing/>
              <w:rPr>
                <w:rFonts w:eastAsia="Calibri"/>
                <w:b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2</w:t>
            </w:r>
            <w:r w:rsidR="00765F42" w:rsidRPr="00E5217A">
              <w:rPr>
                <w:rFonts w:eastAsia="Calibri"/>
                <w:b/>
                <w:sz w:val="18"/>
                <w:szCs w:val="18"/>
                <w:lang w:val="en-GB"/>
              </w:rPr>
              <w:t xml:space="preserve">.1. Employment rate of population aged 15-70, by sex and age </w:t>
            </w:r>
            <w:r w:rsidR="00765F42" w:rsidRPr="00E5217A">
              <w:rPr>
                <w:rFonts w:eastAsia="Calibri"/>
                <w:sz w:val="18"/>
                <w:szCs w:val="18"/>
                <w:lang w:val="en-GB"/>
              </w:rPr>
              <w:t>(IRRF 1.1)</w:t>
            </w:r>
          </w:p>
          <w:p w14:paraId="579741CC" w14:textId="77777777" w:rsidR="00765F42" w:rsidRPr="00E5217A" w:rsidRDefault="00765F42" w:rsidP="00977C58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Baseline (2016):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 24.4% (women 15-24), 29.6% (men 15-24), 51.6% (women total), 61.6% (men total)</w:t>
            </w:r>
          </w:p>
          <w:p w14:paraId="60C426C5" w14:textId="77777777" w:rsidR="00765F42" w:rsidRPr="00E5217A" w:rsidRDefault="00765F42" w:rsidP="00977C58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lastRenderedPageBreak/>
              <w:t>Target (2020):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 27% (women 15-24), 31% (men 15-24), 54% (women total), 63% (men total) </w:t>
            </w:r>
          </w:p>
          <w:p w14:paraId="6010307A" w14:textId="77777777" w:rsidR="00765F42" w:rsidRPr="00E5217A" w:rsidRDefault="00765F42" w:rsidP="00977C58">
            <w:pPr>
              <w:contextualSpacing/>
              <w:rPr>
                <w:rFonts w:eastAsia="Calibri"/>
                <w:b/>
                <w:sz w:val="18"/>
                <w:szCs w:val="18"/>
                <w:lang w:val="en-GB"/>
              </w:rPr>
            </w:pPr>
          </w:p>
          <w:p w14:paraId="68209B26" w14:textId="77777777" w:rsidR="00765F42" w:rsidRPr="00E5217A" w:rsidRDefault="00917337" w:rsidP="00977C58">
            <w:pPr>
              <w:contextualSpacing/>
              <w:rPr>
                <w:rFonts w:eastAsia="Calibri"/>
                <w:b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2.2</w:t>
            </w:r>
            <w:r w:rsidR="00765F42" w:rsidRPr="00E5217A">
              <w:rPr>
                <w:rFonts w:eastAsia="Calibri"/>
                <w:b/>
                <w:sz w:val="18"/>
                <w:szCs w:val="18"/>
                <w:lang w:val="en-GB"/>
              </w:rPr>
              <w:t xml:space="preserve">. Wage gap between men and women </w:t>
            </w:r>
            <w:r w:rsidR="00765F42" w:rsidRPr="00E5217A">
              <w:rPr>
                <w:rFonts w:eastAsia="Calibri"/>
                <w:sz w:val="18"/>
                <w:szCs w:val="18"/>
                <w:lang w:val="en-GB"/>
              </w:rPr>
              <w:t>(IRRF 4.1)</w:t>
            </w:r>
          </w:p>
          <w:p w14:paraId="45ECF10C" w14:textId="77777777" w:rsidR="00765F42" w:rsidRPr="00E5217A" w:rsidRDefault="00765F42" w:rsidP="00977C58">
            <w:pPr>
              <w:contextualSpacing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Baseline (2016):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 1.34 </w:t>
            </w:r>
          </w:p>
          <w:p w14:paraId="2DE836F2" w14:textId="77777777" w:rsidR="00765F42" w:rsidRPr="00E5217A" w:rsidRDefault="00765F42" w:rsidP="00977C58">
            <w:pPr>
              <w:contextualSpacing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Target (2020):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 1.25</w:t>
            </w:r>
          </w:p>
          <w:p w14:paraId="4090B6BC" w14:textId="77777777" w:rsidR="00765F42" w:rsidRPr="00E5217A" w:rsidRDefault="00765F42" w:rsidP="00977C58">
            <w:pPr>
              <w:contextualSpacing/>
              <w:rPr>
                <w:rFonts w:eastAsia="Calibri"/>
                <w:b/>
                <w:sz w:val="18"/>
                <w:szCs w:val="18"/>
                <w:lang w:val="en-GB"/>
              </w:rPr>
            </w:pPr>
          </w:p>
          <w:p w14:paraId="0ABF1574" w14:textId="77777777" w:rsidR="00765F42" w:rsidRPr="00E5217A" w:rsidRDefault="00917337" w:rsidP="00977C58">
            <w:pPr>
              <w:contextualSpacing/>
              <w:rPr>
                <w:rFonts w:eastAsia="Calibri"/>
                <w:b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2</w:t>
            </w:r>
            <w:r w:rsidR="00765F42" w:rsidRPr="00E5217A">
              <w:rPr>
                <w:rFonts w:eastAsia="Calibri"/>
                <w:b/>
                <w:sz w:val="18"/>
                <w:szCs w:val="18"/>
                <w:lang w:val="en-GB"/>
              </w:rPr>
              <w:t>.</w:t>
            </w: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3</w:t>
            </w:r>
            <w:r w:rsidR="00765F42" w:rsidRPr="00E5217A">
              <w:rPr>
                <w:rFonts w:eastAsia="Calibri"/>
                <w:b/>
                <w:sz w:val="18"/>
                <w:szCs w:val="18"/>
                <w:lang w:val="en-GB"/>
              </w:rPr>
              <w:t>. Ranking in Ease of Doing Business Index</w:t>
            </w:r>
            <w:r w:rsidR="00765F42" w:rsidRPr="00E5217A">
              <w:rPr>
                <w:rFonts w:eastAsia="Calibri"/>
                <w:sz w:val="18"/>
                <w:szCs w:val="18"/>
                <w:lang w:val="en-GB"/>
              </w:rPr>
              <w:t xml:space="preserve"> (SDG)</w:t>
            </w:r>
          </w:p>
          <w:p w14:paraId="5FA6BDBC" w14:textId="4237612C" w:rsidR="00765F42" w:rsidRPr="00E5217A" w:rsidRDefault="00765F42" w:rsidP="00977C58">
            <w:pPr>
              <w:contextualSpacing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Baseline (201</w:t>
            </w:r>
            <w:r w:rsidR="00755EF2">
              <w:rPr>
                <w:rFonts w:eastAsia="Calibri"/>
                <w:b/>
                <w:sz w:val="18"/>
                <w:szCs w:val="18"/>
                <w:lang w:val="en-GB"/>
              </w:rPr>
              <w:t>5</w:t>
            </w: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):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 8</w:t>
            </w:r>
            <w:r w:rsidR="00755EF2">
              <w:rPr>
                <w:rFonts w:eastAsia="Calibri"/>
                <w:sz w:val="18"/>
                <w:szCs w:val="18"/>
                <w:lang w:val="en-GB"/>
              </w:rPr>
              <w:t>1</w:t>
            </w:r>
          </w:p>
          <w:p w14:paraId="1AC9B0C9" w14:textId="77777777" w:rsidR="00765F42" w:rsidRPr="00E5217A" w:rsidRDefault="00765F42" w:rsidP="00977C58">
            <w:pPr>
              <w:contextualSpacing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Target (2020):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 30 </w:t>
            </w:r>
          </w:p>
          <w:p w14:paraId="468FE08B" w14:textId="77777777" w:rsidR="00765F42" w:rsidRPr="00E5217A" w:rsidRDefault="00765F42" w:rsidP="00977C58">
            <w:pPr>
              <w:contextualSpacing/>
              <w:rPr>
                <w:rFonts w:eastAsia="Calibri"/>
                <w:b/>
                <w:sz w:val="18"/>
                <w:szCs w:val="18"/>
                <w:lang w:val="en-GB"/>
              </w:rPr>
            </w:pPr>
          </w:p>
          <w:p w14:paraId="18A5FFF4" w14:textId="77777777" w:rsidR="00765F42" w:rsidRPr="00E5217A" w:rsidRDefault="00765F42" w:rsidP="00977C58">
            <w:pPr>
              <w:contextualSpacing/>
              <w:rPr>
                <w:rFonts w:eastAsia="Calibri"/>
                <w:b/>
                <w:sz w:val="18"/>
                <w:szCs w:val="18"/>
                <w:lang w:val="en-GB"/>
              </w:rPr>
            </w:pPr>
          </w:p>
          <w:p w14:paraId="3358E3BF" w14:textId="77777777" w:rsidR="00765F42" w:rsidRPr="00E5217A" w:rsidRDefault="00765F42" w:rsidP="00977C58">
            <w:pPr>
              <w:contextualSpacing/>
              <w:rPr>
                <w:rFonts w:eastAsia="Calibri"/>
                <w:b/>
                <w:sz w:val="18"/>
                <w:szCs w:val="18"/>
                <w:lang w:val="en-GB"/>
              </w:rPr>
            </w:pPr>
          </w:p>
          <w:p w14:paraId="7425E163" w14:textId="77777777" w:rsidR="00765F42" w:rsidRPr="00E5217A" w:rsidRDefault="00765F42" w:rsidP="00977C58">
            <w:pPr>
              <w:contextualSpacing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2693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C448C59" w14:textId="63A3F284" w:rsidR="00765F42" w:rsidRPr="00E5217A" w:rsidRDefault="00765F42" w:rsidP="00977C58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lastRenderedPageBreak/>
              <w:t>Source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6D6145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27443B">
              <w:rPr>
                <w:rFonts w:eastAsia="Calibri"/>
                <w:sz w:val="18"/>
                <w:szCs w:val="18"/>
                <w:lang w:val="en-GB"/>
              </w:rPr>
              <w:t>State Statistics Service</w:t>
            </w:r>
          </w:p>
          <w:p w14:paraId="1CC91610" w14:textId="77777777" w:rsidR="00765F42" w:rsidRPr="00E5217A" w:rsidRDefault="00765F42" w:rsidP="00977C58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Frequency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>: quarterly</w:t>
            </w:r>
          </w:p>
          <w:p w14:paraId="696034A8" w14:textId="77777777" w:rsidR="00765F42" w:rsidRPr="00E5217A" w:rsidRDefault="00765F42" w:rsidP="00977C58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Responsible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>: ILO, UNDP, UNFPA</w:t>
            </w:r>
          </w:p>
          <w:p w14:paraId="2AD110DC" w14:textId="77777777" w:rsidR="00765F42" w:rsidRPr="00E5217A" w:rsidRDefault="00765F42" w:rsidP="00977C58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</w:p>
          <w:p w14:paraId="31809D1E" w14:textId="77777777" w:rsidR="00765F42" w:rsidRPr="00E5217A" w:rsidRDefault="00765F42" w:rsidP="00977C58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</w:p>
          <w:p w14:paraId="2E184F88" w14:textId="77777777" w:rsidR="00765F42" w:rsidRPr="00E5217A" w:rsidRDefault="00765F42" w:rsidP="00977C58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</w:p>
          <w:p w14:paraId="75AFE0C1" w14:textId="77777777" w:rsidR="00765F42" w:rsidRPr="00E5217A" w:rsidRDefault="00765F42" w:rsidP="00977C58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</w:p>
          <w:p w14:paraId="774E4FD6" w14:textId="77777777" w:rsidR="00765F42" w:rsidRPr="00E5217A" w:rsidRDefault="00765F42" w:rsidP="00977C58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</w:p>
          <w:p w14:paraId="1259AB2C" w14:textId="77777777" w:rsidR="00765F42" w:rsidRPr="00E5217A" w:rsidRDefault="00765F42" w:rsidP="00977C58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</w:p>
          <w:p w14:paraId="15087627" w14:textId="77777777" w:rsidR="00765F42" w:rsidRPr="00E5217A" w:rsidRDefault="00765F42" w:rsidP="00977C58">
            <w:pPr>
              <w:contextualSpacing/>
              <w:rPr>
                <w:rFonts w:eastAsia="Calibri"/>
                <w:sz w:val="18"/>
                <w:szCs w:val="18"/>
                <w:lang w:val="en-GB"/>
              </w:rPr>
            </w:pPr>
          </w:p>
          <w:p w14:paraId="00A96E5E" w14:textId="239B8E7E" w:rsidR="00765F42" w:rsidRPr="00E5217A" w:rsidRDefault="00765F42" w:rsidP="00977C58">
            <w:pPr>
              <w:contextualSpacing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Source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: </w:t>
            </w:r>
            <w:r w:rsidR="0027443B">
              <w:rPr>
                <w:rFonts w:eastAsia="Calibri"/>
                <w:sz w:val="18"/>
                <w:szCs w:val="18"/>
                <w:lang w:val="en-GB"/>
              </w:rPr>
              <w:t>State Statistics Service</w:t>
            </w:r>
          </w:p>
          <w:p w14:paraId="7EFBC876" w14:textId="77777777" w:rsidR="00765F42" w:rsidRPr="00E5217A" w:rsidRDefault="00765F42" w:rsidP="00977C58">
            <w:pPr>
              <w:contextualSpacing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Frequency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>: quarterly</w:t>
            </w:r>
          </w:p>
          <w:p w14:paraId="20D4FFD8" w14:textId="77777777" w:rsidR="0027443B" w:rsidRDefault="00765F42" w:rsidP="00977C58">
            <w:pPr>
              <w:contextualSpacing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Responsible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: ILO, UNDP, </w:t>
            </w:r>
          </w:p>
          <w:p w14:paraId="1C465F8A" w14:textId="21B637C4" w:rsidR="00765F42" w:rsidRPr="00E5217A" w:rsidRDefault="0027443B" w:rsidP="00977C58">
            <w:pPr>
              <w:contextualSpacing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sz w:val="18"/>
                <w:szCs w:val="18"/>
                <w:lang w:val="en-GB"/>
              </w:rPr>
              <w:t>UN</w:t>
            </w:r>
            <w:r>
              <w:rPr>
                <w:rFonts w:eastAsia="Calibri"/>
                <w:sz w:val="18"/>
                <w:szCs w:val="18"/>
                <w:lang w:val="en-GB"/>
              </w:rPr>
              <w:t>-</w:t>
            </w:r>
            <w:r w:rsidR="00765F42" w:rsidRPr="00E5217A">
              <w:rPr>
                <w:rFonts w:eastAsia="Calibri"/>
                <w:sz w:val="18"/>
                <w:szCs w:val="18"/>
                <w:lang w:val="en-GB"/>
              </w:rPr>
              <w:t>Women</w:t>
            </w:r>
          </w:p>
          <w:p w14:paraId="52CBFC23" w14:textId="77777777" w:rsidR="00765F42" w:rsidRPr="00E5217A" w:rsidRDefault="00765F42" w:rsidP="00977C58">
            <w:pPr>
              <w:contextualSpacing/>
              <w:rPr>
                <w:rFonts w:eastAsia="Calibri"/>
                <w:sz w:val="18"/>
                <w:szCs w:val="18"/>
                <w:lang w:val="en-GB"/>
              </w:rPr>
            </w:pPr>
          </w:p>
          <w:p w14:paraId="76949DBB" w14:textId="0744104B" w:rsidR="00765F42" w:rsidRPr="00E5217A" w:rsidRDefault="00765F42" w:rsidP="00977C58">
            <w:pPr>
              <w:contextualSpacing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Source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>: W</w:t>
            </w:r>
            <w:r w:rsidR="0027443B">
              <w:rPr>
                <w:rFonts w:eastAsia="Calibri"/>
                <w:sz w:val="18"/>
                <w:szCs w:val="18"/>
                <w:lang w:val="en-GB"/>
              </w:rPr>
              <w:t xml:space="preserve">orld 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>B</w:t>
            </w:r>
            <w:r w:rsidR="0027443B">
              <w:rPr>
                <w:rFonts w:eastAsia="Calibri"/>
                <w:sz w:val="18"/>
                <w:szCs w:val="18"/>
                <w:lang w:val="en-GB"/>
              </w:rPr>
              <w:t>ank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 Ease of Doing Business Index</w:t>
            </w:r>
          </w:p>
          <w:p w14:paraId="3E741907" w14:textId="77777777" w:rsidR="00765F42" w:rsidRPr="00E5217A" w:rsidRDefault="00765F42" w:rsidP="00977C58">
            <w:pPr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Frequency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>: annual</w:t>
            </w:r>
          </w:p>
          <w:p w14:paraId="06F0F265" w14:textId="77777777" w:rsidR="00765F42" w:rsidRPr="00E5217A" w:rsidRDefault="00765F42" w:rsidP="00977C58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Responsible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>: ILO, UNDP</w:t>
            </w:r>
          </w:p>
          <w:p w14:paraId="648FBFCA" w14:textId="77777777" w:rsidR="00765F42" w:rsidRPr="00E5217A" w:rsidRDefault="00765F42" w:rsidP="00977C58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</w:p>
          <w:p w14:paraId="79BDA3F0" w14:textId="77777777" w:rsidR="00765F42" w:rsidRPr="00E5217A" w:rsidRDefault="00765F42" w:rsidP="00977C58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</w:p>
          <w:p w14:paraId="7B471C2E" w14:textId="77777777" w:rsidR="00765F42" w:rsidRPr="00E5217A" w:rsidRDefault="00765F42" w:rsidP="00977C58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</w:p>
          <w:p w14:paraId="7211036C" w14:textId="77777777" w:rsidR="00765F42" w:rsidRPr="00E5217A" w:rsidRDefault="00765F42" w:rsidP="00977C58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</w:p>
        </w:tc>
        <w:tc>
          <w:tcPr>
            <w:tcW w:w="520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D4A09" w14:textId="77777777" w:rsidR="00765F42" w:rsidRPr="00E5217A" w:rsidRDefault="00765F42" w:rsidP="00977C58">
            <w:pPr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lastRenderedPageBreak/>
              <w:t xml:space="preserve">Output 2.1. 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>National and subnational institutions are better able to develop and implement policies and measures that generate sustainable jobs and livelihoods</w:t>
            </w:r>
          </w:p>
          <w:p w14:paraId="25CE023B" w14:textId="77777777" w:rsidR="009841A9" w:rsidRPr="00E5217A" w:rsidRDefault="009841A9" w:rsidP="00977C58">
            <w:pPr>
              <w:rPr>
                <w:rFonts w:eastAsia="Calibri"/>
                <w:b/>
                <w:sz w:val="18"/>
                <w:szCs w:val="18"/>
                <w:lang w:val="en-GB"/>
              </w:rPr>
            </w:pPr>
          </w:p>
          <w:p w14:paraId="6B38456E" w14:textId="77777777" w:rsidR="00765F42" w:rsidRPr="00E5217A" w:rsidRDefault="00765F42" w:rsidP="00801C9A">
            <w:pPr>
              <w:widowControl w:val="0"/>
              <w:rPr>
                <w:b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 xml:space="preserve">Indicator 2.1.1: 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Number of new jobs and other livelihoods generated </w:t>
            </w:r>
            <w:r w:rsidRPr="00E5217A">
              <w:rPr>
                <w:rFonts w:eastAsia="Calibri"/>
                <w:sz w:val="18"/>
                <w:szCs w:val="18"/>
                <w:shd w:val="clear" w:color="auto" w:fill="FFFFFF"/>
                <w:lang w:val="en-GB"/>
              </w:rPr>
              <w:t>[IRRF 1.1.1]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</w:p>
          <w:p w14:paraId="68CC8F69" w14:textId="77777777" w:rsidR="00765F42" w:rsidRPr="00E5217A" w:rsidRDefault="00765F42" w:rsidP="00801C9A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lastRenderedPageBreak/>
              <w:t>Baseline (2016):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Pr="00E5217A">
              <w:rPr>
                <w:rFonts w:eastAsia="Calibri"/>
                <w:color w:val="000000"/>
                <w:sz w:val="18"/>
                <w:szCs w:val="18"/>
                <w:lang w:val="en-GB"/>
              </w:rPr>
              <w:t>0</w:t>
            </w:r>
          </w:p>
          <w:p w14:paraId="0AA69221" w14:textId="77777777" w:rsidR="00765F42" w:rsidRPr="00E5217A" w:rsidRDefault="00765F42" w:rsidP="00801C9A">
            <w:pPr>
              <w:widowControl w:val="0"/>
              <w:rPr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Target (2022):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Pr="00E5217A">
              <w:rPr>
                <w:rFonts w:eastAsia="Calibri"/>
                <w:color w:val="000000"/>
                <w:sz w:val="18"/>
                <w:szCs w:val="18"/>
                <w:lang w:val="en-GB"/>
              </w:rPr>
              <w:t>90,000 (men), 130,000 (women), 30,000 (youth)</w:t>
            </w:r>
          </w:p>
          <w:p w14:paraId="3340AD71" w14:textId="77777777" w:rsidR="00765F42" w:rsidRPr="00E5217A" w:rsidRDefault="00765F42" w:rsidP="00801C9A">
            <w:pPr>
              <w:widowControl w:val="0"/>
              <w:rPr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Source: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 Annual assessment by UNDP based on project databases and reviews</w:t>
            </w:r>
          </w:p>
          <w:p w14:paraId="534A9D65" w14:textId="77777777" w:rsidR="00977C58" w:rsidRPr="00E5217A" w:rsidRDefault="00977C58" w:rsidP="00801C9A">
            <w:pPr>
              <w:widowControl w:val="0"/>
              <w:rPr>
                <w:rFonts w:eastAsia="Calibri"/>
                <w:b/>
                <w:sz w:val="18"/>
                <w:szCs w:val="18"/>
                <w:lang w:val="en-GB"/>
              </w:rPr>
            </w:pPr>
          </w:p>
          <w:p w14:paraId="70850142" w14:textId="77777777" w:rsidR="00765F42" w:rsidRPr="00E5217A" w:rsidRDefault="00765F42" w:rsidP="00801C9A">
            <w:pPr>
              <w:widowControl w:val="0"/>
              <w:rPr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 xml:space="preserve">Indicator 2.1.2: 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Extent to which policies, systems and/or institutional measures are in place and scaled up at the national and subnational levels to generate and strengthen employment and livelihoods </w:t>
            </w:r>
            <w:r w:rsidRPr="00E5217A">
              <w:rPr>
                <w:rFonts w:eastAsia="Calibri"/>
                <w:sz w:val="18"/>
                <w:szCs w:val="18"/>
                <w:shd w:val="clear" w:color="auto" w:fill="FFFFFF"/>
                <w:lang w:val="en-GB"/>
              </w:rPr>
              <w:t>[IRRF 1.1.2]</w:t>
            </w:r>
            <w:r w:rsidRPr="00E5217A">
              <w:rPr>
                <w:rFonts w:eastAsia="Calibri"/>
                <w:sz w:val="18"/>
                <w:szCs w:val="18"/>
                <w:shd w:val="clear" w:color="auto" w:fill="FFFFFF"/>
                <w:vertAlign w:val="superscript"/>
                <w:lang w:val="en-GB"/>
              </w:rPr>
              <w:footnoteReference w:id="32"/>
            </w:r>
          </w:p>
          <w:p w14:paraId="398E2B73" w14:textId="77777777" w:rsidR="00765F42" w:rsidRPr="00E5217A" w:rsidRDefault="00765F42" w:rsidP="00801C9A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Baseline (2016):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 1</w:t>
            </w:r>
          </w:p>
          <w:p w14:paraId="1E25B8F7" w14:textId="77777777" w:rsidR="00765F42" w:rsidRPr="00E5217A" w:rsidRDefault="00765F42" w:rsidP="00801C9A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Target (2022):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 3</w:t>
            </w:r>
          </w:p>
          <w:p w14:paraId="28359B92" w14:textId="77777777" w:rsidR="00765F42" w:rsidRPr="00E5217A" w:rsidRDefault="00765F42" w:rsidP="00801C9A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Source:</w:t>
            </w:r>
            <w:r w:rsidRPr="00E5217A">
              <w:rPr>
                <w:sz w:val="18"/>
                <w:szCs w:val="18"/>
                <w:lang w:val="en-GB"/>
              </w:rPr>
              <w:t xml:space="preserve"> 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>Annual assessment based on project databases and reviews</w:t>
            </w:r>
          </w:p>
          <w:p w14:paraId="2B9E0097" w14:textId="77777777" w:rsidR="00977C58" w:rsidRPr="00E5217A" w:rsidRDefault="00977C58" w:rsidP="00977C58">
            <w:pPr>
              <w:widowControl w:val="0"/>
              <w:jc w:val="both"/>
              <w:rPr>
                <w:rFonts w:eastAsia="Calibri"/>
                <w:b/>
                <w:sz w:val="18"/>
                <w:szCs w:val="18"/>
                <w:lang w:val="en-GB"/>
              </w:rPr>
            </w:pPr>
          </w:p>
          <w:p w14:paraId="67895E72" w14:textId="77777777" w:rsidR="00765F42" w:rsidRPr="00E5217A" w:rsidRDefault="00765F42" w:rsidP="00977C58">
            <w:pPr>
              <w:widowControl w:val="0"/>
              <w:jc w:val="both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 xml:space="preserve">Output 2.2. 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Public institutions and private entities effectively cooperate to improve the business environment </w:t>
            </w:r>
          </w:p>
          <w:p w14:paraId="1BF92118" w14:textId="77777777" w:rsidR="006227A5" w:rsidRPr="00E5217A" w:rsidRDefault="006227A5" w:rsidP="00977C58">
            <w:pPr>
              <w:widowControl w:val="0"/>
              <w:ind w:left="222"/>
              <w:rPr>
                <w:rFonts w:eastAsia="Calibri"/>
                <w:b/>
                <w:sz w:val="18"/>
                <w:szCs w:val="18"/>
                <w:lang w:val="en-GB"/>
              </w:rPr>
            </w:pPr>
          </w:p>
          <w:p w14:paraId="3F775BDA" w14:textId="77777777" w:rsidR="00765F42" w:rsidRPr="00E5217A" w:rsidRDefault="00765F42" w:rsidP="00801C9A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Indicator 2.2.1: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 Share of members of UNDP-supported business membership organizations satisfied with the business environment</w:t>
            </w:r>
          </w:p>
          <w:p w14:paraId="610B94A2" w14:textId="77777777" w:rsidR="00765F42" w:rsidRPr="00E5217A" w:rsidRDefault="00765F42" w:rsidP="00801C9A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Baseline (2016):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 pending baseline survey (October 2017)</w:t>
            </w:r>
          </w:p>
          <w:p w14:paraId="1451EDE9" w14:textId="77777777" w:rsidR="00765F42" w:rsidRPr="00E5217A" w:rsidRDefault="00765F42" w:rsidP="00801C9A">
            <w:pPr>
              <w:widowControl w:val="0"/>
              <w:rPr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Target (2022):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 pending baseline survey</w:t>
            </w:r>
          </w:p>
          <w:p w14:paraId="2620BC11" w14:textId="3AFAA4A2" w:rsidR="00765F42" w:rsidRPr="00E5217A" w:rsidRDefault="00765F42" w:rsidP="00801C9A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Source: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 Business </w:t>
            </w:r>
            <w:r w:rsidR="0027443B">
              <w:rPr>
                <w:rFonts w:eastAsia="Calibri"/>
                <w:sz w:val="18"/>
                <w:szCs w:val="18"/>
                <w:lang w:val="en-GB"/>
              </w:rPr>
              <w:t>a</w:t>
            </w:r>
            <w:r w:rsidR="0027443B" w:rsidRPr="00E5217A">
              <w:rPr>
                <w:rFonts w:eastAsia="Calibri"/>
                <w:sz w:val="18"/>
                <w:szCs w:val="18"/>
                <w:lang w:val="en-GB"/>
              </w:rPr>
              <w:t xml:space="preserve">ssociation </w:t>
            </w:r>
            <w:r w:rsidR="006D6145">
              <w:rPr>
                <w:rFonts w:eastAsia="Calibri"/>
                <w:sz w:val="18"/>
                <w:szCs w:val="18"/>
                <w:lang w:val="en-GB"/>
              </w:rPr>
              <w:t>r</w:t>
            </w:r>
            <w:r w:rsidR="006D6145" w:rsidRPr="00E5217A">
              <w:rPr>
                <w:rFonts w:eastAsia="Calibri"/>
                <w:sz w:val="18"/>
                <w:szCs w:val="18"/>
                <w:lang w:val="en-GB"/>
              </w:rPr>
              <w:t>eports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>/</w:t>
            </w:r>
            <w:r w:rsidR="0027443B"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27443B" w:rsidRPr="00E5217A">
              <w:rPr>
                <w:rFonts w:eastAsia="Calibri"/>
                <w:sz w:val="18"/>
                <w:szCs w:val="18"/>
                <w:lang w:val="en-GB"/>
              </w:rPr>
              <w:t xml:space="preserve">nterprise </w:t>
            </w:r>
            <w:r w:rsidR="0027443B">
              <w:rPr>
                <w:rFonts w:eastAsia="Calibri"/>
                <w:sz w:val="18"/>
                <w:szCs w:val="18"/>
                <w:lang w:val="en-GB"/>
              </w:rPr>
              <w:t>s</w:t>
            </w:r>
            <w:r w:rsidR="0027443B" w:rsidRPr="00E5217A">
              <w:rPr>
                <w:rFonts w:eastAsia="Calibri"/>
                <w:sz w:val="18"/>
                <w:szCs w:val="18"/>
                <w:lang w:val="en-GB"/>
              </w:rPr>
              <w:t>urveys</w:t>
            </w:r>
          </w:p>
          <w:p w14:paraId="50DBA966" w14:textId="77777777" w:rsidR="00765F42" w:rsidRPr="00E5217A" w:rsidRDefault="00765F42" w:rsidP="00801C9A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</w:p>
          <w:p w14:paraId="15FE8400" w14:textId="77777777" w:rsidR="00765F42" w:rsidRPr="00E5217A" w:rsidRDefault="00765F42" w:rsidP="00801C9A">
            <w:pPr>
              <w:widowControl w:val="0"/>
              <w:rPr>
                <w:rFonts w:eastAsia="Calibri"/>
                <w:b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 xml:space="preserve">Indicator 2.2.2: 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>Number of businesses that benefit from scaled-up advisory support</w:t>
            </w:r>
          </w:p>
          <w:p w14:paraId="601AB496" w14:textId="77777777" w:rsidR="00765F42" w:rsidRPr="00E5217A" w:rsidRDefault="00765F42" w:rsidP="00801C9A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Baseline (2016):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 0</w:t>
            </w:r>
          </w:p>
          <w:p w14:paraId="7B8ECE5B" w14:textId="77777777" w:rsidR="00765F42" w:rsidRPr="00E5217A" w:rsidRDefault="00765F42" w:rsidP="00801C9A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Target (2022):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 30 (total); 10 (women-led)</w:t>
            </w:r>
          </w:p>
          <w:p w14:paraId="308F8088" w14:textId="2072FB73" w:rsidR="00765F42" w:rsidRPr="00E5217A" w:rsidRDefault="00765F42" w:rsidP="00801C9A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Source: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 Business Associations/Chamber of Commerce reports </w:t>
            </w:r>
          </w:p>
        </w:tc>
        <w:tc>
          <w:tcPr>
            <w:tcW w:w="2245" w:type="dxa"/>
            <w:tcBorders>
              <w:bottom w:val="single" w:sz="4" w:space="0" w:color="auto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50AF24F6" w14:textId="76253C85" w:rsidR="001F425B" w:rsidRDefault="00765F42" w:rsidP="00977C58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sz w:val="18"/>
                <w:szCs w:val="18"/>
                <w:lang w:val="en-GB"/>
              </w:rPr>
              <w:lastRenderedPageBreak/>
              <w:t>Cabinet of Ministers,</w:t>
            </w:r>
            <w:r w:rsidRPr="00E5217A" w:rsidDel="00B72D3F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2766CA">
              <w:rPr>
                <w:rFonts w:eastAsia="Calibri"/>
                <w:sz w:val="18"/>
                <w:szCs w:val="18"/>
                <w:lang w:val="en-GB"/>
              </w:rPr>
              <w:t>Ministries of Economic Development and Trade, of Regional Development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>,</w:t>
            </w:r>
            <w:r w:rsidR="00093953" w:rsidRPr="00E5217A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2766CA">
              <w:rPr>
                <w:rFonts w:eastAsia="Calibri"/>
                <w:sz w:val="18"/>
                <w:szCs w:val="18"/>
                <w:lang w:val="en-GB"/>
              </w:rPr>
              <w:t>of Social Policy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, </w:t>
            </w:r>
          </w:p>
          <w:p w14:paraId="0C42A478" w14:textId="6A29D518" w:rsidR="00765F42" w:rsidRPr="00E5217A" w:rsidRDefault="00765F42" w:rsidP="00977C58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President’s Office </w:t>
            </w:r>
          </w:p>
          <w:p w14:paraId="73AC58DF" w14:textId="77777777" w:rsidR="009841A9" w:rsidRPr="00E5217A" w:rsidRDefault="009841A9" w:rsidP="00977C58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</w:p>
          <w:p w14:paraId="2AA6C3D0" w14:textId="77777777" w:rsidR="00CD66AD" w:rsidRDefault="00765F42" w:rsidP="00977C58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sz w:val="18"/>
                <w:szCs w:val="18"/>
                <w:lang w:val="en-GB"/>
              </w:rPr>
              <w:t>Business associations, CSOs,</w:t>
            </w:r>
            <w:r w:rsidR="00CD66AD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</w:p>
          <w:p w14:paraId="1C4E7A57" w14:textId="50ECE1FF" w:rsidR="0027443B" w:rsidRDefault="00CD66AD" w:rsidP="00977C58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ILO</w:t>
            </w:r>
            <w:r w:rsidR="00765F42" w:rsidRPr="00E5217A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</w:p>
          <w:p w14:paraId="61E0F0DA" w14:textId="0D84D40F" w:rsidR="001F425B" w:rsidRDefault="001F425B" w:rsidP="00977C58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IFC</w:t>
            </w:r>
          </w:p>
          <w:p w14:paraId="35DA5594" w14:textId="0D8FC10A" w:rsidR="00765F42" w:rsidRPr="00E5217A" w:rsidRDefault="00CD66AD" w:rsidP="001F425B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 xml:space="preserve">EU, </w:t>
            </w:r>
            <w:r w:rsidR="002766CA">
              <w:rPr>
                <w:rFonts w:eastAsia="Calibri"/>
                <w:sz w:val="18"/>
                <w:szCs w:val="18"/>
                <w:lang w:val="en-GB"/>
              </w:rPr>
              <w:t xml:space="preserve">Government of </w:t>
            </w:r>
            <w:r w:rsidR="00765F42" w:rsidRPr="00E5217A">
              <w:rPr>
                <w:rFonts w:eastAsia="Calibri"/>
                <w:sz w:val="18"/>
                <w:szCs w:val="18"/>
                <w:lang w:val="en-GB"/>
              </w:rPr>
              <w:t xml:space="preserve">Sweden, USAID, </w:t>
            </w:r>
          </w:p>
        </w:tc>
        <w:tc>
          <w:tcPr>
            <w:tcW w:w="1695" w:type="dxa"/>
            <w:tcBorders>
              <w:bottom w:val="single" w:sz="4" w:space="0" w:color="auto"/>
            </w:tcBorders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1411DE44" w14:textId="77777777" w:rsidR="00765F42" w:rsidRPr="00E5217A" w:rsidRDefault="00765F42" w:rsidP="00977C58">
            <w:pPr>
              <w:widowControl w:val="0"/>
              <w:rPr>
                <w:rFonts w:eastAsia="Calibri"/>
                <w:b/>
                <w:color w:val="000000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color w:val="000000"/>
                <w:sz w:val="18"/>
                <w:szCs w:val="18"/>
                <w:lang w:val="en-GB"/>
              </w:rPr>
              <w:lastRenderedPageBreak/>
              <w:t xml:space="preserve">Regular: </w:t>
            </w:r>
          </w:p>
          <w:p w14:paraId="0C88A5D5" w14:textId="42248D5A" w:rsidR="00765F42" w:rsidRPr="00E5217A" w:rsidRDefault="00765F42" w:rsidP="00977C58">
            <w:pPr>
              <w:widowControl w:val="0"/>
              <w:pBdr>
                <w:bottom w:val="single" w:sz="6" w:space="1" w:color="auto"/>
              </w:pBdr>
              <w:rPr>
                <w:rFonts w:eastAsia="Calibri"/>
                <w:color w:val="000000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color w:val="000000"/>
                <w:sz w:val="18"/>
                <w:szCs w:val="18"/>
                <w:lang w:val="en-GB"/>
              </w:rPr>
              <w:t>$</w:t>
            </w:r>
            <w:r w:rsidR="0027443B">
              <w:rPr>
                <w:rFonts w:eastAsia="Calibri"/>
                <w:color w:val="000000"/>
                <w:sz w:val="18"/>
                <w:szCs w:val="18"/>
                <w:lang w:val="en-GB"/>
              </w:rPr>
              <w:t>3</w:t>
            </w:r>
            <w:r w:rsidR="002D50D9">
              <w:rPr>
                <w:rFonts w:eastAsia="Calibri"/>
                <w:color w:val="000000"/>
                <w:sz w:val="18"/>
                <w:szCs w:val="18"/>
                <w:lang w:val="en-GB"/>
              </w:rPr>
              <w:t>77</w:t>
            </w:r>
            <w:r w:rsidR="0027443B">
              <w:rPr>
                <w:rFonts w:eastAsia="Calibri"/>
                <w:color w:val="000000"/>
                <w:sz w:val="18"/>
                <w:szCs w:val="18"/>
                <w:lang w:val="en-GB"/>
              </w:rPr>
              <w:t>,</w:t>
            </w:r>
            <w:r w:rsidR="002D50D9">
              <w:rPr>
                <w:rFonts w:eastAsia="Calibri"/>
                <w:color w:val="000000"/>
                <w:sz w:val="18"/>
                <w:szCs w:val="18"/>
                <w:lang w:val="en-GB"/>
              </w:rPr>
              <w:t>6</w:t>
            </w:r>
            <w:r w:rsidR="0027443B">
              <w:rPr>
                <w:rFonts w:eastAsia="Calibri"/>
                <w:color w:val="000000"/>
                <w:sz w:val="18"/>
                <w:szCs w:val="18"/>
                <w:lang w:val="en-GB"/>
              </w:rPr>
              <w:t>00</w:t>
            </w:r>
            <w:r w:rsidRPr="00E5217A">
              <w:rPr>
                <w:rFonts w:eastAsia="Calibri"/>
                <w:color w:val="000000"/>
                <w:sz w:val="18"/>
                <w:szCs w:val="18"/>
                <w:lang w:val="en-GB"/>
              </w:rPr>
              <w:t xml:space="preserve"> </w:t>
            </w:r>
          </w:p>
          <w:p w14:paraId="6A1E1EC4" w14:textId="77777777" w:rsidR="005B6DCB" w:rsidRDefault="005B6DCB" w:rsidP="005B6DCB">
            <w:pPr>
              <w:widowControl w:val="0"/>
              <w:rPr>
                <w:rFonts w:eastAsia="Calibri"/>
                <w:b/>
                <w:color w:val="000000"/>
                <w:sz w:val="18"/>
                <w:szCs w:val="18"/>
                <w:lang w:val="en-GB"/>
              </w:rPr>
            </w:pPr>
          </w:p>
          <w:p w14:paraId="6CDDA2A5" w14:textId="017E6CBC" w:rsidR="00765F42" w:rsidRPr="00E5217A" w:rsidRDefault="00765F42" w:rsidP="005B6DCB">
            <w:pPr>
              <w:widowControl w:val="0"/>
              <w:rPr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color w:val="000000"/>
                <w:sz w:val="18"/>
                <w:szCs w:val="18"/>
                <w:lang w:val="en-GB"/>
              </w:rPr>
              <w:t xml:space="preserve">Other: </w:t>
            </w:r>
            <w:r w:rsidR="005B6DCB">
              <w:rPr>
                <w:rFonts w:eastAsia="Calibri"/>
                <w:b/>
                <w:color w:val="000000"/>
                <w:sz w:val="18"/>
                <w:szCs w:val="18"/>
                <w:lang w:val="en-GB"/>
              </w:rPr>
              <w:t xml:space="preserve"> </w:t>
            </w:r>
            <w:r w:rsidR="003A17D5" w:rsidRPr="00E5217A">
              <w:rPr>
                <w:rFonts w:eastAsia="Calibri"/>
                <w:color w:val="000000"/>
                <w:sz w:val="18"/>
                <w:szCs w:val="18"/>
                <w:lang w:val="en-GB"/>
              </w:rPr>
              <w:t>$2</w:t>
            </w:r>
            <w:r w:rsidR="002D50D9">
              <w:rPr>
                <w:rFonts w:eastAsia="Calibri"/>
                <w:color w:val="000000"/>
                <w:sz w:val="18"/>
                <w:szCs w:val="18"/>
                <w:lang w:val="en-GB"/>
              </w:rPr>
              <w:t>7</w:t>
            </w:r>
            <w:r w:rsidR="0027443B">
              <w:rPr>
                <w:rFonts w:eastAsia="Calibri"/>
                <w:color w:val="000000"/>
                <w:sz w:val="18"/>
                <w:szCs w:val="18"/>
                <w:lang w:val="en-GB"/>
              </w:rPr>
              <w:t>,</w:t>
            </w:r>
            <w:r w:rsidR="002D50D9">
              <w:rPr>
                <w:rFonts w:eastAsia="Calibri"/>
                <w:color w:val="000000"/>
                <w:sz w:val="18"/>
                <w:szCs w:val="18"/>
                <w:lang w:val="en-GB"/>
              </w:rPr>
              <w:t>9</w:t>
            </w:r>
            <w:r w:rsidR="00B37ABB">
              <w:rPr>
                <w:rFonts w:eastAsia="Calibri"/>
                <w:color w:val="000000"/>
                <w:sz w:val="18"/>
                <w:szCs w:val="18"/>
                <w:lang w:val="en-GB"/>
              </w:rPr>
              <w:t>0</w:t>
            </w:r>
            <w:r w:rsidR="0027443B">
              <w:rPr>
                <w:rFonts w:eastAsia="Calibri"/>
                <w:color w:val="000000"/>
                <w:sz w:val="18"/>
                <w:szCs w:val="18"/>
                <w:lang w:val="en-GB"/>
              </w:rPr>
              <w:t>0,000</w:t>
            </w:r>
          </w:p>
        </w:tc>
      </w:tr>
    </w:tbl>
    <w:tbl>
      <w:tblPr>
        <w:tblpPr w:leftFromText="180" w:rightFromText="180" w:vertAnchor="text" w:tblpX="-225" w:tblpY="1"/>
        <w:tblOverlap w:val="never"/>
        <w:tblW w:w="14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877"/>
        <w:gridCol w:w="2410"/>
        <w:gridCol w:w="5483"/>
        <w:gridCol w:w="2200"/>
        <w:gridCol w:w="1785"/>
      </w:tblGrid>
      <w:tr w:rsidR="00765F42" w:rsidRPr="00AE4C43" w14:paraId="0E77CDB9" w14:textId="77777777" w:rsidTr="00AE4C43">
        <w:tc>
          <w:tcPr>
            <w:tcW w:w="14755" w:type="dxa"/>
            <w:gridSpan w:val="5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1CF3B" w14:textId="05CE8F37" w:rsidR="00765F42" w:rsidRPr="00AE4C43" w:rsidRDefault="00765F42" w:rsidP="00AE4C43">
            <w:pPr>
              <w:rPr>
                <w:rFonts w:eastAsia="Calibri"/>
                <w:sz w:val="18"/>
                <w:szCs w:val="18"/>
                <w:lang w:val="en-GB"/>
              </w:rPr>
            </w:pPr>
            <w:r w:rsidRPr="004A7719">
              <w:rPr>
                <w:rFonts w:eastAsia="Calibri"/>
                <w:b/>
                <w:sz w:val="18"/>
                <w:szCs w:val="18"/>
                <w:lang w:val="en-GB"/>
              </w:rPr>
              <w:t>NATIONAL PRIORITY</w:t>
            </w:r>
            <w:r w:rsidRPr="00AE4C43">
              <w:rPr>
                <w:rFonts w:eastAsia="Calibri"/>
                <w:sz w:val="18"/>
                <w:szCs w:val="18"/>
                <w:lang w:val="en-GB"/>
              </w:rPr>
              <w:t>: Improvement of the quality of environment, maintenance of ecosystem stability, energy security and transit to innovative, efficient and sustainable use of energy resources</w:t>
            </w:r>
          </w:p>
        </w:tc>
      </w:tr>
      <w:tr w:rsidR="00765F42" w:rsidRPr="00AE4C43" w14:paraId="3AEDF4BF" w14:textId="77777777" w:rsidTr="00AE4C43">
        <w:tc>
          <w:tcPr>
            <w:tcW w:w="14755" w:type="dxa"/>
            <w:gridSpan w:val="5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BEA08" w14:textId="5EED66E3" w:rsidR="00765F42" w:rsidRPr="00AE4C43" w:rsidRDefault="00765F42" w:rsidP="001F425B">
            <w:pPr>
              <w:rPr>
                <w:rFonts w:eastAsia="Calibri"/>
                <w:sz w:val="18"/>
                <w:szCs w:val="18"/>
                <w:lang w:val="en-GB"/>
              </w:rPr>
            </w:pPr>
            <w:r w:rsidRPr="004A7719">
              <w:rPr>
                <w:rFonts w:eastAsia="Calibri"/>
                <w:b/>
                <w:sz w:val="18"/>
                <w:szCs w:val="18"/>
                <w:lang w:val="en-GB"/>
              </w:rPr>
              <w:t xml:space="preserve">RELATED NATIONALLY ADOPTED </w:t>
            </w:r>
            <w:r w:rsidR="001F425B">
              <w:rPr>
                <w:rFonts w:eastAsia="Calibri"/>
                <w:b/>
                <w:sz w:val="18"/>
                <w:szCs w:val="18"/>
                <w:lang w:val="en-GB"/>
              </w:rPr>
              <w:t>SUSTAINABLE DEVELOPMENT GOALS</w:t>
            </w:r>
            <w:r w:rsidRPr="00AE4C43">
              <w:rPr>
                <w:rFonts w:eastAsia="Calibri"/>
                <w:sz w:val="18"/>
                <w:szCs w:val="18"/>
                <w:lang w:val="en-GB"/>
              </w:rPr>
              <w:t>: 6,7,11,12,13,14,15</w:t>
            </w:r>
          </w:p>
        </w:tc>
      </w:tr>
      <w:tr w:rsidR="00765F42" w:rsidRPr="00AE4C43" w14:paraId="1DB09BC8" w14:textId="77777777" w:rsidTr="00AE4C43">
        <w:tc>
          <w:tcPr>
            <w:tcW w:w="14755" w:type="dxa"/>
            <w:gridSpan w:val="5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313EF" w14:textId="77777777" w:rsidR="00765F42" w:rsidRPr="00AE4C43" w:rsidRDefault="00765F42" w:rsidP="00AE4C43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  <w:r w:rsidRPr="004A7719">
              <w:rPr>
                <w:rFonts w:eastAsia="Calibri"/>
                <w:b/>
                <w:sz w:val="18"/>
                <w:szCs w:val="18"/>
                <w:lang w:val="en-GB"/>
              </w:rPr>
              <w:t>UNDAF OUTCOME</w:t>
            </w:r>
            <w:r w:rsidRPr="00AE4C43">
              <w:rPr>
                <w:rFonts w:eastAsia="Calibri"/>
                <w:sz w:val="18"/>
                <w:szCs w:val="18"/>
                <w:lang w:val="en-GB"/>
              </w:rPr>
              <w:t>: 4.2. By 2022, national institutions, private business and communities implement gender-responsive policies and practices to achieve sustainable management of natural resources, preservation of ecosystems, mitigation, adaptation to climate change and generation of green jobs</w:t>
            </w:r>
          </w:p>
        </w:tc>
      </w:tr>
      <w:tr w:rsidR="00765F42" w:rsidRPr="00AE4C43" w14:paraId="27F94497" w14:textId="77777777" w:rsidTr="00AE4C43">
        <w:tc>
          <w:tcPr>
            <w:tcW w:w="1475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06F9" w14:textId="46F61238" w:rsidR="00765F42" w:rsidRPr="00AE4C43" w:rsidRDefault="00765F42" w:rsidP="006D6145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  <w:r w:rsidRPr="004A7719">
              <w:rPr>
                <w:rFonts w:eastAsia="Calibri"/>
                <w:b/>
                <w:sz w:val="18"/>
                <w:szCs w:val="18"/>
                <w:lang w:val="en-GB"/>
              </w:rPr>
              <w:t>S</w:t>
            </w:r>
            <w:r w:rsidR="006D6145">
              <w:rPr>
                <w:rFonts w:eastAsia="Calibri"/>
                <w:b/>
                <w:sz w:val="18"/>
                <w:szCs w:val="18"/>
                <w:lang w:val="en-GB"/>
              </w:rPr>
              <w:t xml:space="preserve">trategic </w:t>
            </w:r>
            <w:r w:rsidRPr="004A7719">
              <w:rPr>
                <w:rFonts w:eastAsia="Calibri"/>
                <w:b/>
                <w:sz w:val="18"/>
                <w:szCs w:val="18"/>
                <w:lang w:val="en-GB"/>
              </w:rPr>
              <w:t>P</w:t>
            </w:r>
            <w:r w:rsidR="006D6145">
              <w:rPr>
                <w:rFonts w:eastAsia="Calibri"/>
                <w:b/>
                <w:sz w:val="18"/>
                <w:szCs w:val="18"/>
                <w:lang w:val="en-GB"/>
              </w:rPr>
              <w:t>lan,</w:t>
            </w:r>
            <w:r w:rsidRPr="004A7719">
              <w:rPr>
                <w:rFonts w:eastAsia="Calibri"/>
                <w:b/>
                <w:sz w:val="18"/>
                <w:szCs w:val="18"/>
                <w:lang w:val="en-GB"/>
              </w:rPr>
              <w:t xml:space="preserve"> 2014-2017 OUTCOME</w:t>
            </w:r>
            <w:r w:rsidRPr="00AE4C43">
              <w:rPr>
                <w:rFonts w:eastAsia="Calibri"/>
                <w:sz w:val="18"/>
                <w:szCs w:val="18"/>
                <w:lang w:val="en-GB"/>
              </w:rPr>
              <w:t xml:space="preserve">: 1. Growth is inclusive and sustainable, incorporating productive capacities that create employment and livelihoods for the poor and excluded </w:t>
            </w:r>
          </w:p>
        </w:tc>
      </w:tr>
      <w:tr w:rsidR="00765F42" w:rsidRPr="00E5217A" w14:paraId="5E43A865" w14:textId="77777777" w:rsidTr="005B6DCB">
        <w:tc>
          <w:tcPr>
            <w:tcW w:w="2877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75764" w14:textId="77777777" w:rsidR="00765F42" w:rsidRPr="00E5217A" w:rsidRDefault="00917337" w:rsidP="00AE4C43">
            <w:pPr>
              <w:widowControl w:val="0"/>
              <w:rPr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3</w:t>
            </w:r>
            <w:r w:rsidR="00765F42" w:rsidRPr="00E5217A">
              <w:rPr>
                <w:rFonts w:eastAsia="Calibri"/>
                <w:b/>
                <w:sz w:val="18"/>
                <w:szCs w:val="18"/>
                <w:lang w:val="en-GB"/>
              </w:rPr>
              <w:t>.1.</w:t>
            </w:r>
            <w:r w:rsidR="00765F42" w:rsidRPr="00E5217A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6227A5" w:rsidRPr="00E5217A">
              <w:rPr>
                <w:rFonts w:eastAsia="Calibri"/>
                <w:b/>
                <w:sz w:val="18"/>
                <w:szCs w:val="18"/>
                <w:lang w:val="en-GB"/>
              </w:rPr>
              <w:t>S</w:t>
            </w:r>
            <w:r w:rsidR="00765F42" w:rsidRPr="00E5217A">
              <w:rPr>
                <w:rFonts w:eastAsia="Calibri"/>
                <w:b/>
                <w:sz w:val="18"/>
                <w:szCs w:val="18"/>
                <w:lang w:val="en-GB"/>
              </w:rPr>
              <w:t xml:space="preserve">hare of areas of territories and natural reserves in the total </w:t>
            </w:r>
            <w:r w:rsidR="00765F42" w:rsidRPr="00E5217A">
              <w:rPr>
                <w:rFonts w:eastAsia="Calibri"/>
                <w:b/>
                <w:sz w:val="18"/>
                <w:szCs w:val="18"/>
                <w:lang w:val="en-GB"/>
              </w:rPr>
              <w:lastRenderedPageBreak/>
              <w:t xml:space="preserve">territory </w:t>
            </w:r>
            <w:r w:rsidR="00765F42" w:rsidRPr="00E5217A">
              <w:rPr>
                <w:rFonts w:eastAsia="Calibri"/>
                <w:sz w:val="18"/>
                <w:szCs w:val="18"/>
                <w:lang w:val="en-GB"/>
              </w:rPr>
              <w:t>(SDG)</w:t>
            </w:r>
          </w:p>
          <w:p w14:paraId="58C080C0" w14:textId="6197AAA0" w:rsidR="00765F42" w:rsidRPr="00E5217A" w:rsidRDefault="00765F42" w:rsidP="00AE4C43">
            <w:pPr>
              <w:widowControl w:val="0"/>
              <w:rPr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Baseline (2015):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 6.</w:t>
            </w:r>
            <w:r w:rsidR="00755EF2">
              <w:rPr>
                <w:rFonts w:eastAsia="Calibri"/>
                <w:sz w:val="18"/>
                <w:szCs w:val="18"/>
                <w:lang w:val="en-GB"/>
              </w:rPr>
              <w:t>3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% </w:t>
            </w:r>
          </w:p>
          <w:p w14:paraId="6C183564" w14:textId="77777777" w:rsidR="00917337" w:rsidRPr="00E5217A" w:rsidRDefault="00765F42" w:rsidP="00AE4C43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Target (2020):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 10.4% </w:t>
            </w:r>
          </w:p>
          <w:p w14:paraId="77C52FE4" w14:textId="77777777" w:rsidR="00917337" w:rsidRPr="00E5217A" w:rsidRDefault="00917337" w:rsidP="00AE4C43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</w:p>
          <w:p w14:paraId="62CB33B0" w14:textId="1279AD92" w:rsidR="00765F42" w:rsidRPr="00E5217A" w:rsidRDefault="00917337" w:rsidP="00AE4C43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3</w:t>
            </w:r>
            <w:r w:rsidR="00765F42" w:rsidRPr="00E5217A">
              <w:rPr>
                <w:rFonts w:eastAsia="Calibri"/>
                <w:b/>
                <w:sz w:val="18"/>
                <w:szCs w:val="18"/>
                <w:lang w:val="en-GB"/>
              </w:rPr>
              <w:t>.2</w:t>
            </w: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.</w:t>
            </w:r>
            <w:r w:rsidR="00765F42" w:rsidRPr="00E5217A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1200C9" w:rsidRPr="00E5217A">
              <w:rPr>
                <w:rFonts w:eastAsia="Calibri"/>
                <w:b/>
                <w:sz w:val="18"/>
                <w:szCs w:val="18"/>
                <w:lang w:val="en-GB"/>
              </w:rPr>
              <w:t>S</w:t>
            </w:r>
            <w:r w:rsidR="00765F42" w:rsidRPr="00E5217A">
              <w:rPr>
                <w:rFonts w:eastAsia="Calibri"/>
                <w:b/>
                <w:sz w:val="18"/>
                <w:szCs w:val="18"/>
                <w:lang w:val="en-GB"/>
              </w:rPr>
              <w:t xml:space="preserve">hare of energy produced from renewable sources in the total final energy consumption </w:t>
            </w:r>
            <w:r w:rsidR="00765F42" w:rsidRPr="00E5217A">
              <w:rPr>
                <w:rFonts w:eastAsia="Calibri"/>
                <w:sz w:val="18"/>
                <w:szCs w:val="18"/>
                <w:lang w:val="en-GB"/>
              </w:rPr>
              <w:t>(SDG)</w:t>
            </w:r>
            <w:r w:rsidR="00765F42" w:rsidRPr="00E5217A">
              <w:rPr>
                <w:rFonts w:eastAsia="Calibri"/>
                <w:sz w:val="18"/>
                <w:szCs w:val="18"/>
                <w:lang w:val="en-GB"/>
              </w:rPr>
              <w:br/>
            </w:r>
            <w:r w:rsidR="00765F42" w:rsidRPr="00E5217A">
              <w:rPr>
                <w:rFonts w:eastAsia="Calibri"/>
                <w:b/>
                <w:sz w:val="18"/>
                <w:szCs w:val="18"/>
                <w:lang w:val="en-GB"/>
              </w:rPr>
              <w:t>Baseline (2015):</w:t>
            </w:r>
            <w:r w:rsidR="00765F42" w:rsidRPr="00E5217A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755EF2">
              <w:rPr>
                <w:rFonts w:eastAsia="Calibri"/>
                <w:sz w:val="18"/>
                <w:szCs w:val="18"/>
                <w:lang w:val="en-GB"/>
              </w:rPr>
              <w:t>4.9</w:t>
            </w:r>
            <w:r w:rsidR="00765F42" w:rsidRPr="00E5217A">
              <w:rPr>
                <w:rFonts w:eastAsia="Calibri"/>
                <w:sz w:val="18"/>
                <w:szCs w:val="18"/>
                <w:lang w:val="en-GB"/>
              </w:rPr>
              <w:t xml:space="preserve">% </w:t>
            </w:r>
            <w:r w:rsidR="00765F42" w:rsidRPr="00E5217A">
              <w:rPr>
                <w:rFonts w:eastAsia="Calibri"/>
                <w:sz w:val="18"/>
                <w:szCs w:val="18"/>
                <w:lang w:val="en-GB"/>
              </w:rPr>
              <w:br/>
            </w:r>
            <w:r w:rsidR="00765F42" w:rsidRPr="00E5217A">
              <w:rPr>
                <w:rFonts w:eastAsia="Calibri"/>
                <w:b/>
                <w:sz w:val="18"/>
                <w:szCs w:val="18"/>
                <w:lang w:val="en-GB"/>
              </w:rPr>
              <w:t>Target (2020</w:t>
            </w:r>
            <w:r w:rsidR="00765F42" w:rsidRPr="00E5217A">
              <w:rPr>
                <w:rFonts w:eastAsia="Calibri"/>
                <w:sz w:val="18"/>
                <w:szCs w:val="18"/>
                <w:lang w:val="en-GB"/>
              </w:rPr>
              <w:t xml:space="preserve">): 11% </w:t>
            </w:r>
          </w:p>
          <w:p w14:paraId="288ADC80" w14:textId="77777777" w:rsidR="00765F42" w:rsidRPr="00E5217A" w:rsidRDefault="00765F42" w:rsidP="00AE4C43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</w:p>
          <w:p w14:paraId="7239F41D" w14:textId="77777777" w:rsidR="00765F42" w:rsidRPr="00E5217A" w:rsidRDefault="00917337" w:rsidP="00AE4C43">
            <w:pPr>
              <w:widowControl w:val="0"/>
              <w:rPr>
                <w:sz w:val="18"/>
                <w:szCs w:val="18"/>
                <w:lang w:val="en-GB"/>
              </w:rPr>
            </w:pPr>
            <w:r w:rsidRPr="00E5217A">
              <w:rPr>
                <w:b/>
                <w:sz w:val="18"/>
                <w:szCs w:val="18"/>
                <w:lang w:val="en-GB"/>
              </w:rPr>
              <w:t>3</w:t>
            </w:r>
            <w:r w:rsidR="00765F42" w:rsidRPr="00E5217A">
              <w:rPr>
                <w:b/>
                <w:sz w:val="18"/>
                <w:szCs w:val="18"/>
                <w:lang w:val="en-GB"/>
              </w:rPr>
              <w:t>.</w:t>
            </w:r>
            <w:r w:rsidRPr="00E5217A">
              <w:rPr>
                <w:b/>
                <w:sz w:val="18"/>
                <w:szCs w:val="18"/>
                <w:lang w:val="en-GB"/>
              </w:rPr>
              <w:t>3</w:t>
            </w:r>
            <w:r w:rsidR="00765F42" w:rsidRPr="00E5217A">
              <w:rPr>
                <w:b/>
                <w:sz w:val="18"/>
                <w:szCs w:val="18"/>
                <w:lang w:val="en-GB"/>
              </w:rPr>
              <w:t>. Share of population benefiting from improved coverage by cost-efficient and sustainable energy in the public sector, by sex</w:t>
            </w:r>
            <w:r w:rsidR="00765F42" w:rsidRPr="00E5217A">
              <w:rPr>
                <w:sz w:val="18"/>
                <w:szCs w:val="18"/>
                <w:lang w:val="en-GB"/>
              </w:rPr>
              <w:t xml:space="preserve"> [IRRF 1.4.]</w:t>
            </w:r>
          </w:p>
          <w:p w14:paraId="3456DFAB" w14:textId="77777777" w:rsidR="00765F42" w:rsidRPr="00E5217A" w:rsidRDefault="00765F42" w:rsidP="00AE4C43">
            <w:pPr>
              <w:widowControl w:val="0"/>
              <w:rPr>
                <w:sz w:val="18"/>
                <w:szCs w:val="18"/>
                <w:lang w:val="en-GB"/>
              </w:rPr>
            </w:pPr>
            <w:r w:rsidRPr="00E5217A">
              <w:rPr>
                <w:b/>
                <w:sz w:val="18"/>
                <w:szCs w:val="18"/>
                <w:lang w:val="en-GB"/>
              </w:rPr>
              <w:t>Baseline (2016):</w:t>
            </w:r>
            <w:r w:rsidRPr="00E5217A">
              <w:rPr>
                <w:sz w:val="18"/>
                <w:szCs w:val="18"/>
                <w:lang w:val="en-GB"/>
              </w:rPr>
              <w:t xml:space="preserve"> 0</w:t>
            </w:r>
          </w:p>
          <w:p w14:paraId="03CF6297" w14:textId="77777777" w:rsidR="00765F42" w:rsidRPr="00E5217A" w:rsidRDefault="00765F42" w:rsidP="00AE4C43">
            <w:pPr>
              <w:widowControl w:val="0"/>
              <w:rPr>
                <w:sz w:val="18"/>
                <w:szCs w:val="18"/>
                <w:lang w:val="en-GB"/>
              </w:rPr>
            </w:pPr>
            <w:r w:rsidRPr="00E5217A">
              <w:rPr>
                <w:b/>
                <w:sz w:val="18"/>
                <w:szCs w:val="18"/>
                <w:lang w:val="en-GB"/>
              </w:rPr>
              <w:t>Target (2022):</w:t>
            </w:r>
            <w:r w:rsidRPr="00E5217A">
              <w:rPr>
                <w:sz w:val="18"/>
                <w:szCs w:val="18"/>
                <w:lang w:val="en-GB"/>
              </w:rPr>
              <w:t xml:space="preserve"> 15% (women), 15% (men) 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605E890" w14:textId="77777777" w:rsidR="00765F42" w:rsidRPr="00E5217A" w:rsidRDefault="00765F42" w:rsidP="00AE4C43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lastRenderedPageBreak/>
              <w:t>Source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>: Ministry of Ecology and Natural Resources</w:t>
            </w:r>
          </w:p>
          <w:p w14:paraId="6BB7AE82" w14:textId="77777777" w:rsidR="00765F42" w:rsidRPr="00E5217A" w:rsidRDefault="00765F42" w:rsidP="00AE4C43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lastRenderedPageBreak/>
              <w:t>Frequency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>: annual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br/>
            </w: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Responsible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>: FAO</w:t>
            </w:r>
          </w:p>
          <w:p w14:paraId="00AE9509" w14:textId="77777777" w:rsidR="00765F42" w:rsidRPr="00E5217A" w:rsidRDefault="00765F42" w:rsidP="00AE4C43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</w:p>
          <w:p w14:paraId="44982BA6" w14:textId="77777777" w:rsidR="00917337" w:rsidRPr="00E5217A" w:rsidRDefault="00917337" w:rsidP="00AE4C43">
            <w:pPr>
              <w:widowControl w:val="0"/>
              <w:rPr>
                <w:rFonts w:eastAsia="Calibri"/>
                <w:b/>
                <w:sz w:val="18"/>
                <w:szCs w:val="18"/>
                <w:lang w:val="en-GB"/>
              </w:rPr>
            </w:pPr>
          </w:p>
          <w:p w14:paraId="1CCF4DAF" w14:textId="6925C017" w:rsidR="00765F42" w:rsidRPr="00E5217A" w:rsidRDefault="00765F42" w:rsidP="00AE4C43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Source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: </w:t>
            </w:r>
            <w:r w:rsidR="0027443B">
              <w:rPr>
                <w:rFonts w:eastAsia="Calibri"/>
                <w:sz w:val="18"/>
                <w:szCs w:val="18"/>
                <w:lang w:val="en-GB"/>
              </w:rPr>
              <w:t>State Statistics Service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br/>
            </w: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Frequency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>: annual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br/>
            </w: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Responsible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>: UNDP</w:t>
            </w:r>
          </w:p>
          <w:p w14:paraId="57E3F15D" w14:textId="77777777" w:rsidR="00765F42" w:rsidRPr="00E5217A" w:rsidRDefault="00765F42" w:rsidP="00AE4C43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</w:p>
          <w:p w14:paraId="5EAF5EDD" w14:textId="77777777" w:rsidR="00765F42" w:rsidRPr="00E5217A" w:rsidRDefault="00765F42" w:rsidP="00AE4C43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</w:p>
          <w:p w14:paraId="08D73B93" w14:textId="77777777" w:rsidR="00765F42" w:rsidRPr="00E5217A" w:rsidRDefault="00765F42" w:rsidP="00AE4C43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</w:p>
          <w:p w14:paraId="44153079" w14:textId="77777777" w:rsidR="00765F42" w:rsidRPr="00E5217A" w:rsidRDefault="00765F42" w:rsidP="00AE4C43">
            <w:pPr>
              <w:widowControl w:val="0"/>
              <w:rPr>
                <w:sz w:val="18"/>
                <w:szCs w:val="18"/>
                <w:lang w:val="en-GB"/>
              </w:rPr>
            </w:pPr>
          </w:p>
          <w:p w14:paraId="7BF16307" w14:textId="5490EC87" w:rsidR="00765F42" w:rsidRPr="00E5217A" w:rsidRDefault="00765F42" w:rsidP="00AE4C43">
            <w:pPr>
              <w:widowControl w:val="0"/>
              <w:rPr>
                <w:sz w:val="18"/>
                <w:szCs w:val="18"/>
                <w:lang w:val="en-GB"/>
              </w:rPr>
            </w:pPr>
            <w:r w:rsidRPr="00E5217A">
              <w:rPr>
                <w:b/>
                <w:sz w:val="18"/>
                <w:szCs w:val="18"/>
                <w:lang w:val="en-GB"/>
              </w:rPr>
              <w:t>Source</w:t>
            </w:r>
            <w:r w:rsidRPr="00E5217A">
              <w:rPr>
                <w:sz w:val="18"/>
                <w:szCs w:val="18"/>
                <w:lang w:val="en-GB"/>
              </w:rPr>
              <w:t xml:space="preserve">: </w:t>
            </w:r>
            <w:r w:rsidR="001F425B">
              <w:rPr>
                <w:rFonts w:eastAsia="Calibri"/>
                <w:sz w:val="18"/>
                <w:szCs w:val="18"/>
                <w:lang w:val="en-GB"/>
              </w:rPr>
              <w:t xml:space="preserve"> State Statistics Service</w:t>
            </w:r>
          </w:p>
          <w:p w14:paraId="7670F1E9" w14:textId="77777777" w:rsidR="00765F42" w:rsidRPr="00E5217A" w:rsidRDefault="00765F42" w:rsidP="00AE4C43">
            <w:pPr>
              <w:widowControl w:val="0"/>
              <w:rPr>
                <w:sz w:val="18"/>
                <w:szCs w:val="18"/>
                <w:lang w:val="en-GB"/>
              </w:rPr>
            </w:pPr>
            <w:r w:rsidRPr="00E5217A">
              <w:rPr>
                <w:b/>
                <w:sz w:val="18"/>
                <w:szCs w:val="18"/>
                <w:lang w:val="en-GB"/>
              </w:rPr>
              <w:t>Frequency</w:t>
            </w:r>
            <w:r w:rsidRPr="00E5217A">
              <w:rPr>
                <w:sz w:val="18"/>
                <w:szCs w:val="18"/>
                <w:lang w:val="en-GB"/>
              </w:rPr>
              <w:t xml:space="preserve">: annual </w:t>
            </w:r>
          </w:p>
          <w:p w14:paraId="65FD66E9" w14:textId="77777777" w:rsidR="00765F42" w:rsidRPr="00E5217A" w:rsidRDefault="00765F42" w:rsidP="00AE4C43">
            <w:pPr>
              <w:widowControl w:val="0"/>
              <w:rPr>
                <w:sz w:val="18"/>
                <w:szCs w:val="18"/>
                <w:lang w:val="en-GB"/>
              </w:rPr>
            </w:pPr>
            <w:r w:rsidRPr="00E5217A">
              <w:rPr>
                <w:b/>
                <w:sz w:val="18"/>
                <w:szCs w:val="18"/>
                <w:lang w:val="en-GB"/>
              </w:rPr>
              <w:t>Responsible</w:t>
            </w:r>
            <w:r w:rsidRPr="00E5217A">
              <w:rPr>
                <w:sz w:val="18"/>
                <w:szCs w:val="18"/>
                <w:lang w:val="en-GB"/>
              </w:rPr>
              <w:t>: UNDP</w:t>
            </w:r>
          </w:p>
        </w:tc>
        <w:tc>
          <w:tcPr>
            <w:tcW w:w="5483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1EECE" w14:textId="77777777" w:rsidR="00765F42" w:rsidRPr="00E5217A" w:rsidRDefault="00765F42" w:rsidP="00AE4C43">
            <w:pPr>
              <w:rPr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lastRenderedPageBreak/>
              <w:t xml:space="preserve">Output 3.1. 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>Comprehensive measures on climate change adaptation and mitigation across various sectors are scaled up</w:t>
            </w:r>
          </w:p>
          <w:p w14:paraId="59133FD5" w14:textId="77777777" w:rsidR="00765F42" w:rsidRPr="00E5217A" w:rsidRDefault="00765F42" w:rsidP="00AE4C43">
            <w:pPr>
              <w:widowControl w:val="0"/>
              <w:rPr>
                <w:sz w:val="18"/>
                <w:szCs w:val="18"/>
                <w:lang w:val="en-GB"/>
              </w:rPr>
            </w:pPr>
          </w:p>
          <w:p w14:paraId="5284B6E7" w14:textId="77777777" w:rsidR="00765F42" w:rsidRPr="00E5217A" w:rsidRDefault="00765F42" w:rsidP="00801C9A">
            <w:pPr>
              <w:widowControl w:val="0"/>
              <w:shd w:val="clear" w:color="auto" w:fill="FFFFFF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 xml:space="preserve">Indicator 3.1.1: 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>Extent to which implementation of comprehensive measures (plans, strategies, policies, programmes and budgets) to achieve low-emission and</w:t>
            </w: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 xml:space="preserve"> 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climate-resilient development objectives have improved </w:t>
            </w:r>
            <w:r w:rsidRPr="00E5217A">
              <w:rPr>
                <w:rFonts w:eastAsia="Calibri"/>
                <w:sz w:val="18"/>
                <w:szCs w:val="18"/>
                <w:shd w:val="clear" w:color="auto" w:fill="FFFFFF"/>
                <w:lang w:val="en-GB"/>
              </w:rPr>
              <w:t>[IRRF 1.4.2]</w:t>
            </w:r>
            <w:r w:rsidRPr="00E5217A">
              <w:rPr>
                <w:rFonts w:eastAsia="Calibri"/>
                <w:b/>
                <w:sz w:val="18"/>
                <w:szCs w:val="18"/>
                <w:shd w:val="clear" w:color="auto" w:fill="FFFFFF"/>
                <w:vertAlign w:val="superscript"/>
                <w:lang w:val="en-GB"/>
              </w:rPr>
              <w:footnoteReference w:id="33"/>
            </w:r>
          </w:p>
          <w:p w14:paraId="4869A4AB" w14:textId="77777777" w:rsidR="00765F42" w:rsidRPr="00E5217A" w:rsidRDefault="00765F42" w:rsidP="00801C9A">
            <w:pPr>
              <w:widowControl w:val="0"/>
              <w:shd w:val="clear" w:color="auto" w:fill="FFFFFF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Baseline (2016):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 1</w:t>
            </w:r>
          </w:p>
          <w:p w14:paraId="17DF0B6A" w14:textId="77777777" w:rsidR="00765F42" w:rsidRPr="00E5217A" w:rsidRDefault="00765F42" w:rsidP="00801C9A">
            <w:pPr>
              <w:widowControl w:val="0"/>
              <w:shd w:val="clear" w:color="auto" w:fill="FFFFFF"/>
              <w:rPr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Target (2022):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 4 </w:t>
            </w:r>
          </w:p>
          <w:p w14:paraId="62C5AC6F" w14:textId="77777777" w:rsidR="00765F42" w:rsidRPr="00E5217A" w:rsidRDefault="00765F42" w:rsidP="00801C9A">
            <w:pPr>
              <w:widowControl w:val="0"/>
              <w:shd w:val="clear" w:color="auto" w:fill="FFFFFF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Source: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 Annual desk review </w:t>
            </w: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(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>plans, strategies, policies, programmes and budgets)</w:t>
            </w:r>
          </w:p>
          <w:p w14:paraId="547510BD" w14:textId="77777777" w:rsidR="00765F42" w:rsidRPr="00E5217A" w:rsidRDefault="00765F42" w:rsidP="00801C9A">
            <w:pPr>
              <w:widowControl w:val="0"/>
              <w:shd w:val="clear" w:color="auto" w:fill="FFFFFF"/>
              <w:rPr>
                <w:rFonts w:eastAsia="Calibri"/>
                <w:sz w:val="18"/>
                <w:szCs w:val="18"/>
                <w:lang w:val="en-GB"/>
              </w:rPr>
            </w:pPr>
          </w:p>
          <w:p w14:paraId="2A100A83" w14:textId="61046DAA" w:rsidR="00765F42" w:rsidRPr="00E5217A" w:rsidRDefault="00765F42" w:rsidP="00801C9A">
            <w:pPr>
              <w:widowControl w:val="0"/>
              <w:shd w:val="clear" w:color="auto" w:fill="FFFFFF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Indicator 3.1.2: Number of local civil servants and CSO members with improved knowledge and skills on effective climate change-related planning and management because of UNDP training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</w:p>
          <w:p w14:paraId="447013FD" w14:textId="77777777" w:rsidR="00765F42" w:rsidRPr="00E5217A" w:rsidRDefault="00765F42" w:rsidP="00801C9A">
            <w:pPr>
              <w:widowControl w:val="0"/>
              <w:shd w:val="clear" w:color="auto" w:fill="FFFFFF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Baseline (2016):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 0</w:t>
            </w:r>
          </w:p>
          <w:p w14:paraId="1ABBA6EE" w14:textId="77777777" w:rsidR="00765F42" w:rsidRPr="00E5217A" w:rsidRDefault="00765F42" w:rsidP="00801C9A">
            <w:pPr>
              <w:widowControl w:val="0"/>
              <w:shd w:val="clear" w:color="auto" w:fill="FFFFFF"/>
              <w:jc w:val="both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Target (2022):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 300 (women), 300 (men)</w:t>
            </w:r>
          </w:p>
          <w:p w14:paraId="2BFFC005" w14:textId="77777777" w:rsidR="00765F42" w:rsidRPr="00E5217A" w:rsidRDefault="00765F42" w:rsidP="00801C9A">
            <w:pPr>
              <w:widowControl w:val="0"/>
              <w:shd w:val="clear" w:color="auto" w:fill="FFFFFF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Source: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 project databases, training documents</w:t>
            </w:r>
          </w:p>
          <w:p w14:paraId="0D764534" w14:textId="77777777" w:rsidR="00765F42" w:rsidRPr="00E5217A" w:rsidRDefault="00765F42" w:rsidP="00801C9A">
            <w:pPr>
              <w:widowControl w:val="0"/>
              <w:shd w:val="clear" w:color="auto" w:fill="FFFFFF"/>
              <w:rPr>
                <w:rFonts w:eastAsia="Calibri"/>
                <w:sz w:val="18"/>
                <w:szCs w:val="18"/>
                <w:lang w:val="en-GB"/>
              </w:rPr>
            </w:pPr>
          </w:p>
          <w:p w14:paraId="0D499703" w14:textId="77777777" w:rsidR="00765F42" w:rsidRPr="00E5217A" w:rsidRDefault="00765F42" w:rsidP="00AE4C43">
            <w:pPr>
              <w:shd w:val="clear" w:color="auto" w:fill="FFFFFF"/>
              <w:rPr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Output 3.2. Local authorities and communities adopt gender-responsive and sustainable solutions for increased energy efficiency and modern energy access, especially of renewable energy</w:t>
            </w:r>
          </w:p>
          <w:p w14:paraId="5B330DA1" w14:textId="77777777" w:rsidR="00765F42" w:rsidRPr="00E5217A" w:rsidRDefault="00765F42" w:rsidP="00AE4C43">
            <w:pPr>
              <w:widowControl w:val="0"/>
              <w:shd w:val="clear" w:color="auto" w:fill="FFFFFF"/>
              <w:ind w:left="331"/>
              <w:rPr>
                <w:sz w:val="18"/>
                <w:szCs w:val="18"/>
                <w:lang w:val="en-GB"/>
              </w:rPr>
            </w:pPr>
          </w:p>
          <w:p w14:paraId="509EB487" w14:textId="77777777" w:rsidR="00765F42" w:rsidRPr="00E5217A" w:rsidRDefault="00765F42" w:rsidP="00801C9A">
            <w:pPr>
              <w:widowControl w:val="0"/>
              <w:shd w:val="clear" w:color="auto" w:fill="FFFFFF"/>
              <w:rPr>
                <w:b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 xml:space="preserve">Indicator 3.2.1: Number of new renewable energy generation sites </w:t>
            </w:r>
          </w:p>
          <w:p w14:paraId="73806D1E" w14:textId="77777777" w:rsidR="00765F42" w:rsidRPr="00E5217A" w:rsidRDefault="00765F42" w:rsidP="00801C9A">
            <w:pPr>
              <w:widowControl w:val="0"/>
              <w:shd w:val="clear" w:color="auto" w:fill="FFFFFF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Baseline (2016):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 0</w:t>
            </w:r>
          </w:p>
          <w:p w14:paraId="20E6FC14" w14:textId="77777777" w:rsidR="00765F42" w:rsidRPr="00E5217A" w:rsidRDefault="00765F42" w:rsidP="00801C9A">
            <w:pPr>
              <w:widowControl w:val="0"/>
              <w:shd w:val="clear" w:color="auto" w:fill="FFFFFF"/>
              <w:rPr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Target (2022):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 20</w:t>
            </w:r>
          </w:p>
          <w:p w14:paraId="58615F8F" w14:textId="77777777" w:rsidR="00765F42" w:rsidRPr="00E5217A" w:rsidRDefault="00765F42" w:rsidP="00801C9A">
            <w:pPr>
              <w:widowControl w:val="0"/>
              <w:shd w:val="clear" w:color="auto" w:fill="FFFFFF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Source: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 Ministry of Energy reports</w:t>
            </w:r>
          </w:p>
          <w:p w14:paraId="2A9BD80D" w14:textId="77777777" w:rsidR="00765F42" w:rsidRPr="00E5217A" w:rsidRDefault="00765F42" w:rsidP="00801C9A">
            <w:pPr>
              <w:widowControl w:val="0"/>
              <w:shd w:val="clear" w:color="auto" w:fill="FFFFFF"/>
              <w:rPr>
                <w:rFonts w:eastAsia="Calibri"/>
                <w:sz w:val="18"/>
                <w:szCs w:val="18"/>
                <w:lang w:val="en-GB"/>
              </w:rPr>
            </w:pPr>
          </w:p>
          <w:p w14:paraId="37BC422A" w14:textId="77777777" w:rsidR="00765F42" w:rsidRPr="00E5217A" w:rsidRDefault="00765F42" w:rsidP="00801C9A">
            <w:pPr>
              <w:widowControl w:val="0"/>
              <w:shd w:val="clear" w:color="auto" w:fill="FFFFFF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 xml:space="preserve">Indicator 3.2.2: Number of public spaces and buildings with improved level of energy efficiency in target municipalities </w:t>
            </w:r>
          </w:p>
          <w:p w14:paraId="4C431E1F" w14:textId="77777777" w:rsidR="00765F42" w:rsidRPr="00E5217A" w:rsidRDefault="00765F42" w:rsidP="00801C9A">
            <w:pPr>
              <w:widowControl w:val="0"/>
              <w:shd w:val="clear" w:color="auto" w:fill="FFFFFF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sz w:val="18"/>
                <w:szCs w:val="18"/>
                <w:lang w:val="en-GB"/>
              </w:rPr>
              <w:t>Baseline (2016): 0</w:t>
            </w:r>
          </w:p>
          <w:p w14:paraId="45E7756F" w14:textId="684712B6" w:rsidR="00765F42" w:rsidRPr="00E5217A" w:rsidRDefault="00765F42" w:rsidP="00801C9A">
            <w:pPr>
              <w:widowControl w:val="0"/>
              <w:shd w:val="clear" w:color="auto" w:fill="FFFFFF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sz w:val="18"/>
                <w:szCs w:val="18"/>
                <w:lang w:val="en-GB"/>
              </w:rPr>
              <w:t>Target (20</w:t>
            </w:r>
            <w:r w:rsidR="00966E62">
              <w:rPr>
                <w:rFonts w:eastAsia="Calibri"/>
                <w:sz w:val="18"/>
                <w:szCs w:val="18"/>
                <w:lang w:val="en-GB"/>
              </w:rPr>
              <w:t>22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>): 20 (public spaces), 20 (buildings)</w:t>
            </w:r>
          </w:p>
          <w:p w14:paraId="5B910BEC" w14:textId="09A5C097" w:rsidR="00765F42" w:rsidRPr="00E5217A" w:rsidRDefault="00765F42" w:rsidP="00801C9A">
            <w:pPr>
              <w:widowControl w:val="0"/>
              <w:shd w:val="clear" w:color="auto" w:fill="FFFFFF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Source: </w:t>
            </w:r>
            <w:r w:rsidR="0027443B" w:rsidRPr="00E5217A">
              <w:rPr>
                <w:rFonts w:eastAsia="Calibri"/>
                <w:sz w:val="18"/>
                <w:szCs w:val="18"/>
                <w:lang w:val="en-GB"/>
              </w:rPr>
              <w:t>M</w:t>
            </w:r>
            <w:r w:rsidR="0027443B">
              <w:rPr>
                <w:rFonts w:eastAsia="Calibri"/>
                <w:sz w:val="18"/>
                <w:szCs w:val="18"/>
                <w:lang w:val="en-GB"/>
              </w:rPr>
              <w:t>inistry of Regional Development</w:t>
            </w:r>
            <w:r w:rsidR="0027443B" w:rsidRPr="00E5217A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>reports</w:t>
            </w:r>
          </w:p>
          <w:p w14:paraId="66834C73" w14:textId="77777777" w:rsidR="00765F42" w:rsidRPr="00E5217A" w:rsidRDefault="00765F42" w:rsidP="00801C9A">
            <w:pPr>
              <w:widowControl w:val="0"/>
              <w:shd w:val="clear" w:color="auto" w:fill="FFFFFF"/>
              <w:jc w:val="both"/>
              <w:rPr>
                <w:rFonts w:eastAsia="Calibri"/>
                <w:sz w:val="18"/>
                <w:szCs w:val="18"/>
                <w:lang w:val="en-GB"/>
              </w:rPr>
            </w:pPr>
          </w:p>
          <w:p w14:paraId="5618D14F" w14:textId="77777777" w:rsidR="00765F42" w:rsidRPr="00E5217A" w:rsidRDefault="00765F42" w:rsidP="00801C9A">
            <w:pPr>
              <w:widowControl w:val="0"/>
              <w:shd w:val="clear" w:color="auto" w:fill="FFFFFF"/>
              <w:jc w:val="both"/>
              <w:rPr>
                <w:rFonts w:eastAsia="Calibri"/>
                <w:b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Indicator 3.2.3: Number of new green jobs created with UNDP support, disaggregated by sex</w:t>
            </w:r>
          </w:p>
          <w:p w14:paraId="1122B55E" w14:textId="77777777" w:rsidR="00765F42" w:rsidRPr="00E5217A" w:rsidRDefault="00765F42" w:rsidP="00801C9A">
            <w:pPr>
              <w:widowControl w:val="0"/>
              <w:shd w:val="clear" w:color="auto" w:fill="FFFFFF"/>
              <w:jc w:val="both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Baseline (2016):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 0</w:t>
            </w:r>
          </w:p>
          <w:p w14:paraId="7B949FAD" w14:textId="77777777" w:rsidR="00765F42" w:rsidRPr="00E5217A" w:rsidRDefault="00765F42" w:rsidP="00801C9A">
            <w:pPr>
              <w:widowControl w:val="0"/>
              <w:shd w:val="clear" w:color="auto" w:fill="FFFFFF"/>
              <w:jc w:val="both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Target (2022):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 1,400 (men), 1,600 (women)</w:t>
            </w:r>
          </w:p>
          <w:p w14:paraId="0FBEA976" w14:textId="77777777" w:rsidR="00765F42" w:rsidRPr="00E5217A" w:rsidRDefault="00765F42" w:rsidP="00801C9A">
            <w:pPr>
              <w:widowControl w:val="0"/>
              <w:shd w:val="clear" w:color="auto" w:fill="FFFFFF"/>
              <w:jc w:val="both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Source: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 Project databases/annual assessment</w:t>
            </w:r>
          </w:p>
          <w:p w14:paraId="2077BFDA" w14:textId="77777777" w:rsidR="00765F42" w:rsidRPr="00E5217A" w:rsidRDefault="00765F42" w:rsidP="00AE4C43">
            <w:pPr>
              <w:widowControl w:val="0"/>
              <w:shd w:val="clear" w:color="auto" w:fill="FFFFFF"/>
              <w:ind w:left="331"/>
              <w:jc w:val="both"/>
              <w:rPr>
                <w:sz w:val="18"/>
                <w:szCs w:val="18"/>
                <w:lang w:val="en-GB"/>
              </w:rPr>
            </w:pPr>
          </w:p>
          <w:p w14:paraId="2D07D993" w14:textId="77777777" w:rsidR="00765F42" w:rsidRPr="00E5217A" w:rsidRDefault="00765F42" w:rsidP="00AE4C43">
            <w:pPr>
              <w:shd w:val="clear" w:color="auto" w:fill="FFFFFF"/>
              <w:rPr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lastRenderedPageBreak/>
              <w:t xml:space="preserve">Output 3.3. 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>Local authorities develop gender-responsive solutions at subnational levels for the sustainable management of natural resources, ecosystem services, chemicals and waste</w:t>
            </w:r>
          </w:p>
          <w:p w14:paraId="2132ABE7" w14:textId="77777777" w:rsidR="00765F42" w:rsidRPr="00E5217A" w:rsidRDefault="00765F42" w:rsidP="00AE4C43">
            <w:pPr>
              <w:widowControl w:val="0"/>
              <w:shd w:val="clear" w:color="auto" w:fill="FFFFFF"/>
              <w:rPr>
                <w:sz w:val="18"/>
                <w:szCs w:val="18"/>
                <w:lang w:val="en-GB"/>
              </w:rPr>
            </w:pPr>
          </w:p>
          <w:p w14:paraId="2FF98C0B" w14:textId="77777777" w:rsidR="00765F42" w:rsidRPr="00E5217A" w:rsidRDefault="00765F42" w:rsidP="00801C9A">
            <w:pPr>
              <w:widowControl w:val="0"/>
              <w:shd w:val="clear" w:color="auto" w:fill="FFFFFF"/>
              <w:ind w:left="23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 xml:space="preserve">Indicator 3.3.1: 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Number of new partnership mechanisms with funding for sustainable management solutions of natural resources, ecosystems services, chemicals and waste at subnational level </w:t>
            </w:r>
            <w:r w:rsidRPr="00E5217A">
              <w:rPr>
                <w:rFonts w:eastAsia="Calibri"/>
                <w:sz w:val="18"/>
                <w:szCs w:val="18"/>
                <w:shd w:val="clear" w:color="auto" w:fill="FFFFFF"/>
                <w:lang w:val="en-GB"/>
              </w:rPr>
              <w:t>[IRRF 1.3.1]</w:t>
            </w:r>
            <w:r w:rsidRPr="00E5217A">
              <w:rPr>
                <w:rFonts w:eastAsia="Calibri"/>
                <w:sz w:val="18"/>
                <w:szCs w:val="18"/>
                <w:shd w:val="clear" w:color="auto" w:fill="FFFF00"/>
                <w:lang w:val="en-GB"/>
              </w:rPr>
              <w:t xml:space="preserve"> </w:t>
            </w:r>
          </w:p>
          <w:p w14:paraId="137E54A5" w14:textId="77777777" w:rsidR="00765F42" w:rsidRPr="00E5217A" w:rsidRDefault="00765F42" w:rsidP="00801C9A">
            <w:pPr>
              <w:widowControl w:val="0"/>
              <w:ind w:left="23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Baseline (2016):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 0</w:t>
            </w:r>
          </w:p>
          <w:p w14:paraId="7081FED4" w14:textId="77777777" w:rsidR="00765F42" w:rsidRPr="00E5217A" w:rsidRDefault="00765F42" w:rsidP="00801C9A">
            <w:pPr>
              <w:widowControl w:val="0"/>
              <w:ind w:left="23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Target (2022):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 17</w:t>
            </w:r>
          </w:p>
          <w:p w14:paraId="4619F065" w14:textId="0E5B227D" w:rsidR="00765F42" w:rsidRPr="00E5217A" w:rsidRDefault="00765F42" w:rsidP="00801C9A">
            <w:pPr>
              <w:widowControl w:val="0"/>
              <w:ind w:left="23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Source: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27443B">
              <w:rPr>
                <w:rFonts w:eastAsia="Calibri"/>
                <w:sz w:val="18"/>
                <w:szCs w:val="18"/>
                <w:lang w:val="en-GB"/>
              </w:rPr>
              <w:t>Ministry of</w:t>
            </w:r>
            <w:r w:rsidR="006D6145">
              <w:rPr>
                <w:rFonts w:eastAsia="Calibri"/>
                <w:sz w:val="18"/>
                <w:szCs w:val="18"/>
                <w:lang w:val="en-GB"/>
              </w:rPr>
              <w:t xml:space="preserve"> Ecology and Natural </w:t>
            </w:r>
            <w:r w:rsidR="001F425B">
              <w:rPr>
                <w:rFonts w:eastAsia="Calibri"/>
                <w:sz w:val="18"/>
                <w:szCs w:val="18"/>
                <w:lang w:val="en-GB"/>
              </w:rPr>
              <w:t>Resources, r</w:t>
            </w:r>
            <w:r w:rsidR="001F425B" w:rsidRPr="00E5217A">
              <w:rPr>
                <w:rFonts w:eastAsia="Calibri"/>
                <w:sz w:val="18"/>
                <w:szCs w:val="18"/>
                <w:lang w:val="en-GB"/>
              </w:rPr>
              <w:t xml:space="preserve">egional </w:t>
            </w:r>
            <w:r w:rsidR="001F425B">
              <w:rPr>
                <w:rFonts w:eastAsia="Calibri"/>
                <w:sz w:val="18"/>
                <w:szCs w:val="18"/>
                <w:lang w:val="en-GB"/>
              </w:rPr>
              <w:t>a</w:t>
            </w:r>
            <w:r w:rsidR="001F425B" w:rsidRPr="00E5217A">
              <w:rPr>
                <w:rFonts w:eastAsia="Calibri"/>
                <w:sz w:val="18"/>
                <w:szCs w:val="18"/>
                <w:lang w:val="en-GB"/>
              </w:rPr>
              <w:t xml:space="preserve">dministration 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>reports</w:t>
            </w:r>
          </w:p>
          <w:p w14:paraId="6C282363" w14:textId="77777777" w:rsidR="00765F42" w:rsidRPr="00E5217A" w:rsidRDefault="00765F42" w:rsidP="00801C9A">
            <w:pPr>
              <w:widowControl w:val="0"/>
              <w:ind w:left="23"/>
              <w:rPr>
                <w:rFonts w:eastAsia="Calibri"/>
                <w:sz w:val="18"/>
                <w:szCs w:val="18"/>
                <w:lang w:val="en-GB"/>
              </w:rPr>
            </w:pPr>
          </w:p>
          <w:p w14:paraId="5AE27EDB" w14:textId="77777777" w:rsidR="00765F42" w:rsidRPr="00E5217A" w:rsidRDefault="00765F42" w:rsidP="00801C9A">
            <w:pPr>
              <w:widowControl w:val="0"/>
              <w:ind w:left="23"/>
              <w:rPr>
                <w:rFonts w:eastAsia="Calibri"/>
                <w:b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 xml:space="preserve">Indicator 3.3.2: 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Number of new partnerships for sustainable management of natural resources that integrate gender equality and women’s empowerment principles </w:t>
            </w:r>
          </w:p>
          <w:p w14:paraId="3E2974FF" w14:textId="77777777" w:rsidR="00765F42" w:rsidRPr="00E5217A" w:rsidRDefault="00765F42" w:rsidP="00801C9A">
            <w:pPr>
              <w:widowControl w:val="0"/>
              <w:ind w:left="23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Baseline (2016):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 0</w:t>
            </w:r>
          </w:p>
          <w:p w14:paraId="577A2185" w14:textId="77777777" w:rsidR="00765F42" w:rsidRPr="00E5217A" w:rsidRDefault="00765F42" w:rsidP="00801C9A">
            <w:pPr>
              <w:widowControl w:val="0"/>
              <w:ind w:left="23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Target (2022):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 10</w:t>
            </w:r>
          </w:p>
          <w:p w14:paraId="0364BEB7" w14:textId="46C5E2DF" w:rsidR="00765F42" w:rsidRPr="00E5217A" w:rsidRDefault="00765F42" w:rsidP="00801C9A">
            <w:pPr>
              <w:widowControl w:val="0"/>
              <w:ind w:left="23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sz w:val="18"/>
                <w:szCs w:val="18"/>
                <w:lang w:val="en-GB"/>
              </w:rPr>
              <w:t>Source: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2766CA">
              <w:rPr>
                <w:rFonts w:eastAsia="Calibri"/>
                <w:sz w:val="18"/>
                <w:szCs w:val="18"/>
                <w:lang w:val="en-GB"/>
              </w:rPr>
              <w:t xml:space="preserve">Ministry of Ecology and Natural </w:t>
            </w:r>
            <w:r w:rsidR="001F425B">
              <w:rPr>
                <w:rFonts w:eastAsia="Calibri"/>
                <w:sz w:val="18"/>
                <w:szCs w:val="18"/>
                <w:lang w:val="en-GB"/>
              </w:rPr>
              <w:t>Resources,</w:t>
            </w:r>
            <w:r w:rsidR="001F425B" w:rsidRPr="00E5217A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1F425B">
              <w:rPr>
                <w:rFonts w:eastAsia="Calibri"/>
                <w:sz w:val="18"/>
                <w:szCs w:val="18"/>
                <w:lang w:val="en-GB"/>
              </w:rPr>
              <w:t>r</w:t>
            </w:r>
            <w:r w:rsidR="001F425B" w:rsidRPr="00E5217A">
              <w:rPr>
                <w:rFonts w:eastAsia="Calibri"/>
                <w:sz w:val="18"/>
                <w:szCs w:val="18"/>
                <w:lang w:val="en-GB"/>
              </w:rPr>
              <w:t xml:space="preserve">egional </w:t>
            </w:r>
            <w:r w:rsidR="001F425B">
              <w:rPr>
                <w:rFonts w:eastAsia="Calibri"/>
                <w:sz w:val="18"/>
                <w:szCs w:val="18"/>
                <w:lang w:val="en-GB"/>
              </w:rPr>
              <w:t>a</w:t>
            </w:r>
            <w:r w:rsidR="001F425B" w:rsidRPr="00E5217A">
              <w:rPr>
                <w:rFonts w:eastAsia="Calibri"/>
                <w:sz w:val="18"/>
                <w:szCs w:val="18"/>
                <w:lang w:val="en-GB"/>
              </w:rPr>
              <w:t xml:space="preserve">dministrations 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reports </w:t>
            </w:r>
          </w:p>
        </w:tc>
        <w:tc>
          <w:tcPr>
            <w:tcW w:w="220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D243626" w14:textId="77777777" w:rsidR="001F425B" w:rsidRDefault="00765F42" w:rsidP="00AE4C43">
            <w:pPr>
              <w:ind w:left="163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sz w:val="18"/>
                <w:szCs w:val="18"/>
                <w:lang w:val="en-GB"/>
              </w:rPr>
              <w:lastRenderedPageBreak/>
              <w:t xml:space="preserve">Ministries of Agriculture, </w:t>
            </w:r>
            <w:r w:rsidR="002766CA">
              <w:rPr>
                <w:rFonts w:eastAsia="Calibri"/>
                <w:sz w:val="18"/>
                <w:szCs w:val="18"/>
                <w:lang w:val="en-GB"/>
              </w:rPr>
              <w:t xml:space="preserve">of 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Energy, </w:t>
            </w:r>
            <w:r w:rsidR="002766CA">
              <w:rPr>
                <w:rFonts w:eastAsia="Calibri"/>
                <w:sz w:val="18"/>
                <w:szCs w:val="18"/>
                <w:lang w:val="en-GB"/>
              </w:rPr>
              <w:t xml:space="preserve">of 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lastRenderedPageBreak/>
              <w:t xml:space="preserve">Infrastructure, </w:t>
            </w:r>
            <w:r w:rsidR="002766CA">
              <w:rPr>
                <w:rFonts w:eastAsia="Calibri"/>
                <w:sz w:val="18"/>
                <w:szCs w:val="18"/>
                <w:lang w:val="en-GB"/>
              </w:rPr>
              <w:t xml:space="preserve">of 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>Ecology</w:t>
            </w:r>
            <w:r w:rsidRPr="00E5217A">
              <w:rPr>
                <w:rFonts w:eastAsia="Calibri"/>
                <w:sz w:val="18"/>
                <w:szCs w:val="18"/>
              </w:rPr>
              <w:t xml:space="preserve"> and Natural Resources,</w:t>
            </w: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2766CA">
              <w:rPr>
                <w:rFonts w:eastAsia="Calibri"/>
                <w:sz w:val="18"/>
                <w:szCs w:val="18"/>
                <w:lang w:val="en-GB"/>
              </w:rPr>
              <w:t xml:space="preserve">of </w:t>
            </w:r>
            <w:r w:rsidR="002766CA" w:rsidRPr="001302DE">
              <w:rPr>
                <w:rFonts w:eastAsia="Cambria"/>
                <w:lang w:val="en-GB"/>
              </w:rPr>
              <w:t xml:space="preserve"> </w:t>
            </w:r>
            <w:r w:rsidR="002766CA" w:rsidRPr="002766CA">
              <w:rPr>
                <w:rFonts w:eastAsia="Cambria"/>
                <w:sz w:val="18"/>
                <w:szCs w:val="18"/>
                <w:lang w:val="en-GB"/>
              </w:rPr>
              <w:t xml:space="preserve">Economic Development and </w:t>
            </w:r>
            <w:r w:rsidR="006D6145" w:rsidRPr="002766CA">
              <w:rPr>
                <w:rFonts w:eastAsia="Cambria"/>
                <w:sz w:val="18"/>
                <w:szCs w:val="18"/>
                <w:lang w:val="en-GB"/>
              </w:rPr>
              <w:t>Trade, of</w:t>
            </w:r>
            <w:r w:rsidR="002766CA">
              <w:rPr>
                <w:rFonts w:eastAsia="Calibri"/>
                <w:sz w:val="18"/>
                <w:szCs w:val="18"/>
                <w:lang w:val="en-GB"/>
              </w:rPr>
              <w:t xml:space="preserve"> Regional Development</w:t>
            </w:r>
            <w:r w:rsidR="009841A9" w:rsidRPr="00E5217A">
              <w:rPr>
                <w:rFonts w:eastAsia="Calibri"/>
                <w:sz w:val="18"/>
                <w:szCs w:val="18"/>
                <w:lang w:val="en-GB"/>
              </w:rPr>
              <w:t xml:space="preserve">, </w:t>
            </w:r>
          </w:p>
          <w:p w14:paraId="4AF52C53" w14:textId="613E0E5E" w:rsidR="00765F42" w:rsidRPr="00E5217A" w:rsidRDefault="009841A9" w:rsidP="00AE4C43">
            <w:pPr>
              <w:ind w:left="163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sz w:val="18"/>
                <w:szCs w:val="18"/>
                <w:lang w:val="en-GB"/>
              </w:rPr>
              <w:t>S</w:t>
            </w:r>
            <w:r w:rsidR="00765F42" w:rsidRPr="00E5217A">
              <w:rPr>
                <w:rFonts w:eastAsia="Calibri"/>
                <w:sz w:val="18"/>
                <w:szCs w:val="18"/>
                <w:lang w:val="en-GB"/>
              </w:rPr>
              <w:t>tate Agency for Energy Efficiency, President’s Office</w:t>
            </w:r>
          </w:p>
          <w:p w14:paraId="3AB24EAF" w14:textId="77777777" w:rsidR="00765F42" w:rsidRPr="00E5217A" w:rsidRDefault="00765F42" w:rsidP="00AE4C43">
            <w:pPr>
              <w:ind w:left="163"/>
              <w:rPr>
                <w:rFonts w:eastAsia="Calibri"/>
                <w:sz w:val="18"/>
                <w:szCs w:val="18"/>
                <w:lang w:val="en-GB"/>
              </w:rPr>
            </w:pPr>
          </w:p>
          <w:p w14:paraId="557EF26F" w14:textId="77777777" w:rsidR="0027443B" w:rsidRDefault="00765F42" w:rsidP="00AE4C43">
            <w:pPr>
              <w:ind w:left="163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CSOs, </w:t>
            </w:r>
          </w:p>
          <w:p w14:paraId="53958253" w14:textId="309D6C30" w:rsidR="0027443B" w:rsidRDefault="00765F42" w:rsidP="00AE4C43">
            <w:pPr>
              <w:ind w:left="163"/>
              <w:rPr>
                <w:rFonts w:eastAsia="Calibri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sz w:val="18"/>
                <w:szCs w:val="18"/>
                <w:lang w:val="en-GB"/>
              </w:rPr>
              <w:t xml:space="preserve">GEF, IFC, </w:t>
            </w:r>
          </w:p>
          <w:p w14:paraId="658163F1" w14:textId="24BA1FB1" w:rsidR="00765F42" w:rsidRPr="00E5217A" w:rsidRDefault="001F425B" w:rsidP="00AE4C43">
            <w:pPr>
              <w:ind w:left="163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 xml:space="preserve">EU, </w:t>
            </w:r>
            <w:r w:rsidR="00765F42" w:rsidRPr="00E5217A">
              <w:rPr>
                <w:rFonts w:eastAsia="Calibri"/>
                <w:sz w:val="18"/>
                <w:szCs w:val="18"/>
                <w:lang w:val="en-GB"/>
              </w:rPr>
              <w:t>USAID</w:t>
            </w:r>
          </w:p>
          <w:p w14:paraId="2FE4029F" w14:textId="07F7B849" w:rsidR="00765F42" w:rsidRPr="00E5217A" w:rsidRDefault="00765F42" w:rsidP="00AE4C43">
            <w:pPr>
              <w:ind w:left="163"/>
              <w:rPr>
                <w:rFonts w:eastAsia="Calibri"/>
                <w:sz w:val="18"/>
                <w:szCs w:val="18"/>
                <w:lang w:val="en-GB"/>
              </w:rPr>
            </w:pPr>
          </w:p>
        </w:tc>
        <w:tc>
          <w:tcPr>
            <w:tcW w:w="1785" w:type="dxa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59456115" w14:textId="77777777" w:rsidR="00765F42" w:rsidRPr="00E5217A" w:rsidRDefault="00765F42" w:rsidP="00AE4C43">
            <w:pPr>
              <w:widowControl w:val="0"/>
              <w:rPr>
                <w:rFonts w:eastAsia="Calibri"/>
                <w:b/>
                <w:color w:val="000000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color w:val="000000"/>
                <w:sz w:val="18"/>
                <w:szCs w:val="18"/>
                <w:lang w:val="en-GB"/>
              </w:rPr>
              <w:lastRenderedPageBreak/>
              <w:t xml:space="preserve">Regular: </w:t>
            </w:r>
          </w:p>
          <w:p w14:paraId="55AA3BDE" w14:textId="33BE50FC" w:rsidR="00765F42" w:rsidRPr="00E5217A" w:rsidRDefault="003A17D5" w:rsidP="00AE4C43">
            <w:pPr>
              <w:widowControl w:val="0"/>
              <w:pBdr>
                <w:bottom w:val="single" w:sz="6" w:space="1" w:color="auto"/>
              </w:pBdr>
              <w:rPr>
                <w:rFonts w:eastAsia="Calibri"/>
                <w:color w:val="000000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color w:val="000000"/>
                <w:sz w:val="18"/>
                <w:szCs w:val="18"/>
                <w:lang w:val="en-GB"/>
              </w:rPr>
              <w:lastRenderedPageBreak/>
              <w:t>$</w:t>
            </w:r>
            <w:r w:rsidR="002D50D9">
              <w:rPr>
                <w:rFonts w:eastAsia="Calibri"/>
                <w:color w:val="000000"/>
                <w:sz w:val="18"/>
                <w:szCs w:val="18"/>
                <w:lang w:val="en-GB"/>
              </w:rPr>
              <w:t>566</w:t>
            </w:r>
            <w:r w:rsidR="006D6145">
              <w:rPr>
                <w:rFonts w:eastAsia="Calibri"/>
                <w:color w:val="000000"/>
                <w:sz w:val="18"/>
                <w:szCs w:val="18"/>
                <w:lang w:val="en-GB"/>
              </w:rPr>
              <w:t>,</w:t>
            </w:r>
            <w:r w:rsidR="002D50D9">
              <w:rPr>
                <w:rFonts w:eastAsia="Calibri"/>
                <w:color w:val="000000"/>
                <w:sz w:val="18"/>
                <w:szCs w:val="18"/>
                <w:lang w:val="en-GB"/>
              </w:rPr>
              <w:t>4</w:t>
            </w:r>
            <w:r w:rsidR="006D6145">
              <w:rPr>
                <w:rFonts w:eastAsia="Calibri"/>
                <w:color w:val="000000"/>
                <w:sz w:val="18"/>
                <w:szCs w:val="18"/>
                <w:lang w:val="en-GB"/>
              </w:rPr>
              <w:t>00</w:t>
            </w:r>
            <w:r w:rsidR="00765F42" w:rsidRPr="00E5217A">
              <w:rPr>
                <w:rFonts w:eastAsia="Calibri"/>
                <w:color w:val="000000"/>
                <w:sz w:val="18"/>
                <w:szCs w:val="18"/>
                <w:lang w:val="en-GB"/>
              </w:rPr>
              <w:t xml:space="preserve"> </w:t>
            </w:r>
          </w:p>
          <w:p w14:paraId="7EC79A4C" w14:textId="77777777" w:rsidR="00765F42" w:rsidRPr="00E5217A" w:rsidRDefault="00765F42" w:rsidP="00AE4C43">
            <w:pPr>
              <w:widowControl w:val="0"/>
              <w:rPr>
                <w:rFonts w:eastAsia="Calibri"/>
                <w:b/>
                <w:color w:val="000000"/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b/>
                <w:color w:val="000000"/>
                <w:sz w:val="18"/>
                <w:szCs w:val="18"/>
                <w:lang w:val="en-GB"/>
              </w:rPr>
              <w:t xml:space="preserve">Other: </w:t>
            </w:r>
          </w:p>
          <w:p w14:paraId="4A774FF8" w14:textId="56AEC5F5" w:rsidR="00765F42" w:rsidRPr="00E5217A" w:rsidRDefault="003A17D5" w:rsidP="006D6145">
            <w:pPr>
              <w:widowControl w:val="0"/>
              <w:rPr>
                <w:sz w:val="18"/>
                <w:szCs w:val="18"/>
                <w:lang w:val="en-GB"/>
              </w:rPr>
            </w:pPr>
            <w:r w:rsidRPr="00E5217A">
              <w:rPr>
                <w:rFonts w:eastAsia="Calibri"/>
                <w:color w:val="000000"/>
                <w:sz w:val="18"/>
                <w:szCs w:val="18"/>
                <w:lang w:val="en-GB"/>
              </w:rPr>
              <w:t>$4</w:t>
            </w:r>
            <w:r w:rsidR="002D50D9">
              <w:rPr>
                <w:rFonts w:eastAsia="Calibri"/>
                <w:color w:val="000000"/>
                <w:sz w:val="18"/>
                <w:szCs w:val="18"/>
                <w:lang w:val="en-GB"/>
              </w:rPr>
              <w:t>1</w:t>
            </w:r>
            <w:r w:rsidR="006D6145">
              <w:rPr>
                <w:rFonts w:eastAsia="Calibri"/>
                <w:color w:val="000000"/>
                <w:sz w:val="18"/>
                <w:szCs w:val="18"/>
                <w:lang w:val="en-GB"/>
              </w:rPr>
              <w:t>,</w:t>
            </w:r>
            <w:r w:rsidR="006D6145" w:rsidRPr="00E5217A" w:rsidDel="006D6145">
              <w:rPr>
                <w:rFonts w:eastAsia="Calibri"/>
                <w:color w:val="000000"/>
                <w:sz w:val="18"/>
                <w:szCs w:val="18"/>
                <w:lang w:val="en-GB"/>
              </w:rPr>
              <w:t xml:space="preserve"> </w:t>
            </w:r>
            <w:r w:rsidR="002D50D9">
              <w:rPr>
                <w:rFonts w:eastAsia="Calibri"/>
                <w:color w:val="000000"/>
                <w:sz w:val="18"/>
                <w:szCs w:val="18"/>
                <w:lang w:val="en-GB"/>
              </w:rPr>
              <w:t>9</w:t>
            </w:r>
            <w:r w:rsidR="00B37ABB">
              <w:rPr>
                <w:rFonts w:eastAsia="Calibri"/>
                <w:color w:val="000000"/>
                <w:sz w:val="18"/>
                <w:szCs w:val="18"/>
                <w:lang w:val="en-GB"/>
              </w:rPr>
              <w:t>0</w:t>
            </w:r>
            <w:r w:rsidR="006D6145">
              <w:rPr>
                <w:rFonts w:eastAsia="Calibri"/>
                <w:color w:val="000000"/>
                <w:sz w:val="18"/>
                <w:szCs w:val="18"/>
                <w:lang w:val="en-GB"/>
              </w:rPr>
              <w:t>0,000</w:t>
            </w:r>
          </w:p>
        </w:tc>
      </w:tr>
    </w:tbl>
    <w:tbl>
      <w:tblPr>
        <w:tblW w:w="14710" w:type="dxa"/>
        <w:tblInd w:w="-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877"/>
        <w:gridCol w:w="2473"/>
        <w:gridCol w:w="5420"/>
        <w:gridCol w:w="2245"/>
        <w:gridCol w:w="1695"/>
      </w:tblGrid>
      <w:tr w:rsidR="00716B00" w:rsidRPr="00AE4C43" w14:paraId="6D0262BC" w14:textId="77777777" w:rsidTr="00AE4C43">
        <w:trPr>
          <w:trHeight w:val="367"/>
        </w:trPr>
        <w:tc>
          <w:tcPr>
            <w:tcW w:w="1471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01995" w14:textId="224C4BD9" w:rsidR="00765F42" w:rsidRPr="00AE4C43" w:rsidRDefault="00765F42" w:rsidP="001F425B">
            <w:pPr>
              <w:rPr>
                <w:rFonts w:eastAsia="Calibri"/>
                <w:sz w:val="18"/>
                <w:szCs w:val="18"/>
                <w:lang w:val="en-GB"/>
              </w:rPr>
            </w:pPr>
            <w:r w:rsidRPr="00AE4C43">
              <w:rPr>
                <w:rFonts w:eastAsia="Calibri"/>
                <w:b/>
                <w:sz w:val="18"/>
                <w:szCs w:val="18"/>
                <w:lang w:val="en-GB"/>
              </w:rPr>
              <w:lastRenderedPageBreak/>
              <w:t>NATIONAL PRIORITY</w:t>
            </w:r>
            <w:r w:rsidRPr="00AE4C43">
              <w:rPr>
                <w:rFonts w:eastAsia="Calibri"/>
                <w:sz w:val="18"/>
                <w:szCs w:val="18"/>
                <w:lang w:val="en-GB"/>
              </w:rPr>
              <w:t xml:space="preserve">: Recovery and peacebuilding in </w:t>
            </w:r>
            <w:r w:rsidR="006D6145"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6D6145" w:rsidRPr="00AE4C43">
              <w:rPr>
                <w:rFonts w:eastAsia="Calibri"/>
                <w:sz w:val="18"/>
                <w:szCs w:val="18"/>
                <w:lang w:val="en-GB"/>
              </w:rPr>
              <w:t xml:space="preserve">astern </w:t>
            </w:r>
            <w:r w:rsidRPr="00AE4C43">
              <w:rPr>
                <w:rFonts w:eastAsia="Calibri"/>
                <w:sz w:val="18"/>
                <w:szCs w:val="18"/>
                <w:lang w:val="en-GB"/>
              </w:rPr>
              <w:t>Ukraine, which involves facilitation of socioeconomic development of local communities to improve quality of life by strengthening their capacities and stability</w:t>
            </w:r>
          </w:p>
        </w:tc>
      </w:tr>
      <w:tr w:rsidR="00716B00" w:rsidRPr="00AE4C43" w14:paraId="0BB39B63" w14:textId="77777777" w:rsidTr="00E23D77">
        <w:trPr>
          <w:trHeight w:val="15"/>
        </w:trPr>
        <w:tc>
          <w:tcPr>
            <w:tcW w:w="1471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2BEEF" w14:textId="64069893" w:rsidR="00765F42" w:rsidRPr="00AE4C43" w:rsidRDefault="00765F42" w:rsidP="001F425B">
            <w:pPr>
              <w:rPr>
                <w:rFonts w:eastAsia="Calibri"/>
                <w:sz w:val="18"/>
                <w:szCs w:val="18"/>
                <w:lang w:val="en-GB"/>
              </w:rPr>
            </w:pPr>
            <w:r w:rsidRPr="00AE4C43">
              <w:rPr>
                <w:rFonts w:eastAsia="Calibri"/>
                <w:b/>
                <w:sz w:val="18"/>
                <w:szCs w:val="18"/>
                <w:lang w:val="en-GB"/>
              </w:rPr>
              <w:t xml:space="preserve">RELATED NATIONALLY ADOPTED </w:t>
            </w:r>
            <w:r w:rsidR="001F425B">
              <w:rPr>
                <w:rFonts w:eastAsia="Calibri"/>
                <w:b/>
                <w:sz w:val="18"/>
                <w:szCs w:val="18"/>
                <w:lang w:val="en-GB"/>
              </w:rPr>
              <w:t>SUSTAINABLE DEVELOPMENT GOAL</w:t>
            </w:r>
            <w:r w:rsidRPr="00AE4C43">
              <w:rPr>
                <w:rFonts w:eastAsia="Calibri"/>
                <w:sz w:val="18"/>
                <w:szCs w:val="18"/>
                <w:lang w:val="en-GB"/>
              </w:rPr>
              <w:t>: 16</w:t>
            </w:r>
          </w:p>
        </w:tc>
      </w:tr>
      <w:tr w:rsidR="00716B00" w:rsidRPr="00AE4C43" w14:paraId="7A104B66" w14:textId="77777777" w:rsidTr="002E3CF6">
        <w:tc>
          <w:tcPr>
            <w:tcW w:w="1471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CE02A" w14:textId="77777777" w:rsidR="00765F42" w:rsidRPr="00AE4C43" w:rsidRDefault="00765F42" w:rsidP="00AE4C43">
            <w:pPr>
              <w:rPr>
                <w:rFonts w:eastAsia="Calibri"/>
                <w:sz w:val="18"/>
                <w:szCs w:val="18"/>
                <w:lang w:val="en-GB"/>
              </w:rPr>
            </w:pPr>
            <w:r w:rsidRPr="00AE4C43">
              <w:rPr>
                <w:rFonts w:eastAsia="Calibri"/>
                <w:b/>
                <w:sz w:val="18"/>
                <w:szCs w:val="18"/>
                <w:lang w:val="en-GB"/>
              </w:rPr>
              <w:t>UNDAF OUTCOME</w:t>
            </w:r>
            <w:r w:rsidRPr="00AE4C43">
              <w:rPr>
                <w:rFonts w:eastAsia="Calibri"/>
                <w:sz w:val="18"/>
                <w:szCs w:val="18"/>
                <w:lang w:val="en-GB"/>
              </w:rPr>
              <w:t xml:space="preserve">: 3.1. </w:t>
            </w:r>
            <w:r w:rsidR="00346DB7" w:rsidRPr="00AE4C43">
              <w:rPr>
                <w:rFonts w:eastAsia="Calibri"/>
                <w:sz w:val="18"/>
                <w:szCs w:val="18"/>
                <w:lang w:val="en-GB"/>
              </w:rPr>
              <w:t>By 2022, communities, including vulnerable people and IDPs, are more resilient and equitably benefit from greater social cohesion, quality services and recovery support</w:t>
            </w:r>
          </w:p>
        </w:tc>
      </w:tr>
      <w:tr w:rsidR="00716B00" w:rsidRPr="00AE4C43" w14:paraId="79ED02B0" w14:textId="77777777" w:rsidTr="00E23D77">
        <w:trPr>
          <w:trHeight w:val="15"/>
        </w:trPr>
        <w:tc>
          <w:tcPr>
            <w:tcW w:w="1471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98555" w14:textId="38B70E21" w:rsidR="00765F42" w:rsidRPr="00AE4C43" w:rsidRDefault="00765F42" w:rsidP="006D6145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  <w:r w:rsidRPr="00AE4C43">
              <w:rPr>
                <w:rFonts w:eastAsia="Calibri"/>
                <w:b/>
                <w:sz w:val="18"/>
                <w:szCs w:val="18"/>
                <w:lang w:val="en-GB"/>
              </w:rPr>
              <w:t>S</w:t>
            </w:r>
            <w:r w:rsidR="006D6145">
              <w:rPr>
                <w:rFonts w:eastAsia="Calibri"/>
                <w:b/>
                <w:sz w:val="18"/>
                <w:szCs w:val="18"/>
                <w:lang w:val="en-GB"/>
              </w:rPr>
              <w:t xml:space="preserve">trategic </w:t>
            </w:r>
            <w:r w:rsidRPr="00AE4C43">
              <w:rPr>
                <w:rFonts w:eastAsia="Calibri"/>
                <w:b/>
                <w:sz w:val="18"/>
                <w:szCs w:val="18"/>
                <w:lang w:val="en-GB"/>
              </w:rPr>
              <w:t>P</w:t>
            </w:r>
            <w:r w:rsidR="006D6145">
              <w:rPr>
                <w:rFonts w:eastAsia="Calibri"/>
                <w:b/>
                <w:sz w:val="18"/>
                <w:szCs w:val="18"/>
                <w:lang w:val="en-GB"/>
              </w:rPr>
              <w:t>lan,</w:t>
            </w:r>
            <w:r w:rsidRPr="00AE4C43">
              <w:rPr>
                <w:rFonts w:eastAsia="Calibri"/>
                <w:b/>
                <w:sz w:val="18"/>
                <w:szCs w:val="18"/>
                <w:lang w:val="en-GB"/>
              </w:rPr>
              <w:t xml:space="preserve"> 2014-2017 OUTCOME</w:t>
            </w:r>
            <w:r w:rsidRPr="00AE4C43">
              <w:rPr>
                <w:rFonts w:eastAsia="Calibri"/>
                <w:sz w:val="18"/>
                <w:szCs w:val="18"/>
                <w:lang w:val="en-GB"/>
              </w:rPr>
              <w:t>: 6. Early recovery and rapid return to sustainable development pathways are achieved in post-conflict and post-disaster situations</w:t>
            </w:r>
          </w:p>
        </w:tc>
      </w:tr>
      <w:tr w:rsidR="00765F42" w:rsidRPr="00AE4C43" w14:paraId="70A6F269" w14:textId="77777777" w:rsidTr="005B6DCB">
        <w:trPr>
          <w:trHeight w:val="15"/>
        </w:trPr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066AC" w14:textId="77777777" w:rsidR="00765F42" w:rsidRPr="00AE4C43" w:rsidRDefault="00917337" w:rsidP="00093953">
            <w:pPr>
              <w:widowControl w:val="0"/>
              <w:ind w:right="-107"/>
              <w:rPr>
                <w:b/>
                <w:sz w:val="18"/>
                <w:szCs w:val="18"/>
                <w:lang w:val="en-GB"/>
              </w:rPr>
            </w:pPr>
            <w:r w:rsidRPr="00AE4C43">
              <w:rPr>
                <w:rFonts w:eastAsia="Calibri"/>
                <w:b/>
                <w:sz w:val="18"/>
                <w:szCs w:val="18"/>
                <w:lang w:val="en-GB"/>
              </w:rPr>
              <w:t>4</w:t>
            </w:r>
            <w:r w:rsidR="00765F42" w:rsidRPr="00AE4C43">
              <w:rPr>
                <w:rFonts w:eastAsia="Calibri"/>
                <w:b/>
                <w:sz w:val="18"/>
                <w:szCs w:val="18"/>
                <w:lang w:val="en-GB"/>
              </w:rPr>
              <w:t>.1. The level of social cohesion in Eastern Ukraine (level of inter-group tensions; level of trust in local and central authorities) on a scale from 1 to 10</w:t>
            </w:r>
          </w:p>
          <w:p w14:paraId="1A7F9E84" w14:textId="77777777" w:rsidR="00765F42" w:rsidRPr="00AE4C43" w:rsidRDefault="00765F42" w:rsidP="00093953">
            <w:pPr>
              <w:widowControl w:val="0"/>
              <w:ind w:right="-107"/>
              <w:rPr>
                <w:rFonts w:eastAsia="Calibri"/>
                <w:color w:val="000000"/>
                <w:sz w:val="18"/>
                <w:szCs w:val="18"/>
                <w:lang w:val="en-GB"/>
              </w:rPr>
            </w:pPr>
            <w:r w:rsidRPr="00AE4C43">
              <w:rPr>
                <w:rFonts w:eastAsia="Calibri"/>
                <w:b/>
                <w:color w:val="000000"/>
                <w:sz w:val="18"/>
                <w:szCs w:val="18"/>
                <w:lang w:val="en-GB"/>
              </w:rPr>
              <w:t>Baseline (2017):</w:t>
            </w:r>
            <w:r w:rsidRPr="00AE4C43">
              <w:rPr>
                <w:rFonts w:eastAsia="Calibri"/>
                <w:color w:val="000000"/>
                <w:sz w:val="18"/>
                <w:szCs w:val="18"/>
                <w:lang w:val="en-GB"/>
              </w:rPr>
              <w:t xml:space="preserve"> pending baseline survey (September 2017)</w:t>
            </w:r>
          </w:p>
          <w:p w14:paraId="2CF0F31D" w14:textId="77777777" w:rsidR="00765F42" w:rsidRPr="00AE4C43" w:rsidRDefault="00765F42" w:rsidP="00093953">
            <w:pPr>
              <w:widowControl w:val="0"/>
              <w:ind w:right="-107"/>
              <w:rPr>
                <w:rFonts w:eastAsia="Calibri"/>
                <w:color w:val="000000"/>
                <w:sz w:val="18"/>
                <w:szCs w:val="18"/>
                <w:lang w:val="en-GB"/>
              </w:rPr>
            </w:pPr>
            <w:r w:rsidRPr="00AE4C43">
              <w:rPr>
                <w:rFonts w:eastAsia="Calibri"/>
                <w:b/>
                <w:color w:val="000000"/>
                <w:sz w:val="18"/>
                <w:szCs w:val="18"/>
                <w:lang w:val="en-GB"/>
              </w:rPr>
              <w:t>Target (2022):</w:t>
            </w:r>
            <w:r w:rsidRPr="00AE4C43">
              <w:rPr>
                <w:rFonts w:eastAsia="Calibri"/>
                <w:color w:val="000000"/>
                <w:sz w:val="18"/>
                <w:szCs w:val="18"/>
                <w:lang w:val="en-GB"/>
              </w:rPr>
              <w:t xml:space="preserve"> baseline survey </w:t>
            </w:r>
          </w:p>
          <w:p w14:paraId="32AB6C1D" w14:textId="77777777" w:rsidR="00765F42" w:rsidRPr="00AE4C43" w:rsidRDefault="00765F42" w:rsidP="00093953">
            <w:pPr>
              <w:widowControl w:val="0"/>
              <w:ind w:right="-107"/>
              <w:rPr>
                <w:rFonts w:eastAsia="Calibri"/>
                <w:color w:val="000000"/>
                <w:sz w:val="18"/>
                <w:szCs w:val="18"/>
                <w:lang w:val="en-GB"/>
              </w:rPr>
            </w:pPr>
          </w:p>
          <w:p w14:paraId="755F606F" w14:textId="77777777" w:rsidR="00917337" w:rsidRPr="00AE4C43" w:rsidRDefault="002B6C94" w:rsidP="00093953">
            <w:pPr>
              <w:widowControl w:val="0"/>
              <w:ind w:right="-107"/>
              <w:rPr>
                <w:rFonts w:eastAsia="Calibri"/>
                <w:b/>
                <w:color w:val="000000"/>
                <w:sz w:val="18"/>
                <w:szCs w:val="18"/>
                <w:lang w:val="en-GB"/>
              </w:rPr>
            </w:pPr>
            <w:r w:rsidRPr="00AE4C43">
              <w:rPr>
                <w:rFonts w:eastAsia="Calibri"/>
                <w:b/>
                <w:color w:val="000000"/>
                <w:sz w:val="18"/>
                <w:szCs w:val="18"/>
                <w:lang w:val="en-GB"/>
              </w:rPr>
              <w:t>4.2</w:t>
            </w:r>
            <w:r w:rsidR="00765F42" w:rsidRPr="00AE4C43">
              <w:rPr>
                <w:rFonts w:eastAsia="Calibri"/>
                <w:b/>
                <w:color w:val="000000"/>
                <w:sz w:val="18"/>
                <w:szCs w:val="18"/>
                <w:lang w:val="en-GB"/>
              </w:rPr>
              <w:t xml:space="preserve">. Proportion of women and girls subjected to physical, sexual or psychological violence in the last 12 </w:t>
            </w:r>
            <w:r w:rsidR="00765F42" w:rsidRPr="00AE4C43">
              <w:rPr>
                <w:rFonts w:eastAsia="Calibri"/>
                <w:b/>
                <w:color w:val="000000"/>
                <w:sz w:val="18"/>
                <w:szCs w:val="18"/>
                <w:lang w:val="en-GB"/>
              </w:rPr>
              <w:lastRenderedPageBreak/>
              <w:t xml:space="preserve">months, by </w:t>
            </w:r>
            <w:r w:rsidR="00917337" w:rsidRPr="00AE4C43">
              <w:rPr>
                <w:rFonts w:eastAsia="Calibri"/>
                <w:b/>
                <w:color w:val="000000"/>
                <w:sz w:val="18"/>
                <w:szCs w:val="18"/>
                <w:lang w:val="en-GB"/>
              </w:rPr>
              <w:t>form</w:t>
            </w:r>
          </w:p>
          <w:p w14:paraId="67038299" w14:textId="77777777" w:rsidR="00765F42" w:rsidRPr="00AE4C43" w:rsidRDefault="00917337" w:rsidP="00093953">
            <w:pPr>
              <w:widowControl w:val="0"/>
              <w:ind w:right="-107"/>
              <w:rPr>
                <w:rFonts w:eastAsia="Calibri"/>
                <w:color w:val="000000"/>
                <w:sz w:val="18"/>
                <w:szCs w:val="18"/>
                <w:lang w:val="en-GB"/>
              </w:rPr>
            </w:pPr>
            <w:r w:rsidRPr="00AE4C43">
              <w:rPr>
                <w:rFonts w:eastAsia="Calibri"/>
                <w:b/>
                <w:color w:val="000000"/>
                <w:sz w:val="18"/>
                <w:szCs w:val="18"/>
                <w:lang w:val="en-GB"/>
              </w:rPr>
              <w:t>of</w:t>
            </w:r>
            <w:r w:rsidR="00765F42" w:rsidRPr="00AE4C43">
              <w:rPr>
                <w:rFonts w:eastAsia="Calibri"/>
                <w:b/>
                <w:color w:val="000000"/>
                <w:sz w:val="18"/>
                <w:szCs w:val="18"/>
                <w:lang w:val="en-GB"/>
              </w:rPr>
              <w:t xml:space="preserve"> violence </w:t>
            </w:r>
            <w:r w:rsidR="00765F42" w:rsidRPr="00AE4C43">
              <w:rPr>
                <w:rFonts w:eastAsia="Calibri"/>
                <w:color w:val="000000"/>
                <w:sz w:val="18"/>
                <w:szCs w:val="18"/>
                <w:lang w:val="en-GB"/>
              </w:rPr>
              <w:t>(SDG, IRRF 4.3)</w:t>
            </w:r>
          </w:p>
          <w:p w14:paraId="0CB62697" w14:textId="77777777" w:rsidR="00765F42" w:rsidRPr="00AE4C43" w:rsidRDefault="00765F42" w:rsidP="00093953">
            <w:pPr>
              <w:widowControl w:val="0"/>
              <w:ind w:right="-107"/>
              <w:rPr>
                <w:rFonts w:eastAsia="Calibri"/>
                <w:color w:val="000000"/>
                <w:sz w:val="18"/>
                <w:szCs w:val="18"/>
                <w:lang w:val="en-GB"/>
              </w:rPr>
            </w:pPr>
            <w:r w:rsidRPr="00AE4C43">
              <w:rPr>
                <w:rFonts w:eastAsia="Calibri"/>
                <w:b/>
                <w:color w:val="000000"/>
                <w:sz w:val="18"/>
                <w:szCs w:val="18"/>
                <w:lang w:val="en-GB"/>
              </w:rPr>
              <w:t>Baseline (2014):</w:t>
            </w:r>
            <w:r w:rsidRPr="00AE4C43">
              <w:rPr>
                <w:rFonts w:eastAsia="Calibri"/>
                <w:color w:val="000000"/>
                <w:sz w:val="18"/>
                <w:szCs w:val="18"/>
                <w:lang w:val="en-GB"/>
              </w:rPr>
              <w:t xml:space="preserve"> 17% (any form), 8.8% (physical), 2% (sexual), 14% (psychological) </w:t>
            </w:r>
          </w:p>
          <w:p w14:paraId="42F31DC3" w14:textId="77777777" w:rsidR="00765F42" w:rsidRPr="00AE4C43" w:rsidRDefault="00765F42" w:rsidP="00093953">
            <w:pPr>
              <w:widowControl w:val="0"/>
              <w:ind w:right="-107"/>
              <w:rPr>
                <w:rFonts w:eastAsia="Calibri"/>
                <w:b/>
                <w:sz w:val="18"/>
                <w:szCs w:val="18"/>
                <w:lang w:val="en-GB"/>
              </w:rPr>
            </w:pPr>
            <w:r w:rsidRPr="00AE4C43">
              <w:rPr>
                <w:rFonts w:eastAsia="Calibri"/>
                <w:b/>
                <w:color w:val="000000"/>
                <w:sz w:val="18"/>
                <w:szCs w:val="18"/>
                <w:lang w:val="en-GB"/>
              </w:rPr>
              <w:t>Target (2020):</w:t>
            </w:r>
            <w:r w:rsidRPr="00AE4C43">
              <w:rPr>
                <w:rFonts w:eastAsia="Calibri"/>
                <w:color w:val="000000"/>
                <w:sz w:val="18"/>
                <w:szCs w:val="18"/>
                <w:lang w:val="en-GB"/>
              </w:rPr>
              <w:t xml:space="preserve"> 15% (any form), 6% (physical), 1% (sexual), 10% (psychological)</w:t>
            </w:r>
          </w:p>
          <w:p w14:paraId="03C99072" w14:textId="77777777" w:rsidR="00765F42" w:rsidRPr="00AE4C43" w:rsidRDefault="00765F42" w:rsidP="00093953">
            <w:pPr>
              <w:widowControl w:val="0"/>
              <w:ind w:right="-107"/>
              <w:rPr>
                <w:rFonts w:eastAsia="Calibri"/>
                <w:b/>
                <w:sz w:val="18"/>
                <w:szCs w:val="18"/>
                <w:lang w:val="en-GB"/>
              </w:rPr>
            </w:pPr>
          </w:p>
          <w:p w14:paraId="66B70748" w14:textId="6C1829F3" w:rsidR="00765F42" w:rsidRPr="00AE4C43" w:rsidRDefault="002B6C94" w:rsidP="00093953">
            <w:pPr>
              <w:widowControl w:val="0"/>
              <w:ind w:right="-107"/>
              <w:rPr>
                <w:rFonts w:eastAsia="Calibri"/>
                <w:b/>
                <w:sz w:val="18"/>
                <w:szCs w:val="18"/>
                <w:lang w:val="en-GB"/>
              </w:rPr>
            </w:pPr>
            <w:r w:rsidRPr="00AE4C43">
              <w:rPr>
                <w:rFonts w:eastAsia="Calibri"/>
                <w:b/>
                <w:sz w:val="18"/>
                <w:szCs w:val="18"/>
                <w:lang w:val="en-GB"/>
              </w:rPr>
              <w:t>4.3</w:t>
            </w:r>
            <w:r w:rsidR="00765F42" w:rsidRPr="00AE4C43">
              <w:rPr>
                <w:rFonts w:eastAsia="Calibri"/>
                <w:b/>
                <w:sz w:val="18"/>
                <w:szCs w:val="18"/>
                <w:lang w:val="en-GB"/>
              </w:rPr>
              <w:t>. Extent</w:t>
            </w:r>
            <w:r w:rsidR="00917337" w:rsidRPr="00AE4C43">
              <w:rPr>
                <w:rFonts w:eastAsia="Calibri"/>
                <w:b/>
                <w:sz w:val="18"/>
                <w:szCs w:val="18"/>
                <w:lang w:val="en-GB"/>
              </w:rPr>
              <w:t xml:space="preserve"> to which</w:t>
            </w:r>
            <w:r w:rsidR="00765F42" w:rsidRPr="00AE4C43">
              <w:rPr>
                <w:rFonts w:eastAsia="Calibri"/>
                <w:b/>
                <w:sz w:val="18"/>
                <w:szCs w:val="18"/>
                <w:lang w:val="en-GB"/>
              </w:rPr>
              <w:t xml:space="preserve"> people in </w:t>
            </w:r>
            <w:r w:rsidR="0029468A">
              <w:rPr>
                <w:rFonts w:eastAsia="Calibri"/>
                <w:b/>
                <w:sz w:val="18"/>
                <w:szCs w:val="18"/>
                <w:lang w:val="en-GB"/>
              </w:rPr>
              <w:t>e</w:t>
            </w:r>
            <w:r w:rsidR="0029468A" w:rsidRPr="00AE4C43">
              <w:rPr>
                <w:rFonts w:eastAsia="Calibri"/>
                <w:b/>
                <w:sz w:val="18"/>
                <w:szCs w:val="18"/>
                <w:lang w:val="en-GB"/>
              </w:rPr>
              <w:t xml:space="preserve">astern </w:t>
            </w:r>
            <w:r w:rsidR="00765F42" w:rsidRPr="00AE4C43">
              <w:rPr>
                <w:rFonts w:eastAsia="Calibri"/>
                <w:b/>
                <w:sz w:val="18"/>
                <w:szCs w:val="18"/>
                <w:lang w:val="en-GB"/>
              </w:rPr>
              <w:t>Ukrai</w:t>
            </w:r>
            <w:r w:rsidR="001200C9" w:rsidRPr="00AE4C43">
              <w:rPr>
                <w:rFonts w:eastAsia="Calibri"/>
                <w:b/>
                <w:sz w:val="18"/>
                <w:szCs w:val="18"/>
                <w:lang w:val="en-GB"/>
              </w:rPr>
              <w:t xml:space="preserve">ne feel safe in their community, by sex and age </w:t>
            </w:r>
            <w:r w:rsidR="00765F42" w:rsidRPr="00AE4C43">
              <w:rPr>
                <w:rFonts w:eastAsia="Calibri"/>
                <w:b/>
                <w:sz w:val="18"/>
                <w:szCs w:val="18"/>
                <w:lang w:val="en-GB"/>
              </w:rPr>
              <w:t xml:space="preserve"> on a scale from 1 to 10</w:t>
            </w:r>
          </w:p>
          <w:p w14:paraId="169F32E5" w14:textId="77777777" w:rsidR="00765F42" w:rsidRPr="00AE4C43" w:rsidRDefault="00765F42" w:rsidP="00093953">
            <w:pPr>
              <w:widowControl w:val="0"/>
              <w:ind w:right="-107"/>
              <w:rPr>
                <w:rFonts w:eastAsia="Calibri"/>
                <w:sz w:val="18"/>
                <w:szCs w:val="18"/>
                <w:lang w:val="en-GB"/>
              </w:rPr>
            </w:pPr>
            <w:r w:rsidRPr="00AE4C43">
              <w:rPr>
                <w:rFonts w:eastAsia="Calibri"/>
                <w:b/>
                <w:sz w:val="18"/>
                <w:szCs w:val="18"/>
                <w:lang w:val="en-GB"/>
              </w:rPr>
              <w:t>Baseline (2017):</w:t>
            </w:r>
            <w:r w:rsidRPr="00AE4C43">
              <w:rPr>
                <w:rFonts w:eastAsia="Calibri"/>
                <w:sz w:val="18"/>
                <w:szCs w:val="18"/>
                <w:lang w:val="en-GB"/>
              </w:rPr>
              <w:t xml:space="preserve"> pending baseline survey (September 2017) </w:t>
            </w:r>
          </w:p>
          <w:p w14:paraId="74703795" w14:textId="77777777" w:rsidR="00765F42" w:rsidRPr="00AE4C43" w:rsidRDefault="00765F42" w:rsidP="00093953">
            <w:pPr>
              <w:widowControl w:val="0"/>
              <w:ind w:right="-107"/>
              <w:rPr>
                <w:rFonts w:eastAsia="Calibri"/>
                <w:sz w:val="18"/>
                <w:szCs w:val="18"/>
                <w:lang w:val="en-GB"/>
              </w:rPr>
            </w:pPr>
            <w:r w:rsidRPr="00AE4C43">
              <w:rPr>
                <w:rFonts w:eastAsia="Calibri"/>
                <w:b/>
                <w:sz w:val="18"/>
                <w:szCs w:val="18"/>
                <w:lang w:val="en-GB"/>
              </w:rPr>
              <w:t>Target (2022):</w:t>
            </w:r>
            <w:r w:rsidRPr="00AE4C43">
              <w:rPr>
                <w:rFonts w:eastAsia="Calibri"/>
                <w:sz w:val="18"/>
                <w:szCs w:val="18"/>
                <w:lang w:val="en-GB"/>
              </w:rPr>
              <w:t xml:space="preserve"> pending baseline survey</w:t>
            </w:r>
          </w:p>
        </w:tc>
        <w:tc>
          <w:tcPr>
            <w:tcW w:w="2473" w:type="dxa"/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0113868" w14:textId="7E605EB2" w:rsidR="00765F42" w:rsidRPr="00AE4C43" w:rsidRDefault="00765F42" w:rsidP="00093953">
            <w:pPr>
              <w:widowControl w:val="0"/>
              <w:ind w:right="-107"/>
              <w:rPr>
                <w:rFonts w:eastAsia="Calibri"/>
                <w:sz w:val="18"/>
                <w:szCs w:val="18"/>
                <w:lang w:val="en-GB"/>
              </w:rPr>
            </w:pPr>
            <w:r w:rsidRPr="00AE4C43">
              <w:rPr>
                <w:rFonts w:eastAsia="Calibri"/>
                <w:b/>
                <w:sz w:val="18"/>
                <w:szCs w:val="18"/>
                <w:lang w:val="en-GB"/>
              </w:rPr>
              <w:lastRenderedPageBreak/>
              <w:t>Source</w:t>
            </w:r>
            <w:r w:rsidRPr="00AE4C43">
              <w:rPr>
                <w:rFonts w:eastAsia="Calibri"/>
                <w:sz w:val="18"/>
                <w:szCs w:val="18"/>
                <w:lang w:val="en-GB"/>
              </w:rPr>
              <w:t xml:space="preserve">: </w:t>
            </w:r>
            <w:r w:rsidR="006D6145">
              <w:rPr>
                <w:rFonts w:eastAsia="Calibri"/>
                <w:sz w:val="18"/>
                <w:szCs w:val="18"/>
                <w:lang w:val="en-GB"/>
              </w:rPr>
              <w:t>Social cohesion and reconciliation (</w:t>
            </w:r>
            <w:r w:rsidRPr="00AE4C43">
              <w:rPr>
                <w:rFonts w:eastAsia="Calibri"/>
                <w:sz w:val="18"/>
                <w:szCs w:val="18"/>
                <w:lang w:val="en-GB"/>
              </w:rPr>
              <w:t>SCORE</w:t>
            </w:r>
            <w:r w:rsidR="006D6145">
              <w:rPr>
                <w:rFonts w:eastAsia="Calibri"/>
                <w:sz w:val="18"/>
                <w:szCs w:val="18"/>
                <w:lang w:val="en-GB"/>
              </w:rPr>
              <w:t>)</w:t>
            </w:r>
            <w:r w:rsidRPr="00AE4C43">
              <w:rPr>
                <w:rFonts w:eastAsia="Calibri"/>
                <w:sz w:val="18"/>
                <w:szCs w:val="18"/>
                <w:lang w:val="en-GB"/>
              </w:rPr>
              <w:t xml:space="preserve"> surveys</w:t>
            </w:r>
          </w:p>
          <w:p w14:paraId="7FADA932" w14:textId="77777777" w:rsidR="00765F42" w:rsidRPr="00AE4C43" w:rsidRDefault="00765F42" w:rsidP="00093953">
            <w:pPr>
              <w:widowControl w:val="0"/>
              <w:ind w:right="-107"/>
              <w:rPr>
                <w:rFonts w:eastAsia="Calibri"/>
                <w:sz w:val="18"/>
                <w:szCs w:val="18"/>
                <w:lang w:val="en-GB"/>
              </w:rPr>
            </w:pPr>
            <w:r w:rsidRPr="00AE4C43">
              <w:rPr>
                <w:rFonts w:eastAsia="Calibri"/>
                <w:b/>
                <w:sz w:val="18"/>
                <w:szCs w:val="18"/>
                <w:lang w:val="en-GB"/>
              </w:rPr>
              <w:t>Frequency</w:t>
            </w:r>
            <w:r w:rsidRPr="00AE4C43">
              <w:rPr>
                <w:rFonts w:eastAsia="Calibri"/>
                <w:sz w:val="18"/>
                <w:szCs w:val="18"/>
                <w:lang w:val="en-GB"/>
              </w:rPr>
              <w:t xml:space="preserve">: biennial </w:t>
            </w:r>
          </w:p>
          <w:p w14:paraId="4440E4F1" w14:textId="77777777" w:rsidR="00765F42" w:rsidRPr="00AE4C43" w:rsidRDefault="00765F42" w:rsidP="00093953">
            <w:pPr>
              <w:widowControl w:val="0"/>
              <w:ind w:right="-107"/>
              <w:rPr>
                <w:rFonts w:eastAsia="Calibri"/>
                <w:sz w:val="18"/>
                <w:szCs w:val="18"/>
                <w:lang w:val="en-GB"/>
              </w:rPr>
            </w:pPr>
            <w:r w:rsidRPr="00AE4C43">
              <w:rPr>
                <w:rFonts w:eastAsia="Calibri"/>
                <w:b/>
                <w:sz w:val="18"/>
                <w:szCs w:val="18"/>
                <w:lang w:val="en-GB"/>
              </w:rPr>
              <w:t>Responsible</w:t>
            </w:r>
            <w:r w:rsidRPr="00AE4C43">
              <w:rPr>
                <w:rFonts w:eastAsia="Calibri"/>
                <w:sz w:val="18"/>
                <w:szCs w:val="18"/>
                <w:lang w:val="en-GB"/>
              </w:rPr>
              <w:t>: IOM, UNDP, UNICEF</w:t>
            </w:r>
          </w:p>
          <w:p w14:paraId="089BBC1C" w14:textId="77777777" w:rsidR="00765F42" w:rsidRPr="00AE4C43" w:rsidRDefault="00765F42" w:rsidP="00093953">
            <w:pPr>
              <w:widowControl w:val="0"/>
              <w:ind w:right="-107"/>
              <w:rPr>
                <w:rFonts w:eastAsia="Calibri"/>
                <w:sz w:val="18"/>
                <w:szCs w:val="18"/>
                <w:lang w:val="en-GB"/>
              </w:rPr>
            </w:pPr>
          </w:p>
          <w:p w14:paraId="598C2762" w14:textId="77777777" w:rsidR="00765F42" w:rsidRPr="00AE4C43" w:rsidRDefault="00765F42" w:rsidP="00093953">
            <w:pPr>
              <w:widowControl w:val="0"/>
              <w:ind w:right="-107"/>
              <w:rPr>
                <w:rFonts w:eastAsia="Calibri"/>
                <w:sz w:val="18"/>
                <w:szCs w:val="18"/>
                <w:lang w:val="en-GB"/>
              </w:rPr>
            </w:pPr>
          </w:p>
          <w:p w14:paraId="70CFB0B1" w14:textId="77777777" w:rsidR="00765F42" w:rsidRPr="00AE4C43" w:rsidRDefault="00765F42" w:rsidP="00093953">
            <w:pPr>
              <w:widowControl w:val="0"/>
              <w:ind w:right="-107"/>
              <w:rPr>
                <w:rFonts w:eastAsia="Calibri"/>
                <w:sz w:val="18"/>
                <w:szCs w:val="18"/>
                <w:lang w:val="en-GB"/>
              </w:rPr>
            </w:pPr>
          </w:p>
          <w:p w14:paraId="6ABA6B30" w14:textId="77777777" w:rsidR="00765F42" w:rsidRPr="00AE4C43" w:rsidRDefault="00765F42" w:rsidP="00093953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</w:p>
          <w:p w14:paraId="5EB60580" w14:textId="77777777" w:rsidR="00765F42" w:rsidRPr="00AE4C43" w:rsidRDefault="00765F42" w:rsidP="00093953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  <w:r w:rsidRPr="00AE4C43">
              <w:rPr>
                <w:rFonts w:eastAsia="Calibri"/>
                <w:b/>
                <w:sz w:val="18"/>
                <w:szCs w:val="18"/>
                <w:lang w:val="en-GB"/>
              </w:rPr>
              <w:t>Source</w:t>
            </w:r>
            <w:r w:rsidRPr="00AE4C43">
              <w:rPr>
                <w:rFonts w:eastAsia="Calibri"/>
                <w:sz w:val="18"/>
                <w:szCs w:val="18"/>
                <w:lang w:val="en-GB"/>
              </w:rPr>
              <w:t>: UNFPA survey (DHS-based)</w:t>
            </w:r>
          </w:p>
          <w:p w14:paraId="07FDEC4D" w14:textId="77777777" w:rsidR="00765F42" w:rsidRPr="00AE4C43" w:rsidRDefault="00765F42" w:rsidP="00093953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  <w:r w:rsidRPr="00AE4C43">
              <w:rPr>
                <w:rFonts w:eastAsia="Calibri"/>
                <w:b/>
                <w:sz w:val="18"/>
                <w:szCs w:val="18"/>
                <w:lang w:val="en-GB"/>
              </w:rPr>
              <w:t>Frequency</w:t>
            </w:r>
            <w:r w:rsidRPr="00AE4C43">
              <w:rPr>
                <w:rFonts w:eastAsia="Calibri"/>
                <w:sz w:val="18"/>
                <w:szCs w:val="18"/>
                <w:lang w:val="en-GB"/>
              </w:rPr>
              <w:t xml:space="preserve">: every 5 years </w:t>
            </w:r>
          </w:p>
          <w:p w14:paraId="335EEF8F" w14:textId="61A5DD8E" w:rsidR="00765F42" w:rsidRPr="00AE4C43" w:rsidRDefault="00765F42" w:rsidP="00093953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  <w:r w:rsidRPr="00AE4C43">
              <w:rPr>
                <w:rFonts w:eastAsia="Calibri"/>
                <w:b/>
                <w:sz w:val="18"/>
                <w:szCs w:val="18"/>
                <w:lang w:val="en-GB"/>
              </w:rPr>
              <w:lastRenderedPageBreak/>
              <w:t>Responsible</w:t>
            </w:r>
            <w:r w:rsidRPr="00AE4C43">
              <w:rPr>
                <w:rFonts w:eastAsia="Calibri"/>
                <w:sz w:val="18"/>
                <w:szCs w:val="18"/>
                <w:lang w:val="en-GB"/>
              </w:rPr>
              <w:t xml:space="preserve">: </w:t>
            </w:r>
            <w:r w:rsidR="001200C9" w:rsidRPr="00AE4C43">
              <w:rPr>
                <w:rFonts w:eastAsia="Calibri"/>
                <w:sz w:val="18"/>
                <w:szCs w:val="18"/>
                <w:lang w:val="en-GB"/>
              </w:rPr>
              <w:t xml:space="preserve">UNDP, </w:t>
            </w:r>
            <w:r w:rsidRPr="00AE4C43">
              <w:rPr>
                <w:rFonts w:eastAsia="Calibri"/>
                <w:sz w:val="18"/>
                <w:szCs w:val="18"/>
                <w:lang w:val="en-GB"/>
              </w:rPr>
              <w:t>UNFPA,</w:t>
            </w:r>
            <w:r w:rsidR="00346DB7" w:rsidRPr="00AE4C43">
              <w:rPr>
                <w:rFonts w:eastAsia="Calibri"/>
                <w:sz w:val="18"/>
                <w:szCs w:val="18"/>
              </w:rPr>
              <w:t xml:space="preserve"> UNHCR,</w:t>
            </w:r>
            <w:r w:rsidRPr="00AE4C43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6D6145" w:rsidRPr="00AE4C43">
              <w:rPr>
                <w:rFonts w:eastAsia="Calibri"/>
                <w:sz w:val="18"/>
                <w:szCs w:val="18"/>
                <w:lang w:val="en-GB"/>
              </w:rPr>
              <w:t>UN</w:t>
            </w:r>
            <w:r w:rsidR="006D6145">
              <w:rPr>
                <w:rFonts w:eastAsia="Calibri"/>
                <w:sz w:val="18"/>
                <w:szCs w:val="18"/>
                <w:lang w:val="en-GB"/>
              </w:rPr>
              <w:t>-</w:t>
            </w:r>
            <w:r w:rsidR="001200C9" w:rsidRPr="00AE4C43">
              <w:rPr>
                <w:rFonts w:eastAsia="Calibri"/>
                <w:sz w:val="18"/>
                <w:szCs w:val="18"/>
                <w:lang w:val="en-GB"/>
              </w:rPr>
              <w:t>Women</w:t>
            </w:r>
          </w:p>
          <w:p w14:paraId="5C191385" w14:textId="77777777" w:rsidR="00765F42" w:rsidRPr="00AE4C43" w:rsidRDefault="00765F42" w:rsidP="00093953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</w:p>
          <w:p w14:paraId="490EB599" w14:textId="77777777" w:rsidR="00765F42" w:rsidRPr="00AE4C43" w:rsidRDefault="00765F42" w:rsidP="00093953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</w:p>
          <w:p w14:paraId="54599815" w14:textId="77777777" w:rsidR="00765F42" w:rsidRPr="00AE4C43" w:rsidRDefault="00765F42" w:rsidP="00093953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</w:p>
          <w:p w14:paraId="0C2C2DE1" w14:textId="77777777" w:rsidR="00765F42" w:rsidRPr="00AE4C43" w:rsidRDefault="00765F42" w:rsidP="00093953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</w:p>
          <w:p w14:paraId="15E8D8D2" w14:textId="77777777" w:rsidR="00765F42" w:rsidRPr="00AE4C43" w:rsidRDefault="00765F42" w:rsidP="00093953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</w:p>
          <w:p w14:paraId="20D2C017" w14:textId="77777777" w:rsidR="00765F42" w:rsidRPr="00AE4C43" w:rsidRDefault="00765F42" w:rsidP="00093953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</w:p>
          <w:p w14:paraId="501FF6FD" w14:textId="77777777" w:rsidR="00765F42" w:rsidRPr="00AE4C43" w:rsidRDefault="00765F42" w:rsidP="00093953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</w:p>
          <w:p w14:paraId="7553306F" w14:textId="77777777" w:rsidR="00765F42" w:rsidRPr="00AE4C43" w:rsidRDefault="00765F42" w:rsidP="00093953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  <w:r w:rsidRPr="00AE4C43">
              <w:rPr>
                <w:rFonts w:eastAsia="Calibri"/>
                <w:b/>
                <w:sz w:val="18"/>
                <w:szCs w:val="18"/>
                <w:lang w:val="en-GB"/>
              </w:rPr>
              <w:t>Source</w:t>
            </w:r>
            <w:r w:rsidRPr="00AE4C43">
              <w:rPr>
                <w:rFonts w:eastAsia="Calibri"/>
                <w:sz w:val="18"/>
                <w:szCs w:val="18"/>
                <w:lang w:val="en-GB"/>
              </w:rPr>
              <w:t>: SCORE surveys</w:t>
            </w:r>
          </w:p>
          <w:p w14:paraId="1375FB14" w14:textId="77777777" w:rsidR="00765F42" w:rsidRPr="00AE4C43" w:rsidRDefault="00765F42" w:rsidP="00093953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  <w:r w:rsidRPr="00AE4C43">
              <w:rPr>
                <w:rFonts w:eastAsia="Calibri"/>
                <w:b/>
                <w:sz w:val="18"/>
                <w:szCs w:val="18"/>
                <w:lang w:val="en-GB"/>
              </w:rPr>
              <w:t>Frequency</w:t>
            </w:r>
            <w:r w:rsidRPr="00AE4C43">
              <w:rPr>
                <w:rFonts w:eastAsia="Calibri"/>
                <w:sz w:val="18"/>
                <w:szCs w:val="18"/>
                <w:lang w:val="en-GB"/>
              </w:rPr>
              <w:t>: biennial</w:t>
            </w:r>
          </w:p>
          <w:p w14:paraId="302DDF58" w14:textId="77777777" w:rsidR="00765F42" w:rsidRPr="00AE4C43" w:rsidRDefault="00765F42" w:rsidP="00093953">
            <w:pPr>
              <w:widowControl w:val="0"/>
              <w:rPr>
                <w:rFonts w:eastAsia="Calibri"/>
                <w:sz w:val="18"/>
                <w:szCs w:val="18"/>
                <w:lang w:val="en-GB"/>
              </w:rPr>
            </w:pPr>
            <w:r w:rsidRPr="00AE4C43">
              <w:rPr>
                <w:rFonts w:eastAsia="Calibri"/>
                <w:b/>
                <w:sz w:val="18"/>
                <w:szCs w:val="18"/>
                <w:lang w:val="en-GB"/>
              </w:rPr>
              <w:t>Responsible</w:t>
            </w:r>
            <w:r w:rsidRPr="00AE4C43">
              <w:rPr>
                <w:rFonts w:eastAsia="Calibri"/>
                <w:sz w:val="18"/>
                <w:szCs w:val="18"/>
                <w:lang w:val="en-GB"/>
              </w:rPr>
              <w:t>: IOM, UNDP, UNICEF</w:t>
            </w:r>
          </w:p>
          <w:p w14:paraId="6ADE0BD5" w14:textId="77777777" w:rsidR="00765F42" w:rsidRPr="00AE4C43" w:rsidRDefault="00765F42" w:rsidP="00093953">
            <w:pPr>
              <w:widowControl w:val="0"/>
              <w:ind w:right="-107"/>
              <w:rPr>
                <w:rFonts w:eastAsia="Calibri"/>
                <w:sz w:val="18"/>
                <w:szCs w:val="18"/>
                <w:lang w:val="en-GB"/>
              </w:rPr>
            </w:pPr>
          </w:p>
          <w:p w14:paraId="6378D48D" w14:textId="77777777" w:rsidR="00765F42" w:rsidRPr="00AE4C43" w:rsidRDefault="00765F42" w:rsidP="00093953">
            <w:pPr>
              <w:widowControl w:val="0"/>
              <w:ind w:right="-107"/>
              <w:rPr>
                <w:rFonts w:eastAsia="Calibri"/>
                <w:sz w:val="18"/>
                <w:szCs w:val="18"/>
                <w:lang w:val="en-GB"/>
              </w:rPr>
            </w:pPr>
          </w:p>
          <w:p w14:paraId="2D7F0DE6" w14:textId="77777777" w:rsidR="00765F42" w:rsidRPr="00AE4C43" w:rsidRDefault="00765F42" w:rsidP="00093953">
            <w:pPr>
              <w:widowControl w:val="0"/>
              <w:ind w:right="-107"/>
              <w:rPr>
                <w:rFonts w:eastAsia="Calibri"/>
                <w:sz w:val="18"/>
                <w:szCs w:val="18"/>
                <w:lang w:val="en-GB"/>
              </w:rPr>
            </w:pPr>
          </w:p>
        </w:tc>
        <w:tc>
          <w:tcPr>
            <w:tcW w:w="5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500E0" w14:textId="77777777" w:rsidR="00765F42" w:rsidRPr="00AE4C43" w:rsidRDefault="00765F42" w:rsidP="00093953">
            <w:pPr>
              <w:rPr>
                <w:rFonts w:eastAsia="Calibri"/>
                <w:sz w:val="18"/>
                <w:szCs w:val="18"/>
                <w:lang w:val="en-GB"/>
              </w:rPr>
            </w:pPr>
            <w:r w:rsidRPr="00AE4C43">
              <w:rPr>
                <w:rFonts w:eastAsia="Calibri"/>
                <w:b/>
                <w:sz w:val="18"/>
                <w:szCs w:val="18"/>
                <w:lang w:val="en-GB"/>
              </w:rPr>
              <w:lastRenderedPageBreak/>
              <w:t xml:space="preserve">Output 4.1. </w:t>
            </w:r>
            <w:r w:rsidRPr="00AE4C43">
              <w:rPr>
                <w:rFonts w:eastAsia="Calibri"/>
                <w:sz w:val="18"/>
                <w:szCs w:val="18"/>
                <w:lang w:val="en-GB"/>
              </w:rPr>
              <w:t>Conflict-affected communities feel safer and satisfied with security services, following UNDP support</w:t>
            </w:r>
            <w:r w:rsidR="008E5C7C" w:rsidRPr="00AE4C43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</w:p>
          <w:p w14:paraId="383F86CA" w14:textId="77777777" w:rsidR="00093953" w:rsidRPr="00AE4C43" w:rsidRDefault="00093953" w:rsidP="00093953">
            <w:pPr>
              <w:ind w:left="329"/>
              <w:rPr>
                <w:rFonts w:eastAsia="Calibri"/>
                <w:sz w:val="18"/>
                <w:szCs w:val="18"/>
                <w:lang w:val="en-GB"/>
              </w:rPr>
            </w:pPr>
          </w:p>
          <w:p w14:paraId="7822BF22" w14:textId="77777777" w:rsidR="00765F42" w:rsidRPr="00AE4C43" w:rsidRDefault="00765F42" w:rsidP="00801C9A">
            <w:pPr>
              <w:ind w:left="5"/>
              <w:rPr>
                <w:rFonts w:eastAsia="Calibri"/>
                <w:sz w:val="18"/>
                <w:szCs w:val="18"/>
                <w:lang w:val="en-GB"/>
              </w:rPr>
            </w:pPr>
            <w:r w:rsidRPr="00AE4C43">
              <w:rPr>
                <w:rFonts w:eastAsia="Calibri"/>
                <w:b/>
                <w:sz w:val="18"/>
                <w:szCs w:val="18"/>
                <w:lang w:val="en-GB"/>
              </w:rPr>
              <w:t xml:space="preserve">Indicator 4.1.1: </w:t>
            </w:r>
            <w:r w:rsidRPr="00AE4C43">
              <w:rPr>
                <w:rFonts w:eastAsia="Calibri"/>
                <w:sz w:val="18"/>
                <w:szCs w:val="18"/>
                <w:lang w:val="en-GB"/>
              </w:rPr>
              <w:t>Share of conflict-affected women and men that feel safe outside the home</w:t>
            </w:r>
          </w:p>
          <w:p w14:paraId="680B6DB1" w14:textId="77777777" w:rsidR="00765F42" w:rsidRPr="00AE4C43" w:rsidRDefault="00765F42" w:rsidP="00801C9A">
            <w:pPr>
              <w:ind w:left="5"/>
              <w:rPr>
                <w:rFonts w:eastAsia="Calibri"/>
                <w:sz w:val="18"/>
                <w:szCs w:val="18"/>
                <w:lang w:val="en-GB"/>
              </w:rPr>
            </w:pPr>
            <w:r w:rsidRPr="00AE4C43">
              <w:rPr>
                <w:rFonts w:eastAsia="Calibri"/>
                <w:b/>
                <w:sz w:val="18"/>
                <w:szCs w:val="18"/>
                <w:lang w:val="en-GB"/>
              </w:rPr>
              <w:t>Baseline</w:t>
            </w:r>
            <w:r w:rsidRPr="00AE4C43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Pr="00AE4C43">
              <w:rPr>
                <w:rFonts w:eastAsia="Calibri"/>
                <w:b/>
                <w:sz w:val="18"/>
                <w:szCs w:val="18"/>
                <w:lang w:val="en-GB"/>
              </w:rPr>
              <w:t>(2016)</w:t>
            </w:r>
            <w:r w:rsidRPr="00AE4C43">
              <w:rPr>
                <w:rFonts w:eastAsia="Calibri"/>
                <w:sz w:val="18"/>
                <w:szCs w:val="18"/>
                <w:lang w:val="en-GB"/>
              </w:rPr>
              <w:t>: 37% (women), 75% (men)</w:t>
            </w:r>
          </w:p>
          <w:p w14:paraId="197C0056" w14:textId="77777777" w:rsidR="00765F42" w:rsidRPr="00AE4C43" w:rsidRDefault="00765F42" w:rsidP="00801C9A">
            <w:pPr>
              <w:ind w:left="5"/>
              <w:rPr>
                <w:rFonts w:eastAsia="Calibri"/>
                <w:sz w:val="18"/>
                <w:szCs w:val="18"/>
                <w:lang w:val="en-GB"/>
              </w:rPr>
            </w:pPr>
            <w:r w:rsidRPr="00AE4C43">
              <w:rPr>
                <w:rFonts w:eastAsia="Calibri"/>
                <w:b/>
                <w:sz w:val="18"/>
                <w:szCs w:val="18"/>
                <w:lang w:val="en-GB"/>
              </w:rPr>
              <w:t>Target (2022)</w:t>
            </w:r>
            <w:r w:rsidRPr="00AE4C43">
              <w:rPr>
                <w:rFonts w:eastAsia="Calibri"/>
                <w:sz w:val="18"/>
                <w:szCs w:val="18"/>
                <w:lang w:val="en-GB"/>
              </w:rPr>
              <w:t>: 47% (women); 85% (men)</w:t>
            </w:r>
          </w:p>
          <w:p w14:paraId="45259F56" w14:textId="5D4DC15C" w:rsidR="00765F42" w:rsidRPr="00AE4C43" w:rsidRDefault="00765F42" w:rsidP="00801C9A">
            <w:pPr>
              <w:ind w:left="5"/>
              <w:rPr>
                <w:rFonts w:eastAsia="Calibri"/>
                <w:sz w:val="18"/>
                <w:szCs w:val="18"/>
                <w:lang w:val="en-GB"/>
              </w:rPr>
            </w:pPr>
            <w:r w:rsidRPr="00AE4C43">
              <w:rPr>
                <w:rFonts w:eastAsia="Calibri"/>
                <w:b/>
                <w:sz w:val="18"/>
                <w:szCs w:val="18"/>
                <w:lang w:val="en-GB"/>
              </w:rPr>
              <w:t>Source</w:t>
            </w:r>
            <w:r w:rsidRPr="00AE4C43">
              <w:rPr>
                <w:rFonts w:eastAsia="Calibri"/>
                <w:sz w:val="18"/>
                <w:szCs w:val="18"/>
                <w:lang w:val="en-GB"/>
              </w:rPr>
              <w:t xml:space="preserve">: UNDP </w:t>
            </w:r>
            <w:r w:rsidR="0029468A">
              <w:rPr>
                <w:rFonts w:eastAsia="Calibri"/>
                <w:sz w:val="18"/>
                <w:szCs w:val="18"/>
                <w:lang w:val="en-GB"/>
              </w:rPr>
              <w:t>j</w:t>
            </w:r>
            <w:r w:rsidR="0029468A" w:rsidRPr="00AE4C43">
              <w:rPr>
                <w:rFonts w:eastAsia="Calibri"/>
                <w:sz w:val="18"/>
                <w:szCs w:val="18"/>
                <w:lang w:val="en-GB"/>
              </w:rPr>
              <w:t xml:space="preserve">ustice </w:t>
            </w:r>
            <w:r w:rsidR="006D6145">
              <w:rPr>
                <w:rFonts w:eastAsia="Calibri"/>
                <w:sz w:val="18"/>
                <w:szCs w:val="18"/>
                <w:lang w:val="en-GB"/>
              </w:rPr>
              <w:t>and</w:t>
            </w:r>
            <w:r w:rsidR="006D6145" w:rsidRPr="00AE4C43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29468A">
              <w:rPr>
                <w:rFonts w:eastAsia="Calibri"/>
                <w:sz w:val="18"/>
                <w:szCs w:val="18"/>
                <w:lang w:val="en-GB"/>
              </w:rPr>
              <w:t>s</w:t>
            </w:r>
            <w:r w:rsidR="0029468A" w:rsidRPr="00AE4C43">
              <w:rPr>
                <w:rFonts w:eastAsia="Calibri"/>
                <w:sz w:val="18"/>
                <w:szCs w:val="18"/>
                <w:lang w:val="en-GB"/>
              </w:rPr>
              <w:t xml:space="preserve">ecurity </w:t>
            </w:r>
            <w:r w:rsidR="0029468A">
              <w:rPr>
                <w:rFonts w:eastAsia="Calibri"/>
                <w:sz w:val="18"/>
                <w:szCs w:val="18"/>
                <w:lang w:val="en-GB"/>
              </w:rPr>
              <w:t>s</w:t>
            </w:r>
            <w:r w:rsidR="0029468A" w:rsidRPr="00AE4C43">
              <w:rPr>
                <w:rFonts w:eastAsia="Calibri"/>
                <w:sz w:val="18"/>
                <w:szCs w:val="18"/>
                <w:lang w:val="en-GB"/>
              </w:rPr>
              <w:t>urveys</w:t>
            </w:r>
          </w:p>
          <w:p w14:paraId="4F5E73A4" w14:textId="77777777" w:rsidR="00093953" w:rsidRPr="00AE4C43" w:rsidRDefault="00093953" w:rsidP="00801C9A">
            <w:pPr>
              <w:ind w:left="5"/>
              <w:rPr>
                <w:rFonts w:eastAsia="Calibri"/>
                <w:b/>
                <w:sz w:val="18"/>
                <w:szCs w:val="18"/>
                <w:lang w:val="en-GB"/>
              </w:rPr>
            </w:pPr>
          </w:p>
          <w:p w14:paraId="75874CC4" w14:textId="77777777" w:rsidR="00765F42" w:rsidRPr="00AE4C43" w:rsidRDefault="00765F42" w:rsidP="00801C9A">
            <w:pPr>
              <w:ind w:left="5"/>
              <w:rPr>
                <w:rFonts w:eastAsia="Calibri"/>
                <w:sz w:val="18"/>
                <w:szCs w:val="18"/>
                <w:lang w:val="en-GB"/>
              </w:rPr>
            </w:pPr>
            <w:r w:rsidRPr="00AE4C43">
              <w:rPr>
                <w:rFonts w:eastAsia="Calibri"/>
                <w:b/>
                <w:sz w:val="18"/>
                <w:szCs w:val="18"/>
                <w:lang w:val="en-GB"/>
              </w:rPr>
              <w:t xml:space="preserve">Indicator 4.1.2: </w:t>
            </w:r>
            <w:r w:rsidRPr="00AE4C43">
              <w:rPr>
                <w:rFonts w:eastAsia="Calibri"/>
                <w:sz w:val="18"/>
                <w:szCs w:val="18"/>
                <w:lang w:val="en-GB"/>
              </w:rPr>
              <w:t>Share of conflict-affected women and men satisfied with quality of security services with UNDP support</w:t>
            </w:r>
          </w:p>
          <w:p w14:paraId="6298F483" w14:textId="77777777" w:rsidR="00765F42" w:rsidRPr="00AE4C43" w:rsidRDefault="00765F42" w:rsidP="00801C9A">
            <w:pPr>
              <w:ind w:left="5"/>
              <w:rPr>
                <w:rFonts w:eastAsia="Calibri"/>
                <w:sz w:val="18"/>
                <w:szCs w:val="18"/>
                <w:lang w:val="en-GB"/>
              </w:rPr>
            </w:pPr>
            <w:r w:rsidRPr="00AE4C43">
              <w:rPr>
                <w:rFonts w:eastAsia="Calibri"/>
                <w:b/>
                <w:sz w:val="18"/>
                <w:szCs w:val="18"/>
                <w:lang w:val="en-GB"/>
              </w:rPr>
              <w:t>Baseline (2016):</w:t>
            </w:r>
            <w:r w:rsidRPr="00AE4C43">
              <w:rPr>
                <w:rFonts w:eastAsia="Calibri"/>
                <w:sz w:val="18"/>
                <w:szCs w:val="18"/>
                <w:lang w:val="en-GB"/>
              </w:rPr>
              <w:t xml:space="preserve"> 53% (women); 68% (men)</w:t>
            </w:r>
          </w:p>
          <w:p w14:paraId="20E9226E" w14:textId="77777777" w:rsidR="00765F42" w:rsidRPr="00AE4C43" w:rsidRDefault="00765F42" w:rsidP="00801C9A">
            <w:pPr>
              <w:ind w:left="5"/>
              <w:rPr>
                <w:rFonts w:eastAsia="Calibri"/>
                <w:sz w:val="18"/>
                <w:szCs w:val="18"/>
                <w:lang w:val="en-GB"/>
              </w:rPr>
            </w:pPr>
            <w:r w:rsidRPr="00AE4C43">
              <w:rPr>
                <w:rFonts w:eastAsia="Calibri"/>
                <w:b/>
                <w:sz w:val="18"/>
                <w:szCs w:val="18"/>
                <w:lang w:val="en-GB"/>
              </w:rPr>
              <w:lastRenderedPageBreak/>
              <w:t>Target (2022):</w:t>
            </w:r>
            <w:r w:rsidRPr="00AE4C43">
              <w:rPr>
                <w:rFonts w:eastAsia="Calibri"/>
                <w:sz w:val="18"/>
                <w:szCs w:val="18"/>
                <w:lang w:val="en-GB"/>
              </w:rPr>
              <w:t xml:space="preserve"> 63% (women); 78% (men) </w:t>
            </w:r>
          </w:p>
          <w:p w14:paraId="2ADA8B76" w14:textId="77777777" w:rsidR="00765F42" w:rsidRPr="00AE4C43" w:rsidRDefault="00765F42" w:rsidP="00801C9A">
            <w:pPr>
              <w:ind w:left="5"/>
              <w:rPr>
                <w:rFonts w:eastAsia="Calibri"/>
                <w:sz w:val="18"/>
                <w:szCs w:val="18"/>
                <w:lang w:val="en-GB"/>
              </w:rPr>
            </w:pPr>
            <w:r w:rsidRPr="00AE4C43">
              <w:rPr>
                <w:rFonts w:eastAsia="Calibri"/>
                <w:sz w:val="18"/>
                <w:szCs w:val="18"/>
                <w:lang w:val="en-GB"/>
              </w:rPr>
              <w:t>Source: SCORE surveys</w:t>
            </w:r>
          </w:p>
          <w:p w14:paraId="1D24FBDF" w14:textId="77777777" w:rsidR="00093953" w:rsidRPr="00AE4C43" w:rsidRDefault="00093953" w:rsidP="00801C9A">
            <w:pPr>
              <w:ind w:left="5"/>
              <w:rPr>
                <w:rFonts w:eastAsia="Calibri"/>
                <w:b/>
                <w:sz w:val="18"/>
                <w:szCs w:val="18"/>
                <w:lang w:val="en-GB"/>
              </w:rPr>
            </w:pPr>
          </w:p>
          <w:p w14:paraId="2EDF50DC" w14:textId="77777777" w:rsidR="00765F42" w:rsidRPr="00AE4C43" w:rsidRDefault="00765F42" w:rsidP="00801C9A">
            <w:pPr>
              <w:ind w:left="5"/>
              <w:rPr>
                <w:sz w:val="18"/>
                <w:szCs w:val="18"/>
                <w:lang w:val="en-GB"/>
              </w:rPr>
            </w:pPr>
            <w:r w:rsidRPr="00AE4C43">
              <w:rPr>
                <w:rFonts w:eastAsia="Calibri"/>
                <w:b/>
                <w:sz w:val="18"/>
                <w:szCs w:val="18"/>
                <w:lang w:val="en-GB"/>
              </w:rPr>
              <w:t>Indicator</w:t>
            </w:r>
            <w:r w:rsidRPr="00AE4C43">
              <w:rPr>
                <w:b/>
                <w:sz w:val="18"/>
                <w:szCs w:val="18"/>
                <w:lang w:val="en-GB"/>
              </w:rPr>
              <w:t xml:space="preserve"> 4.1.3: Intergroup tensions score</w:t>
            </w:r>
          </w:p>
          <w:p w14:paraId="482DE043" w14:textId="77777777" w:rsidR="00765F42" w:rsidRPr="00AE4C43" w:rsidRDefault="00765F42" w:rsidP="00801C9A">
            <w:pPr>
              <w:ind w:left="5"/>
              <w:rPr>
                <w:sz w:val="18"/>
                <w:szCs w:val="18"/>
                <w:lang w:val="en-GB"/>
              </w:rPr>
            </w:pPr>
            <w:r w:rsidRPr="00AE4C43">
              <w:rPr>
                <w:b/>
                <w:sz w:val="18"/>
                <w:szCs w:val="18"/>
                <w:lang w:val="en-GB"/>
              </w:rPr>
              <w:t>Baseline (2017)</w:t>
            </w:r>
            <w:r w:rsidRPr="00AE4C43">
              <w:rPr>
                <w:sz w:val="18"/>
                <w:szCs w:val="18"/>
                <w:lang w:val="en-GB"/>
              </w:rPr>
              <w:t>: pending baseline survey (September 2017)</w:t>
            </w:r>
          </w:p>
          <w:p w14:paraId="23014A1A" w14:textId="77777777" w:rsidR="00765F42" w:rsidRPr="00AE4C43" w:rsidRDefault="00765F42" w:rsidP="00801C9A">
            <w:pPr>
              <w:ind w:left="5"/>
              <w:rPr>
                <w:sz w:val="18"/>
                <w:szCs w:val="18"/>
                <w:lang w:val="en-GB"/>
              </w:rPr>
            </w:pPr>
            <w:r w:rsidRPr="00AE4C43">
              <w:rPr>
                <w:b/>
                <w:sz w:val="18"/>
                <w:szCs w:val="18"/>
                <w:lang w:val="en-GB"/>
              </w:rPr>
              <w:t>Target (2022):</w:t>
            </w:r>
            <w:r w:rsidRPr="00AE4C43">
              <w:rPr>
                <w:sz w:val="18"/>
                <w:szCs w:val="18"/>
                <w:lang w:val="en-GB"/>
              </w:rPr>
              <w:t xml:space="preserve"> 20% above baseline</w:t>
            </w:r>
          </w:p>
          <w:p w14:paraId="0384802C" w14:textId="77777777" w:rsidR="00765F42" w:rsidRPr="00AE4C43" w:rsidRDefault="00765F42" w:rsidP="00801C9A">
            <w:pPr>
              <w:ind w:left="5"/>
              <w:rPr>
                <w:sz w:val="18"/>
                <w:szCs w:val="18"/>
                <w:lang w:val="en-GB"/>
              </w:rPr>
            </w:pPr>
            <w:r w:rsidRPr="00AE4C43">
              <w:rPr>
                <w:b/>
                <w:sz w:val="18"/>
                <w:szCs w:val="18"/>
                <w:lang w:val="en-GB"/>
              </w:rPr>
              <w:t>Source:</w:t>
            </w:r>
            <w:r w:rsidRPr="00AE4C43">
              <w:rPr>
                <w:sz w:val="18"/>
                <w:szCs w:val="18"/>
                <w:lang w:val="en-GB"/>
              </w:rPr>
              <w:t xml:space="preserve"> SCORE surveys</w:t>
            </w:r>
          </w:p>
          <w:p w14:paraId="0D35B85B" w14:textId="77777777" w:rsidR="00765F42" w:rsidRPr="00AE4C43" w:rsidRDefault="00765F42" w:rsidP="00093953">
            <w:pPr>
              <w:rPr>
                <w:rFonts w:eastAsia="Calibri"/>
                <w:b/>
                <w:sz w:val="18"/>
                <w:szCs w:val="18"/>
                <w:lang w:val="en-GB"/>
              </w:rPr>
            </w:pPr>
          </w:p>
          <w:p w14:paraId="60EE4084" w14:textId="77777777" w:rsidR="00765F42" w:rsidRPr="00AE4C43" w:rsidRDefault="00765F42" w:rsidP="00093953">
            <w:pPr>
              <w:rPr>
                <w:sz w:val="18"/>
                <w:szCs w:val="18"/>
                <w:lang w:val="en-GB"/>
              </w:rPr>
            </w:pPr>
            <w:r w:rsidRPr="00AE4C43">
              <w:rPr>
                <w:rFonts w:eastAsia="Calibri"/>
                <w:b/>
                <w:sz w:val="18"/>
                <w:szCs w:val="18"/>
                <w:lang w:val="en-GB"/>
              </w:rPr>
              <w:t>Output 4.2. Crisis-affected women and men have more sustainable livelihoods opportunities, including jobs, created with UNDP support</w:t>
            </w:r>
          </w:p>
          <w:p w14:paraId="2F2DF068" w14:textId="77777777" w:rsidR="00765F42" w:rsidRPr="00AE4C43" w:rsidRDefault="00765F42" w:rsidP="00093953">
            <w:pPr>
              <w:ind w:left="331"/>
              <w:rPr>
                <w:rFonts w:eastAsia="Calibri"/>
                <w:b/>
                <w:sz w:val="18"/>
                <w:szCs w:val="18"/>
                <w:lang w:val="en-GB"/>
              </w:rPr>
            </w:pPr>
          </w:p>
          <w:p w14:paraId="106C8134" w14:textId="77777777" w:rsidR="00765F42" w:rsidRPr="00AE4C43" w:rsidRDefault="00765F42" w:rsidP="00801C9A">
            <w:pPr>
              <w:ind w:left="5"/>
              <w:rPr>
                <w:b/>
                <w:sz w:val="18"/>
                <w:szCs w:val="18"/>
                <w:lang w:val="en-GB"/>
              </w:rPr>
            </w:pPr>
            <w:r w:rsidRPr="00AE4C43">
              <w:rPr>
                <w:rFonts w:eastAsia="Calibri"/>
                <w:b/>
                <w:sz w:val="18"/>
                <w:szCs w:val="18"/>
                <w:lang w:val="en-GB"/>
              </w:rPr>
              <w:t>Indicator</w:t>
            </w:r>
            <w:r w:rsidRPr="00AE4C43">
              <w:rPr>
                <w:b/>
                <w:sz w:val="18"/>
                <w:szCs w:val="18"/>
                <w:lang w:val="en-GB"/>
              </w:rPr>
              <w:t xml:space="preserve"> 4.2.1: </w:t>
            </w:r>
            <w:r w:rsidRPr="00AE4C43">
              <w:rPr>
                <w:sz w:val="18"/>
                <w:szCs w:val="18"/>
                <w:lang w:val="en-GB"/>
              </w:rPr>
              <w:t>Number of people benefiting from emergency jobs and other livelihoods in crisis or post-crisis settings [IRRF 6.1.1]</w:t>
            </w:r>
          </w:p>
          <w:p w14:paraId="2DA55CF1" w14:textId="77777777" w:rsidR="00765F42" w:rsidRPr="00AE4C43" w:rsidRDefault="00765F42" w:rsidP="00801C9A">
            <w:pPr>
              <w:ind w:left="5"/>
              <w:rPr>
                <w:sz w:val="18"/>
                <w:szCs w:val="18"/>
                <w:lang w:val="en-GB"/>
              </w:rPr>
            </w:pPr>
            <w:r w:rsidRPr="00AE4C43">
              <w:rPr>
                <w:b/>
                <w:sz w:val="18"/>
                <w:szCs w:val="18"/>
                <w:lang w:val="en-GB"/>
              </w:rPr>
              <w:t>Baseline (2016):</w:t>
            </w:r>
            <w:r w:rsidRPr="00AE4C43">
              <w:rPr>
                <w:sz w:val="18"/>
                <w:szCs w:val="18"/>
                <w:lang w:val="en-GB"/>
              </w:rPr>
              <w:t xml:space="preserve"> 0</w:t>
            </w:r>
          </w:p>
          <w:p w14:paraId="3BEB541B" w14:textId="77777777" w:rsidR="00765F42" w:rsidRPr="00AE4C43" w:rsidRDefault="00765F42" w:rsidP="00801C9A">
            <w:pPr>
              <w:ind w:left="5"/>
              <w:rPr>
                <w:sz w:val="18"/>
                <w:szCs w:val="18"/>
                <w:lang w:val="en-GB"/>
              </w:rPr>
            </w:pPr>
            <w:r w:rsidRPr="00AE4C43">
              <w:rPr>
                <w:b/>
                <w:sz w:val="18"/>
                <w:szCs w:val="18"/>
                <w:lang w:val="en-GB"/>
              </w:rPr>
              <w:t>Target (2022):</w:t>
            </w:r>
            <w:r w:rsidRPr="00AE4C43">
              <w:rPr>
                <w:sz w:val="18"/>
                <w:szCs w:val="18"/>
                <w:lang w:val="en-GB"/>
              </w:rPr>
              <w:t xml:space="preserve"> 100,000 (women), 50,000 (men)</w:t>
            </w:r>
          </w:p>
          <w:p w14:paraId="4E065F62" w14:textId="77777777" w:rsidR="00765F42" w:rsidRPr="00AE4C43" w:rsidRDefault="00765F42" w:rsidP="00801C9A">
            <w:pPr>
              <w:ind w:left="5"/>
              <w:rPr>
                <w:b/>
                <w:sz w:val="18"/>
                <w:szCs w:val="18"/>
                <w:lang w:val="en-GB"/>
              </w:rPr>
            </w:pPr>
            <w:r w:rsidRPr="00AE4C43">
              <w:rPr>
                <w:sz w:val="18"/>
                <w:szCs w:val="18"/>
                <w:lang w:val="en-GB"/>
              </w:rPr>
              <w:t>Source: Annual assessments by UNDP/Regional administrations</w:t>
            </w:r>
          </w:p>
          <w:p w14:paraId="658608B1" w14:textId="77777777" w:rsidR="00765F42" w:rsidRPr="00AE4C43" w:rsidRDefault="00765F42" w:rsidP="00801C9A">
            <w:pPr>
              <w:ind w:left="5"/>
              <w:rPr>
                <w:sz w:val="18"/>
                <w:szCs w:val="18"/>
                <w:lang w:val="en-GB"/>
              </w:rPr>
            </w:pPr>
          </w:p>
          <w:p w14:paraId="62086330" w14:textId="77777777" w:rsidR="00765F42" w:rsidRPr="00AE4C43" w:rsidRDefault="00765F42" w:rsidP="00801C9A">
            <w:pPr>
              <w:ind w:left="5"/>
              <w:rPr>
                <w:sz w:val="18"/>
                <w:szCs w:val="18"/>
                <w:lang w:val="en-GB"/>
              </w:rPr>
            </w:pPr>
            <w:r w:rsidRPr="00AE4C43">
              <w:rPr>
                <w:rFonts w:eastAsia="Calibri"/>
                <w:b/>
                <w:sz w:val="18"/>
                <w:szCs w:val="18"/>
                <w:lang w:val="en-GB"/>
              </w:rPr>
              <w:t>Indicator</w:t>
            </w:r>
            <w:r w:rsidRPr="00AE4C43">
              <w:rPr>
                <w:b/>
                <w:sz w:val="18"/>
                <w:szCs w:val="18"/>
                <w:lang w:val="en-GB"/>
              </w:rPr>
              <w:t xml:space="preserve"> 4.2.2: </w:t>
            </w:r>
            <w:r w:rsidRPr="00AE4C43">
              <w:rPr>
                <w:sz w:val="18"/>
                <w:szCs w:val="18"/>
                <w:lang w:val="en-GB"/>
              </w:rPr>
              <w:t xml:space="preserve">Number of conflict-affected women and men benefiting from </w:t>
            </w:r>
            <w:r w:rsidRPr="00AE4C43">
              <w:rPr>
                <w:rFonts w:eastAsia="Calibri"/>
                <w:sz w:val="18"/>
                <w:szCs w:val="18"/>
                <w:lang w:val="en-GB"/>
              </w:rPr>
              <w:t>improved</w:t>
            </w:r>
            <w:r w:rsidRPr="00AE4C43">
              <w:rPr>
                <w:sz w:val="18"/>
                <w:szCs w:val="18"/>
                <w:lang w:val="en-GB"/>
              </w:rPr>
              <w:t xml:space="preserve"> infrastructure and quality public services with UNDP support</w:t>
            </w:r>
          </w:p>
          <w:p w14:paraId="76D2100F" w14:textId="77777777" w:rsidR="00765F42" w:rsidRPr="00AE4C43" w:rsidRDefault="00765F42" w:rsidP="00801C9A">
            <w:pPr>
              <w:ind w:left="5"/>
              <w:rPr>
                <w:sz w:val="18"/>
                <w:szCs w:val="18"/>
                <w:lang w:val="en-GB"/>
              </w:rPr>
            </w:pPr>
            <w:r w:rsidRPr="00AE4C43">
              <w:rPr>
                <w:b/>
                <w:sz w:val="18"/>
                <w:szCs w:val="18"/>
                <w:lang w:val="en-GB"/>
              </w:rPr>
              <w:t>Baseline (2016):</w:t>
            </w:r>
            <w:r w:rsidRPr="00AE4C43">
              <w:rPr>
                <w:sz w:val="18"/>
                <w:szCs w:val="18"/>
                <w:lang w:val="en-GB"/>
              </w:rPr>
              <w:t xml:space="preserve"> 0</w:t>
            </w:r>
          </w:p>
          <w:p w14:paraId="73BF17AB" w14:textId="77777777" w:rsidR="00765F42" w:rsidRPr="00AE4C43" w:rsidRDefault="00765F42" w:rsidP="00801C9A">
            <w:pPr>
              <w:ind w:left="5"/>
              <w:rPr>
                <w:sz w:val="18"/>
                <w:szCs w:val="18"/>
                <w:lang w:val="en-GB"/>
              </w:rPr>
            </w:pPr>
            <w:r w:rsidRPr="00AE4C43">
              <w:rPr>
                <w:b/>
                <w:sz w:val="18"/>
                <w:szCs w:val="18"/>
                <w:lang w:val="en-GB"/>
              </w:rPr>
              <w:t>Target (2022):</w:t>
            </w:r>
            <w:r w:rsidRPr="00AE4C43">
              <w:rPr>
                <w:sz w:val="18"/>
                <w:szCs w:val="18"/>
                <w:lang w:val="en-GB"/>
              </w:rPr>
              <w:t xml:space="preserve"> 1,000,000 (women), 1,000,000 (men)</w:t>
            </w:r>
          </w:p>
          <w:p w14:paraId="04FBDDA8" w14:textId="14E66952" w:rsidR="00765F42" w:rsidRPr="00AE4C43" w:rsidRDefault="00765F42" w:rsidP="00801C9A">
            <w:pPr>
              <w:ind w:left="5"/>
              <w:rPr>
                <w:sz w:val="18"/>
                <w:szCs w:val="18"/>
                <w:lang w:val="en-GB"/>
              </w:rPr>
            </w:pPr>
            <w:r w:rsidRPr="00AE4C43">
              <w:rPr>
                <w:b/>
                <w:sz w:val="18"/>
                <w:szCs w:val="18"/>
                <w:lang w:val="en-GB"/>
              </w:rPr>
              <w:t>Source:</w:t>
            </w:r>
            <w:r w:rsidRPr="00AE4C43">
              <w:rPr>
                <w:sz w:val="18"/>
                <w:szCs w:val="18"/>
                <w:lang w:val="en-GB"/>
              </w:rPr>
              <w:t xml:space="preserve"> Annual assessments by UNDP</w:t>
            </w:r>
            <w:r w:rsidR="0029468A">
              <w:rPr>
                <w:sz w:val="18"/>
                <w:szCs w:val="18"/>
                <w:lang w:val="en-GB"/>
              </w:rPr>
              <w:t>,</w:t>
            </w:r>
            <w:r w:rsidRPr="00AE4C43">
              <w:rPr>
                <w:sz w:val="18"/>
                <w:szCs w:val="18"/>
              </w:rPr>
              <w:t xml:space="preserve"> </w:t>
            </w:r>
            <w:r w:rsidR="0029468A">
              <w:rPr>
                <w:sz w:val="18"/>
                <w:szCs w:val="18"/>
                <w:lang w:val="en-GB"/>
              </w:rPr>
              <w:t>r</w:t>
            </w:r>
            <w:r w:rsidR="0029468A" w:rsidRPr="00AE4C43">
              <w:rPr>
                <w:sz w:val="18"/>
                <w:szCs w:val="18"/>
                <w:lang w:val="en-GB"/>
              </w:rPr>
              <w:t xml:space="preserve">egional </w:t>
            </w:r>
            <w:r w:rsidRPr="00AE4C43">
              <w:rPr>
                <w:sz w:val="18"/>
                <w:szCs w:val="18"/>
                <w:lang w:val="en-GB"/>
              </w:rPr>
              <w:t>administrations</w:t>
            </w:r>
          </w:p>
          <w:p w14:paraId="4D73241D" w14:textId="77777777" w:rsidR="00765F42" w:rsidRPr="00AE4C43" w:rsidRDefault="00765F42" w:rsidP="00801C9A">
            <w:pPr>
              <w:ind w:left="5"/>
              <w:rPr>
                <w:sz w:val="18"/>
                <w:szCs w:val="18"/>
                <w:lang w:val="en-GB"/>
              </w:rPr>
            </w:pPr>
          </w:p>
          <w:p w14:paraId="553D3B35" w14:textId="77777777" w:rsidR="00765F42" w:rsidRDefault="00765F42" w:rsidP="00093953">
            <w:pPr>
              <w:rPr>
                <w:rFonts w:eastAsia="Calibri"/>
                <w:sz w:val="18"/>
                <w:szCs w:val="18"/>
                <w:lang w:val="en-GB"/>
              </w:rPr>
            </w:pPr>
            <w:r w:rsidRPr="00AE4C43">
              <w:rPr>
                <w:rFonts w:eastAsia="Calibri"/>
                <w:b/>
                <w:sz w:val="18"/>
                <w:szCs w:val="18"/>
                <w:lang w:val="en-GB"/>
              </w:rPr>
              <w:t xml:space="preserve">Output 4.3. </w:t>
            </w:r>
            <w:r w:rsidRPr="00AE4C43">
              <w:rPr>
                <w:rFonts w:eastAsia="Calibri"/>
                <w:sz w:val="18"/>
                <w:szCs w:val="18"/>
                <w:lang w:val="en-GB"/>
              </w:rPr>
              <w:t>National and regional authorities have the knowledge and skills to engage communities in gender-responsive planning, coordination, delivery and monitoring of recovery efforts</w:t>
            </w:r>
          </w:p>
          <w:p w14:paraId="74250D76" w14:textId="77777777" w:rsidR="00801C9A" w:rsidRPr="00AE4C43" w:rsidRDefault="00801C9A" w:rsidP="00093953">
            <w:pPr>
              <w:rPr>
                <w:rFonts w:eastAsia="Calibri"/>
                <w:sz w:val="18"/>
                <w:szCs w:val="18"/>
                <w:lang w:val="en-GB"/>
              </w:rPr>
            </w:pPr>
          </w:p>
          <w:p w14:paraId="291555D1" w14:textId="77777777" w:rsidR="00765F42" w:rsidRPr="00AE4C43" w:rsidRDefault="00765F42" w:rsidP="00801C9A">
            <w:pPr>
              <w:ind w:left="5"/>
              <w:rPr>
                <w:b/>
                <w:sz w:val="18"/>
                <w:szCs w:val="18"/>
                <w:lang w:val="en-GB"/>
              </w:rPr>
            </w:pPr>
            <w:r w:rsidRPr="00AE4C43">
              <w:rPr>
                <w:b/>
                <w:sz w:val="18"/>
                <w:szCs w:val="18"/>
                <w:lang w:val="en-GB"/>
              </w:rPr>
              <w:t xml:space="preserve">Indicator 4.3.1: </w:t>
            </w:r>
            <w:r w:rsidRPr="00AE4C43">
              <w:rPr>
                <w:sz w:val="18"/>
                <w:szCs w:val="18"/>
                <w:lang w:val="en-GB"/>
              </w:rPr>
              <w:t xml:space="preserve">Number of national and regional governmental </w:t>
            </w:r>
            <w:r w:rsidRPr="00AE4C43">
              <w:rPr>
                <w:rFonts w:eastAsia="Calibri"/>
                <w:sz w:val="18"/>
                <w:szCs w:val="18"/>
                <w:lang w:val="en-GB"/>
              </w:rPr>
              <w:t>agencies</w:t>
            </w:r>
            <w:r w:rsidRPr="00AE4C43">
              <w:rPr>
                <w:sz w:val="18"/>
                <w:szCs w:val="18"/>
                <w:lang w:val="en-GB"/>
              </w:rPr>
              <w:t xml:space="preserve"> with improved capacity in community engagement, gender-responsive planning, coordination and monitoring of recovery efforts</w:t>
            </w:r>
          </w:p>
          <w:p w14:paraId="328A0C8B" w14:textId="77777777" w:rsidR="00765F42" w:rsidRPr="00AE4C43" w:rsidRDefault="00765F42" w:rsidP="00801C9A">
            <w:pPr>
              <w:ind w:left="5"/>
              <w:rPr>
                <w:sz w:val="18"/>
                <w:szCs w:val="18"/>
                <w:lang w:val="en-GB"/>
              </w:rPr>
            </w:pPr>
            <w:r w:rsidRPr="00AE4C43">
              <w:rPr>
                <w:b/>
                <w:sz w:val="18"/>
                <w:szCs w:val="18"/>
                <w:lang w:val="en-GB"/>
              </w:rPr>
              <w:t>Baseline (2016):</w:t>
            </w:r>
            <w:r w:rsidRPr="00AE4C43">
              <w:rPr>
                <w:sz w:val="18"/>
                <w:szCs w:val="18"/>
                <w:lang w:val="en-GB"/>
              </w:rPr>
              <w:t xml:space="preserve"> 0</w:t>
            </w:r>
          </w:p>
          <w:p w14:paraId="750FED43" w14:textId="77777777" w:rsidR="00765F42" w:rsidRPr="00AE4C43" w:rsidRDefault="00765F42" w:rsidP="00801C9A">
            <w:pPr>
              <w:ind w:left="5"/>
              <w:rPr>
                <w:sz w:val="18"/>
                <w:szCs w:val="18"/>
                <w:lang w:val="en-GB"/>
              </w:rPr>
            </w:pPr>
            <w:r w:rsidRPr="00AE4C43">
              <w:rPr>
                <w:b/>
                <w:sz w:val="18"/>
                <w:szCs w:val="18"/>
                <w:lang w:val="en-GB"/>
              </w:rPr>
              <w:t>Target (2022):</w:t>
            </w:r>
            <w:r w:rsidRPr="00AE4C43">
              <w:rPr>
                <w:sz w:val="18"/>
                <w:szCs w:val="18"/>
                <w:lang w:val="en-GB"/>
              </w:rPr>
              <w:t xml:space="preserve"> 6</w:t>
            </w:r>
          </w:p>
          <w:p w14:paraId="7F0E0917" w14:textId="19A5030C" w:rsidR="00765F42" w:rsidRPr="00AE4C43" w:rsidRDefault="00765F42" w:rsidP="00801C9A">
            <w:pPr>
              <w:ind w:left="5"/>
              <w:rPr>
                <w:b/>
                <w:sz w:val="18"/>
                <w:szCs w:val="18"/>
                <w:lang w:val="en-GB"/>
              </w:rPr>
            </w:pPr>
            <w:r w:rsidRPr="00AE4C43">
              <w:rPr>
                <w:b/>
                <w:sz w:val="18"/>
                <w:szCs w:val="18"/>
                <w:lang w:val="en-GB"/>
              </w:rPr>
              <w:t>Source:</w:t>
            </w:r>
            <w:r w:rsidRPr="00AE4C43">
              <w:rPr>
                <w:sz w:val="18"/>
                <w:szCs w:val="18"/>
                <w:lang w:val="en-GB"/>
              </w:rPr>
              <w:t xml:space="preserve"> Annual assessments by UNDP</w:t>
            </w:r>
            <w:r w:rsidR="0029468A">
              <w:rPr>
                <w:sz w:val="18"/>
                <w:szCs w:val="18"/>
                <w:lang w:val="en-GB"/>
              </w:rPr>
              <w:t>,</w:t>
            </w:r>
            <w:r w:rsidR="0029468A" w:rsidRPr="00AE4C43">
              <w:rPr>
                <w:sz w:val="18"/>
                <w:szCs w:val="18"/>
              </w:rPr>
              <w:t xml:space="preserve"> </w:t>
            </w:r>
            <w:r w:rsidR="0029468A">
              <w:rPr>
                <w:sz w:val="18"/>
                <w:szCs w:val="18"/>
                <w:lang w:val="en-GB"/>
              </w:rPr>
              <w:t>r</w:t>
            </w:r>
            <w:r w:rsidR="0029468A" w:rsidRPr="00AE4C43">
              <w:rPr>
                <w:sz w:val="18"/>
                <w:szCs w:val="18"/>
                <w:lang w:val="en-GB"/>
              </w:rPr>
              <w:t xml:space="preserve">egional </w:t>
            </w:r>
            <w:r w:rsidRPr="00AE4C43">
              <w:rPr>
                <w:sz w:val="18"/>
                <w:szCs w:val="18"/>
                <w:lang w:val="en-GB"/>
              </w:rPr>
              <w:t>administrations</w:t>
            </w:r>
          </w:p>
        </w:tc>
        <w:tc>
          <w:tcPr>
            <w:tcW w:w="2245" w:type="dxa"/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C03DA24" w14:textId="77777777" w:rsidR="0029468A" w:rsidRDefault="00765F42" w:rsidP="00093953">
            <w:pPr>
              <w:rPr>
                <w:sz w:val="18"/>
                <w:szCs w:val="18"/>
                <w:lang w:val="en-GB"/>
              </w:rPr>
            </w:pPr>
            <w:r w:rsidRPr="00AE4C43">
              <w:rPr>
                <w:rFonts w:eastAsia="Calibri"/>
                <w:sz w:val="18"/>
                <w:szCs w:val="18"/>
                <w:lang w:val="en-GB"/>
              </w:rPr>
              <w:lastRenderedPageBreak/>
              <w:t>Local authorities and communities</w:t>
            </w:r>
            <w:r w:rsidRPr="00AE4C43">
              <w:rPr>
                <w:sz w:val="18"/>
                <w:szCs w:val="18"/>
                <w:lang w:val="en-GB"/>
              </w:rPr>
              <w:t xml:space="preserve">, </w:t>
            </w:r>
          </w:p>
          <w:p w14:paraId="7257CDF9" w14:textId="6AD498B4" w:rsidR="002766CA" w:rsidRDefault="002766CA" w:rsidP="00093953">
            <w:pPr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Ministries of </w:t>
            </w:r>
            <w:r w:rsidRPr="002766CA">
              <w:rPr>
                <w:rFonts w:eastAsia="Calibri"/>
                <w:sz w:val="18"/>
                <w:szCs w:val="18"/>
                <w:lang w:val="en-GB"/>
              </w:rPr>
              <w:t>Temporarily Occupied Territories and IDPs</w:t>
            </w:r>
            <w:r w:rsidR="00765F42" w:rsidRPr="00AE4C43">
              <w:rPr>
                <w:rFonts w:eastAsia="Calibri"/>
                <w:sz w:val="18"/>
                <w:szCs w:val="18"/>
                <w:lang w:val="en-GB"/>
              </w:rPr>
              <w:t xml:space="preserve">, 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of </w:t>
            </w:r>
            <w:r w:rsidR="006D6145">
              <w:rPr>
                <w:rFonts w:eastAsia="Calibri"/>
                <w:sz w:val="18"/>
                <w:szCs w:val="18"/>
                <w:lang w:val="en-GB"/>
              </w:rPr>
              <w:t>R</w:t>
            </w:r>
            <w:r>
              <w:rPr>
                <w:rFonts w:eastAsia="Calibri"/>
                <w:sz w:val="18"/>
                <w:szCs w:val="18"/>
                <w:lang w:val="en-GB"/>
              </w:rPr>
              <w:t>egional Development</w:t>
            </w:r>
            <w:r w:rsidR="00765F42" w:rsidRPr="00AE4C43">
              <w:rPr>
                <w:rFonts w:eastAsia="Calibri"/>
                <w:sz w:val="18"/>
                <w:szCs w:val="18"/>
                <w:lang w:val="en-GB"/>
              </w:rPr>
              <w:t xml:space="preserve">, 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of Social Policy, </w:t>
            </w:r>
            <w:r w:rsidR="00765F42" w:rsidRPr="00AE4C43">
              <w:rPr>
                <w:rFonts w:eastAsia="Calibri"/>
                <w:sz w:val="18"/>
                <w:szCs w:val="18"/>
                <w:lang w:val="en-GB"/>
              </w:rPr>
              <w:t>of Youth and Sports</w:t>
            </w:r>
            <w:r>
              <w:rPr>
                <w:rFonts w:eastAsia="Calibri"/>
                <w:sz w:val="18"/>
                <w:szCs w:val="18"/>
                <w:lang w:val="en-GB"/>
              </w:rPr>
              <w:t>;</w:t>
            </w:r>
          </w:p>
          <w:p w14:paraId="78F31485" w14:textId="77777777" w:rsidR="0029468A" w:rsidRDefault="00765F42" w:rsidP="00093953">
            <w:pPr>
              <w:rPr>
                <w:sz w:val="18"/>
                <w:szCs w:val="18"/>
                <w:lang w:val="en-GB"/>
              </w:rPr>
            </w:pPr>
            <w:r w:rsidRPr="00AE4C43">
              <w:rPr>
                <w:rFonts w:eastAsia="Calibri"/>
                <w:sz w:val="18"/>
                <w:szCs w:val="18"/>
                <w:lang w:val="en-GB"/>
              </w:rPr>
              <w:t>National Police</w:t>
            </w:r>
            <w:r w:rsidRPr="00AE4C43">
              <w:rPr>
                <w:sz w:val="18"/>
                <w:szCs w:val="18"/>
                <w:lang w:val="en-GB"/>
              </w:rPr>
              <w:t xml:space="preserve">, </w:t>
            </w:r>
          </w:p>
          <w:p w14:paraId="587FAAF8" w14:textId="20671825" w:rsidR="00765F42" w:rsidRDefault="00765F42" w:rsidP="00093953">
            <w:pPr>
              <w:rPr>
                <w:sz w:val="18"/>
                <w:szCs w:val="18"/>
                <w:lang w:val="en-GB"/>
              </w:rPr>
            </w:pPr>
            <w:r w:rsidRPr="00AE4C43">
              <w:rPr>
                <w:rFonts w:eastAsia="Calibri"/>
                <w:sz w:val="18"/>
                <w:szCs w:val="18"/>
                <w:lang w:val="en-GB"/>
              </w:rPr>
              <w:t>State Employment Service</w:t>
            </w:r>
            <w:r w:rsidRPr="00AE4C43">
              <w:rPr>
                <w:sz w:val="18"/>
                <w:szCs w:val="18"/>
                <w:lang w:val="en-GB"/>
              </w:rPr>
              <w:t xml:space="preserve"> </w:t>
            </w:r>
          </w:p>
          <w:p w14:paraId="34CED06C" w14:textId="0EDE748D" w:rsidR="009841A9" w:rsidRDefault="009841A9" w:rsidP="00C7137F">
            <w:pPr>
              <w:rPr>
                <w:rFonts w:eastAsia="Calibri"/>
                <w:sz w:val="18"/>
                <w:szCs w:val="18"/>
                <w:lang w:val="en-GB"/>
              </w:rPr>
            </w:pPr>
          </w:p>
          <w:p w14:paraId="0729F7F4" w14:textId="6A729A5B" w:rsidR="00CD66AD" w:rsidRDefault="00CD66AD" w:rsidP="00C7137F">
            <w:pPr>
              <w:rPr>
                <w:rFonts w:eastAsia="Calibri"/>
                <w:sz w:val="18"/>
                <w:szCs w:val="18"/>
                <w:lang w:val="en-GB"/>
              </w:rPr>
            </w:pPr>
            <w:r w:rsidRPr="00AE4C43">
              <w:rPr>
                <w:rFonts w:eastAsia="Calibri"/>
                <w:sz w:val="18"/>
                <w:szCs w:val="18"/>
                <w:lang w:val="en-GB"/>
              </w:rPr>
              <w:lastRenderedPageBreak/>
              <w:t xml:space="preserve">ILO, IOM, </w:t>
            </w:r>
            <w:r w:rsidR="0029468A" w:rsidRPr="00AE4C43">
              <w:rPr>
                <w:rFonts w:eastAsia="Calibri"/>
                <w:sz w:val="18"/>
                <w:szCs w:val="18"/>
                <w:lang w:val="en-GB"/>
              </w:rPr>
              <w:t>UN</w:t>
            </w:r>
            <w:r w:rsidR="0029468A">
              <w:rPr>
                <w:rFonts w:eastAsia="Calibri"/>
                <w:sz w:val="18"/>
                <w:szCs w:val="18"/>
                <w:lang w:val="en-GB"/>
              </w:rPr>
              <w:t>-</w:t>
            </w:r>
            <w:r w:rsidRPr="00AE4C43">
              <w:rPr>
                <w:rFonts w:eastAsia="Calibri"/>
                <w:sz w:val="18"/>
                <w:szCs w:val="18"/>
                <w:lang w:val="en-GB"/>
              </w:rPr>
              <w:t>Women, UNHCR, UNICEF, UNOCHA, UNV</w:t>
            </w:r>
          </w:p>
          <w:p w14:paraId="1B3ED908" w14:textId="77777777" w:rsidR="00CD66AD" w:rsidRPr="00AE4C43" w:rsidRDefault="00CD66AD" w:rsidP="00C7137F">
            <w:pPr>
              <w:rPr>
                <w:rFonts w:eastAsia="Calibri"/>
                <w:sz w:val="18"/>
                <w:szCs w:val="18"/>
                <w:lang w:val="en-GB"/>
              </w:rPr>
            </w:pPr>
          </w:p>
          <w:p w14:paraId="521DD138" w14:textId="2BAAA016" w:rsidR="006D6145" w:rsidRDefault="00CD66AD" w:rsidP="002766CA">
            <w:pPr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 xml:space="preserve">EIB, EU, </w:t>
            </w:r>
            <w:r w:rsidR="002766CA">
              <w:rPr>
                <w:rFonts w:eastAsia="Calibri"/>
                <w:sz w:val="18"/>
                <w:szCs w:val="18"/>
                <w:lang w:val="en-GB"/>
              </w:rPr>
              <w:t xml:space="preserve">Governments of </w:t>
            </w:r>
            <w:r w:rsidR="003A17D5" w:rsidRPr="00AE4C43">
              <w:rPr>
                <w:rFonts w:eastAsia="Calibri"/>
                <w:sz w:val="18"/>
                <w:szCs w:val="18"/>
                <w:lang w:val="en-GB"/>
              </w:rPr>
              <w:t>Czech Republic</w:t>
            </w:r>
            <w:r w:rsidR="00765F42" w:rsidRPr="00AE4C43">
              <w:rPr>
                <w:rFonts w:eastAsia="Calibri"/>
                <w:sz w:val="18"/>
                <w:szCs w:val="18"/>
                <w:lang w:val="en-GB"/>
              </w:rPr>
              <w:t xml:space="preserve">, </w:t>
            </w:r>
            <w:r w:rsidR="002766CA" w:rsidRPr="00AE4C43">
              <w:rPr>
                <w:rFonts w:eastAsia="Calibri"/>
                <w:sz w:val="18"/>
                <w:szCs w:val="18"/>
                <w:lang w:val="en-GB"/>
              </w:rPr>
              <w:t xml:space="preserve">Japan, Netherlands, Poland, Romania, </w:t>
            </w:r>
            <w:r w:rsidR="006D6145" w:rsidRPr="00AE4C43">
              <w:rPr>
                <w:rFonts w:eastAsia="Calibri"/>
                <w:sz w:val="18"/>
                <w:szCs w:val="18"/>
                <w:lang w:val="en-GB"/>
              </w:rPr>
              <w:t>Sweden</w:t>
            </w:r>
            <w:r w:rsidR="002766CA" w:rsidRPr="00AE4C43">
              <w:rPr>
                <w:rFonts w:eastAsia="Calibri"/>
                <w:sz w:val="18"/>
                <w:szCs w:val="18"/>
                <w:lang w:val="en-GB"/>
              </w:rPr>
              <w:t xml:space="preserve">, Switzerland, </w:t>
            </w:r>
            <w:r>
              <w:rPr>
                <w:rFonts w:eastAsia="Calibri"/>
                <w:sz w:val="18"/>
                <w:szCs w:val="18"/>
                <w:lang w:val="en-GB"/>
              </w:rPr>
              <w:t>UK</w:t>
            </w:r>
            <w:r w:rsidR="000B3B28">
              <w:rPr>
                <w:rFonts w:eastAsia="Calibri"/>
                <w:sz w:val="18"/>
                <w:szCs w:val="18"/>
                <w:lang w:val="en-GB"/>
              </w:rPr>
              <w:t xml:space="preserve"> Aid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, </w:t>
            </w:r>
            <w:r w:rsidR="002766CA" w:rsidRPr="00AE4C43">
              <w:rPr>
                <w:rFonts w:eastAsia="Calibri"/>
                <w:sz w:val="18"/>
                <w:szCs w:val="18"/>
                <w:lang w:val="en-GB"/>
              </w:rPr>
              <w:t xml:space="preserve">USAID, </w:t>
            </w:r>
          </w:p>
          <w:p w14:paraId="7D1EA163" w14:textId="750CD03D" w:rsidR="00765F42" w:rsidRPr="00AE4C43" w:rsidRDefault="00765F42" w:rsidP="006D6145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695" w:type="dxa"/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1B225139" w14:textId="77777777" w:rsidR="00765F42" w:rsidRPr="00AE4C43" w:rsidRDefault="00765F42" w:rsidP="00093953">
            <w:pPr>
              <w:widowControl w:val="0"/>
              <w:rPr>
                <w:rFonts w:eastAsia="Calibri"/>
                <w:b/>
                <w:color w:val="000000"/>
                <w:sz w:val="18"/>
                <w:szCs w:val="18"/>
                <w:lang w:val="en-GB"/>
              </w:rPr>
            </w:pPr>
            <w:r w:rsidRPr="00AE4C43">
              <w:rPr>
                <w:rFonts w:eastAsia="Calibri"/>
                <w:b/>
                <w:color w:val="000000"/>
                <w:sz w:val="18"/>
                <w:szCs w:val="18"/>
                <w:lang w:val="en-GB"/>
              </w:rPr>
              <w:lastRenderedPageBreak/>
              <w:t xml:space="preserve">Regular: </w:t>
            </w:r>
          </w:p>
          <w:p w14:paraId="0E92ADBC" w14:textId="2FB0931D" w:rsidR="00765F42" w:rsidRPr="00AE4C43" w:rsidRDefault="003A17D5" w:rsidP="00093953">
            <w:pPr>
              <w:widowControl w:val="0"/>
              <w:pBdr>
                <w:bottom w:val="single" w:sz="6" w:space="1" w:color="auto"/>
              </w:pBdr>
              <w:rPr>
                <w:rFonts w:eastAsia="Calibri"/>
                <w:color w:val="000000"/>
                <w:sz w:val="18"/>
                <w:szCs w:val="18"/>
                <w:lang w:val="en-GB"/>
              </w:rPr>
            </w:pPr>
            <w:r w:rsidRPr="00AE4C43">
              <w:rPr>
                <w:rFonts w:eastAsia="Calibri"/>
                <w:color w:val="000000"/>
                <w:sz w:val="18"/>
                <w:szCs w:val="18"/>
                <w:lang w:val="en-GB"/>
              </w:rPr>
              <w:t>$</w:t>
            </w:r>
            <w:r w:rsidR="002D50D9">
              <w:rPr>
                <w:rFonts w:eastAsia="Calibri"/>
                <w:color w:val="000000"/>
                <w:sz w:val="18"/>
                <w:szCs w:val="18"/>
                <w:lang w:val="en-GB"/>
              </w:rPr>
              <w:t>944</w:t>
            </w:r>
            <w:r w:rsidR="009B3481">
              <w:rPr>
                <w:rFonts w:eastAsia="Calibri"/>
                <w:color w:val="000000"/>
                <w:sz w:val="18"/>
                <w:szCs w:val="18"/>
                <w:lang w:val="en-GB"/>
              </w:rPr>
              <w:t>,</w:t>
            </w:r>
            <w:r w:rsidR="002D50D9">
              <w:rPr>
                <w:rFonts w:eastAsia="Calibri"/>
                <w:color w:val="000000"/>
                <w:sz w:val="18"/>
                <w:szCs w:val="18"/>
                <w:lang w:val="en-GB"/>
              </w:rPr>
              <w:t>000</w:t>
            </w:r>
          </w:p>
          <w:p w14:paraId="2C1FB75A" w14:textId="77777777" w:rsidR="00765F42" w:rsidRPr="00AE4C43" w:rsidRDefault="00765F42" w:rsidP="00093953">
            <w:pPr>
              <w:widowControl w:val="0"/>
              <w:rPr>
                <w:rFonts w:eastAsia="Calibri"/>
                <w:b/>
                <w:color w:val="000000"/>
                <w:sz w:val="18"/>
                <w:szCs w:val="18"/>
                <w:lang w:val="en-GB"/>
              </w:rPr>
            </w:pPr>
            <w:r w:rsidRPr="00AE4C43">
              <w:rPr>
                <w:rFonts w:eastAsia="Calibri"/>
                <w:b/>
                <w:color w:val="000000"/>
                <w:sz w:val="18"/>
                <w:szCs w:val="18"/>
                <w:lang w:val="en-GB"/>
              </w:rPr>
              <w:t xml:space="preserve">Other: </w:t>
            </w:r>
          </w:p>
          <w:p w14:paraId="57C9B80F" w14:textId="77DCA8A1" w:rsidR="00765F42" w:rsidRPr="00AE4C43" w:rsidRDefault="00765F42" w:rsidP="009B3481">
            <w:pPr>
              <w:widowControl w:val="0"/>
              <w:rPr>
                <w:sz w:val="18"/>
                <w:szCs w:val="18"/>
                <w:lang w:val="en-GB"/>
              </w:rPr>
            </w:pPr>
            <w:r w:rsidRPr="00AE4C43">
              <w:rPr>
                <w:rFonts w:eastAsia="Calibri"/>
                <w:color w:val="000000"/>
                <w:sz w:val="18"/>
                <w:szCs w:val="18"/>
                <w:lang w:val="en-GB"/>
              </w:rPr>
              <w:t>$</w:t>
            </w:r>
            <w:r w:rsidR="002D50D9">
              <w:rPr>
                <w:rFonts w:eastAsia="Calibri"/>
                <w:color w:val="000000"/>
                <w:sz w:val="18"/>
                <w:szCs w:val="18"/>
                <w:lang w:val="en-GB"/>
              </w:rPr>
              <w:t>7</w:t>
            </w:r>
            <w:r w:rsidR="003A17D5" w:rsidRPr="00AE4C43">
              <w:rPr>
                <w:rFonts w:eastAsia="Calibri"/>
                <w:color w:val="000000"/>
                <w:sz w:val="18"/>
                <w:szCs w:val="18"/>
                <w:lang w:val="en-GB"/>
              </w:rPr>
              <w:t>5</w:t>
            </w:r>
            <w:r w:rsidR="009B3481">
              <w:rPr>
                <w:rFonts w:eastAsia="Calibri"/>
                <w:color w:val="000000"/>
                <w:sz w:val="18"/>
                <w:szCs w:val="18"/>
                <w:lang w:val="en-GB"/>
              </w:rPr>
              <w:t>,</w:t>
            </w:r>
            <w:r w:rsidR="009B3481" w:rsidRPr="00AE4C43" w:rsidDel="009B3481">
              <w:rPr>
                <w:rFonts w:eastAsia="Calibri"/>
                <w:color w:val="000000"/>
                <w:sz w:val="18"/>
                <w:szCs w:val="18"/>
                <w:lang w:val="en-GB"/>
              </w:rPr>
              <w:t xml:space="preserve"> </w:t>
            </w:r>
            <w:r w:rsidR="003A17D5" w:rsidRPr="00AE4C43">
              <w:rPr>
                <w:rFonts w:eastAsia="Calibri"/>
                <w:color w:val="000000"/>
                <w:sz w:val="18"/>
                <w:szCs w:val="18"/>
                <w:lang w:val="en-GB"/>
              </w:rPr>
              <w:t>6</w:t>
            </w:r>
            <w:r w:rsidR="009B3481">
              <w:rPr>
                <w:rFonts w:eastAsia="Calibri"/>
                <w:color w:val="000000"/>
                <w:sz w:val="18"/>
                <w:szCs w:val="18"/>
                <w:lang w:val="en-GB"/>
              </w:rPr>
              <w:t>00,000</w:t>
            </w:r>
          </w:p>
        </w:tc>
      </w:tr>
    </w:tbl>
    <w:p w14:paraId="4FAE939D" w14:textId="77777777" w:rsidR="00765F42" w:rsidRPr="00F24742" w:rsidRDefault="00765F42" w:rsidP="00A20A54">
      <w:pPr>
        <w:spacing w:after="120"/>
        <w:ind w:right="901"/>
        <w:rPr>
          <w:bCs/>
          <w:color w:val="000000"/>
          <w:lang w:val="en-GB"/>
        </w:rPr>
      </w:pPr>
    </w:p>
    <w:p w14:paraId="7F6B54F4" w14:textId="5758D776" w:rsidR="00886F7D" w:rsidRPr="001302DE" w:rsidRDefault="00AE4C43" w:rsidP="00AE4C43">
      <w:pPr>
        <w:pStyle w:val="Heading4"/>
        <w:keepNext w:val="0"/>
        <w:spacing w:after="120"/>
        <w:jc w:val="center"/>
        <w:rPr>
          <w:bCs/>
          <w:color w:val="000000"/>
          <w:lang w:val="en-GB"/>
        </w:rPr>
      </w:pPr>
      <w:r w:rsidRPr="00AE4C43">
        <w:rPr>
          <w:rFonts w:ascii="Times New Roman" w:hAnsi="Times New Roman"/>
          <w:b w:val="0"/>
          <w:noProof/>
          <w:color w:val="000000"/>
          <w:sz w:val="16"/>
          <w:szCs w:val="16"/>
        </w:rPr>
        <w:drawing>
          <wp:inline distT="0" distB="0" distL="0" distR="0" wp14:anchorId="064EAECD" wp14:editId="1394954A">
            <wp:extent cx="942975" cy="285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6F7D" w:rsidRPr="001302DE" w:rsidSect="00A20C4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notePr>
        <w:numRestart w:val="eachSect"/>
      </w:footnotePr>
      <w:endnotePr>
        <w:numFmt w:val="decimal"/>
        <w:numStart w:val="7"/>
      </w:endnotePr>
      <w:pgSz w:w="16838" w:h="11906" w:orient="landscape" w:code="9"/>
      <w:pgMar w:top="1440" w:right="1152" w:bottom="1440" w:left="1152" w:header="576" w:footer="1037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2CD940" w14:textId="77777777" w:rsidR="00302435" w:rsidRDefault="00302435" w:rsidP="00441061">
      <w:r>
        <w:separator/>
      </w:r>
    </w:p>
  </w:endnote>
  <w:endnote w:type="continuationSeparator" w:id="0">
    <w:p w14:paraId="1AE0679D" w14:textId="77777777" w:rsidR="00302435" w:rsidRDefault="00302435" w:rsidP="00441061">
      <w:r>
        <w:continuationSeparator/>
      </w:r>
    </w:p>
  </w:endnote>
  <w:endnote w:type="continuationNotice" w:id="1">
    <w:p w14:paraId="78D370BB" w14:textId="77777777" w:rsidR="00302435" w:rsidRDefault="003024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8488249"/>
      <w:docPartObj>
        <w:docPartGallery w:val="Page Numbers (Bottom of Page)"/>
        <w:docPartUnique/>
      </w:docPartObj>
    </w:sdtPr>
    <w:sdtEndPr>
      <w:rPr>
        <w:b/>
        <w:noProof/>
        <w:sz w:val="17"/>
        <w:szCs w:val="17"/>
      </w:rPr>
    </w:sdtEndPr>
    <w:sdtContent>
      <w:p w14:paraId="260397BA" w14:textId="53309455" w:rsidR="00373548" w:rsidRPr="00612DA4" w:rsidRDefault="00373548" w:rsidP="00A66745">
        <w:pPr>
          <w:pStyle w:val="Footer"/>
          <w:ind w:hanging="630"/>
          <w:rPr>
            <w:b/>
            <w:sz w:val="17"/>
            <w:szCs w:val="17"/>
          </w:rPr>
        </w:pPr>
        <w:r w:rsidRPr="00612DA4">
          <w:rPr>
            <w:b/>
            <w:sz w:val="17"/>
            <w:szCs w:val="17"/>
          </w:rPr>
          <w:fldChar w:fldCharType="begin"/>
        </w:r>
        <w:r w:rsidRPr="00612DA4">
          <w:rPr>
            <w:b/>
            <w:sz w:val="17"/>
            <w:szCs w:val="17"/>
          </w:rPr>
          <w:instrText xml:space="preserve"> PAGE   \* MERGEFORMAT </w:instrText>
        </w:r>
        <w:r w:rsidRPr="00612DA4">
          <w:rPr>
            <w:b/>
            <w:sz w:val="17"/>
            <w:szCs w:val="17"/>
          </w:rPr>
          <w:fldChar w:fldCharType="separate"/>
        </w:r>
        <w:r w:rsidR="00FD14CD">
          <w:rPr>
            <w:b/>
            <w:noProof/>
            <w:sz w:val="17"/>
            <w:szCs w:val="17"/>
          </w:rPr>
          <w:t>8</w:t>
        </w:r>
        <w:r w:rsidRPr="00612DA4">
          <w:rPr>
            <w:b/>
            <w:noProof/>
            <w:sz w:val="17"/>
            <w:szCs w:val="17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9850276"/>
      <w:docPartObj>
        <w:docPartGallery w:val="Page Numbers (Bottom of Page)"/>
        <w:docPartUnique/>
      </w:docPartObj>
    </w:sdtPr>
    <w:sdtEndPr>
      <w:rPr>
        <w:b/>
        <w:noProof/>
        <w:sz w:val="17"/>
        <w:szCs w:val="17"/>
      </w:rPr>
    </w:sdtEndPr>
    <w:sdtContent>
      <w:p w14:paraId="5C7B7DAD" w14:textId="281690DB" w:rsidR="00373548" w:rsidRPr="00A66745" w:rsidRDefault="00373548" w:rsidP="00A66745">
        <w:pPr>
          <w:pStyle w:val="Footer"/>
          <w:ind w:right="-630"/>
          <w:jc w:val="right"/>
          <w:rPr>
            <w:b/>
            <w:sz w:val="17"/>
            <w:szCs w:val="17"/>
          </w:rPr>
        </w:pPr>
        <w:r w:rsidRPr="00A66745">
          <w:rPr>
            <w:b/>
            <w:sz w:val="17"/>
            <w:szCs w:val="17"/>
          </w:rPr>
          <w:fldChar w:fldCharType="begin"/>
        </w:r>
        <w:r w:rsidRPr="00A66745">
          <w:rPr>
            <w:b/>
            <w:sz w:val="17"/>
            <w:szCs w:val="17"/>
          </w:rPr>
          <w:instrText xml:space="preserve"> PAGE   \* MERGEFORMAT </w:instrText>
        </w:r>
        <w:r w:rsidRPr="00A66745">
          <w:rPr>
            <w:b/>
            <w:sz w:val="17"/>
            <w:szCs w:val="17"/>
          </w:rPr>
          <w:fldChar w:fldCharType="separate"/>
        </w:r>
        <w:r w:rsidR="00FD14CD">
          <w:rPr>
            <w:b/>
            <w:noProof/>
            <w:sz w:val="17"/>
            <w:szCs w:val="17"/>
          </w:rPr>
          <w:t>7</w:t>
        </w:r>
        <w:r w:rsidRPr="00A66745">
          <w:rPr>
            <w:b/>
            <w:noProof/>
            <w:sz w:val="17"/>
            <w:szCs w:val="17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8831861"/>
      <w:docPartObj>
        <w:docPartGallery w:val="Page Numbers (Bottom of Page)"/>
        <w:docPartUnique/>
      </w:docPartObj>
    </w:sdtPr>
    <w:sdtEndPr>
      <w:rPr>
        <w:b/>
        <w:noProof/>
        <w:sz w:val="17"/>
        <w:szCs w:val="17"/>
      </w:rPr>
    </w:sdtEndPr>
    <w:sdtContent>
      <w:p w14:paraId="406C92E3" w14:textId="3D98E651" w:rsidR="00373548" w:rsidRPr="00612DA4" w:rsidRDefault="00373548" w:rsidP="007432E0">
        <w:pPr>
          <w:pStyle w:val="Footer"/>
          <w:ind w:hanging="270"/>
          <w:rPr>
            <w:b/>
            <w:sz w:val="17"/>
            <w:szCs w:val="17"/>
          </w:rPr>
        </w:pPr>
        <w:r w:rsidRPr="00612DA4">
          <w:rPr>
            <w:b/>
            <w:sz w:val="17"/>
            <w:szCs w:val="17"/>
          </w:rPr>
          <w:fldChar w:fldCharType="begin"/>
        </w:r>
        <w:r w:rsidRPr="00612DA4">
          <w:rPr>
            <w:b/>
            <w:sz w:val="17"/>
            <w:szCs w:val="17"/>
          </w:rPr>
          <w:instrText xml:space="preserve"> PAGE   \* MERGEFORMAT </w:instrText>
        </w:r>
        <w:r w:rsidRPr="00612DA4">
          <w:rPr>
            <w:b/>
            <w:sz w:val="17"/>
            <w:szCs w:val="17"/>
          </w:rPr>
          <w:fldChar w:fldCharType="separate"/>
        </w:r>
        <w:r w:rsidR="00FD14CD">
          <w:rPr>
            <w:b/>
            <w:noProof/>
            <w:sz w:val="17"/>
            <w:szCs w:val="17"/>
          </w:rPr>
          <w:t>14</w:t>
        </w:r>
        <w:r w:rsidRPr="00612DA4">
          <w:rPr>
            <w:b/>
            <w:noProof/>
            <w:sz w:val="17"/>
            <w:szCs w:val="17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2661258"/>
      <w:docPartObj>
        <w:docPartGallery w:val="Page Numbers (Bottom of Page)"/>
        <w:docPartUnique/>
      </w:docPartObj>
    </w:sdtPr>
    <w:sdtEndPr>
      <w:rPr>
        <w:b/>
        <w:noProof/>
        <w:sz w:val="17"/>
        <w:szCs w:val="17"/>
      </w:rPr>
    </w:sdtEndPr>
    <w:sdtContent>
      <w:p w14:paraId="49B6AB97" w14:textId="3F2A8155" w:rsidR="00373548" w:rsidRPr="00A66745" w:rsidRDefault="00373548" w:rsidP="007432E0">
        <w:pPr>
          <w:pStyle w:val="Footer"/>
          <w:ind w:right="134"/>
          <w:jc w:val="right"/>
          <w:rPr>
            <w:b/>
            <w:sz w:val="17"/>
            <w:szCs w:val="17"/>
          </w:rPr>
        </w:pPr>
        <w:r w:rsidRPr="00A66745">
          <w:rPr>
            <w:b/>
            <w:sz w:val="17"/>
            <w:szCs w:val="17"/>
          </w:rPr>
          <w:fldChar w:fldCharType="begin"/>
        </w:r>
        <w:r w:rsidRPr="00A66745">
          <w:rPr>
            <w:b/>
            <w:sz w:val="17"/>
            <w:szCs w:val="17"/>
          </w:rPr>
          <w:instrText xml:space="preserve"> PAGE   \* MERGEFORMAT </w:instrText>
        </w:r>
        <w:r w:rsidRPr="00A66745">
          <w:rPr>
            <w:b/>
            <w:sz w:val="17"/>
            <w:szCs w:val="17"/>
          </w:rPr>
          <w:fldChar w:fldCharType="separate"/>
        </w:r>
        <w:r w:rsidR="00FD14CD">
          <w:rPr>
            <w:b/>
            <w:noProof/>
            <w:sz w:val="17"/>
            <w:szCs w:val="17"/>
          </w:rPr>
          <w:t>15</w:t>
        </w:r>
        <w:r w:rsidRPr="00A66745">
          <w:rPr>
            <w:b/>
            <w:noProof/>
            <w:sz w:val="17"/>
            <w:szCs w:val="17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DE9447" w14:textId="77777777" w:rsidR="00302435" w:rsidRDefault="00302435" w:rsidP="00441061">
      <w:r>
        <w:separator/>
      </w:r>
    </w:p>
  </w:footnote>
  <w:footnote w:type="continuationSeparator" w:id="0">
    <w:p w14:paraId="51F1902A" w14:textId="77777777" w:rsidR="00302435" w:rsidRDefault="00302435" w:rsidP="00441061">
      <w:r>
        <w:continuationSeparator/>
      </w:r>
    </w:p>
  </w:footnote>
  <w:footnote w:type="continuationNotice" w:id="1">
    <w:p w14:paraId="672989FE" w14:textId="77777777" w:rsidR="00302435" w:rsidRDefault="00302435"/>
  </w:footnote>
  <w:footnote w:id="2">
    <w:p w14:paraId="6E042361" w14:textId="77777777" w:rsidR="00373548" w:rsidRPr="00292648" w:rsidRDefault="00373548" w:rsidP="00842CFA">
      <w:pPr>
        <w:pStyle w:val="FootnoteText"/>
        <w:ind w:right="907"/>
        <w:jc w:val="both"/>
        <w:rPr>
          <w:sz w:val="16"/>
          <w:szCs w:val="16"/>
        </w:rPr>
      </w:pPr>
      <w:r w:rsidRPr="00292648">
        <w:rPr>
          <w:rStyle w:val="FootnoteReference"/>
          <w:sz w:val="16"/>
          <w:szCs w:val="16"/>
        </w:rPr>
        <w:footnoteRef/>
      </w:r>
      <w:r w:rsidRPr="00292648">
        <w:rPr>
          <w:sz w:val="16"/>
          <w:szCs w:val="16"/>
        </w:rPr>
        <w:t xml:space="preserve"> www.</w:t>
      </w:r>
      <w:hyperlink r:id="rId1" w:history="1">
        <w:r w:rsidRPr="00292648">
          <w:rPr>
            <w:rStyle w:val="Hyperlink"/>
            <w:rFonts w:eastAsia="Cambria"/>
            <w:color w:val="auto"/>
            <w:sz w:val="16"/>
            <w:szCs w:val="16"/>
          </w:rPr>
          <w:t>data.worldbank.org/country/ukraine</w:t>
        </w:r>
      </w:hyperlink>
      <w:r w:rsidRPr="00292648">
        <w:rPr>
          <w:rFonts w:eastAsia="Cambria"/>
          <w:sz w:val="16"/>
          <w:szCs w:val="16"/>
        </w:rPr>
        <w:t>.</w:t>
      </w:r>
    </w:p>
  </w:footnote>
  <w:footnote w:id="3">
    <w:p w14:paraId="2FCE1F8C" w14:textId="673E24DE" w:rsidR="00373548" w:rsidRPr="00292648" w:rsidRDefault="00373548" w:rsidP="00842CFA">
      <w:pPr>
        <w:pStyle w:val="FootnoteText"/>
        <w:ind w:right="907"/>
        <w:jc w:val="both"/>
        <w:rPr>
          <w:sz w:val="16"/>
          <w:szCs w:val="16"/>
        </w:rPr>
      </w:pPr>
      <w:r w:rsidRPr="00292648">
        <w:rPr>
          <w:rStyle w:val="FootnoteReference"/>
          <w:sz w:val="16"/>
          <w:szCs w:val="16"/>
        </w:rPr>
        <w:footnoteRef/>
      </w:r>
      <w:r w:rsidRPr="00292648">
        <w:rPr>
          <w:sz w:val="16"/>
          <w:szCs w:val="16"/>
        </w:rPr>
        <w:t xml:space="preserve"> </w:t>
      </w:r>
      <w:r>
        <w:rPr>
          <w:sz w:val="16"/>
          <w:szCs w:val="16"/>
        </w:rPr>
        <w:t>International Labour Organization,</w:t>
      </w:r>
      <w:r w:rsidRPr="00292648">
        <w:rPr>
          <w:sz w:val="16"/>
          <w:szCs w:val="16"/>
        </w:rPr>
        <w:t xml:space="preserve"> </w:t>
      </w:r>
      <w:r>
        <w:rPr>
          <w:sz w:val="16"/>
          <w:szCs w:val="16"/>
        </w:rPr>
        <w:t>'</w:t>
      </w:r>
      <w:r w:rsidRPr="00292648">
        <w:rPr>
          <w:sz w:val="16"/>
          <w:szCs w:val="16"/>
        </w:rPr>
        <w:t>Social security system of Ukraine in 2014–15 and beyond: towards effective social protection floors</w:t>
      </w:r>
      <w:r>
        <w:rPr>
          <w:sz w:val="16"/>
          <w:szCs w:val="16"/>
        </w:rPr>
        <w:t>'</w:t>
      </w:r>
      <w:r w:rsidRPr="00292648">
        <w:rPr>
          <w:sz w:val="16"/>
          <w:szCs w:val="16"/>
        </w:rPr>
        <w:t>.</w:t>
      </w:r>
      <w:r>
        <w:rPr>
          <w:sz w:val="16"/>
          <w:szCs w:val="16"/>
        </w:rPr>
        <w:t xml:space="preserve"> 2016.</w:t>
      </w:r>
      <w:r w:rsidRPr="00292648">
        <w:rPr>
          <w:sz w:val="16"/>
          <w:szCs w:val="16"/>
        </w:rPr>
        <w:t xml:space="preserve"> </w:t>
      </w:r>
    </w:p>
  </w:footnote>
  <w:footnote w:id="4">
    <w:p w14:paraId="119D1980" w14:textId="77777777" w:rsidR="00373548" w:rsidRPr="00292648" w:rsidRDefault="00373548" w:rsidP="00842CFA">
      <w:pPr>
        <w:pStyle w:val="FootnoteText"/>
        <w:ind w:right="907"/>
        <w:jc w:val="both"/>
        <w:rPr>
          <w:sz w:val="16"/>
          <w:szCs w:val="16"/>
        </w:rPr>
      </w:pPr>
      <w:r w:rsidRPr="00292648">
        <w:rPr>
          <w:rStyle w:val="FootnoteReference"/>
          <w:sz w:val="16"/>
          <w:szCs w:val="16"/>
        </w:rPr>
        <w:footnoteRef/>
      </w:r>
      <w:r w:rsidRPr="00292648">
        <w:rPr>
          <w:sz w:val="16"/>
          <w:szCs w:val="16"/>
        </w:rPr>
        <w:t xml:space="preserve"> </w:t>
      </w:r>
      <w:r w:rsidRPr="00292648">
        <w:rPr>
          <w:rFonts w:eastAsia="Cambria"/>
          <w:sz w:val="16"/>
          <w:szCs w:val="16"/>
        </w:rPr>
        <w:t>World Bank Ukraine Economic Update, 2016.</w:t>
      </w:r>
    </w:p>
  </w:footnote>
  <w:footnote w:id="5">
    <w:p w14:paraId="52E7FC98" w14:textId="77777777" w:rsidR="00373548" w:rsidRPr="00292648" w:rsidRDefault="00373548" w:rsidP="00842CFA">
      <w:pPr>
        <w:pStyle w:val="FootnoteText"/>
        <w:rPr>
          <w:sz w:val="16"/>
          <w:szCs w:val="16"/>
        </w:rPr>
      </w:pPr>
      <w:r w:rsidRPr="00292648">
        <w:rPr>
          <w:rStyle w:val="FootnoteReference"/>
          <w:sz w:val="16"/>
          <w:szCs w:val="16"/>
        </w:rPr>
        <w:footnoteRef/>
      </w:r>
      <w:r w:rsidRPr="00292648">
        <w:rPr>
          <w:sz w:val="16"/>
          <w:szCs w:val="16"/>
        </w:rPr>
        <w:t xml:space="preserve"> www.doingbusiness.org/data/exploreeconomies/ukraine</w:t>
      </w:r>
    </w:p>
  </w:footnote>
  <w:footnote w:id="6">
    <w:p w14:paraId="28D23CCB" w14:textId="56194691" w:rsidR="00373548" w:rsidRPr="00292648" w:rsidRDefault="00373548" w:rsidP="00842CFA">
      <w:pPr>
        <w:ind w:right="907"/>
        <w:jc w:val="both"/>
        <w:rPr>
          <w:b/>
          <w:sz w:val="16"/>
          <w:szCs w:val="16"/>
        </w:rPr>
      </w:pPr>
      <w:r w:rsidRPr="00292648">
        <w:rPr>
          <w:rStyle w:val="FootnoteReference"/>
          <w:sz w:val="16"/>
          <w:szCs w:val="16"/>
        </w:rPr>
        <w:footnoteRef/>
      </w:r>
      <w:r w:rsidRPr="00292648">
        <w:rPr>
          <w:rFonts w:eastAsia="Cambria"/>
          <w:sz w:val="16"/>
          <w:szCs w:val="16"/>
        </w:rPr>
        <w:t>www.un.org.ua/en/publications-and-reports/un-in-ukraine-publications/3700-humanitarian-needs-overview-in-ukraine-2016.</w:t>
      </w:r>
    </w:p>
  </w:footnote>
  <w:footnote w:id="7">
    <w:p w14:paraId="24730EF7" w14:textId="77777777" w:rsidR="00373548" w:rsidRPr="00292648" w:rsidRDefault="00373548" w:rsidP="00842CFA">
      <w:pPr>
        <w:pStyle w:val="FootnoteText"/>
        <w:ind w:right="907"/>
        <w:jc w:val="both"/>
        <w:rPr>
          <w:sz w:val="16"/>
          <w:szCs w:val="16"/>
        </w:rPr>
      </w:pPr>
      <w:r w:rsidRPr="00292648">
        <w:rPr>
          <w:rStyle w:val="FootnoteReference"/>
          <w:sz w:val="16"/>
          <w:szCs w:val="16"/>
        </w:rPr>
        <w:footnoteRef/>
      </w:r>
      <w:r w:rsidRPr="00292648">
        <w:rPr>
          <w:sz w:val="16"/>
          <w:szCs w:val="16"/>
        </w:rPr>
        <w:t xml:space="preserve"> www.theglobaleconomy.com/Ukraine/wb_government_effectiveness/.</w:t>
      </w:r>
    </w:p>
  </w:footnote>
  <w:footnote w:id="8">
    <w:p w14:paraId="6D11DDB0" w14:textId="77777777" w:rsidR="00373548" w:rsidRPr="00292648" w:rsidRDefault="00373548" w:rsidP="00842CFA">
      <w:pPr>
        <w:pStyle w:val="FootnoteText"/>
        <w:rPr>
          <w:sz w:val="16"/>
          <w:szCs w:val="16"/>
        </w:rPr>
      </w:pPr>
      <w:r w:rsidRPr="00292648">
        <w:rPr>
          <w:rStyle w:val="FootnoteReference"/>
          <w:sz w:val="16"/>
          <w:szCs w:val="16"/>
        </w:rPr>
        <w:footnoteRef/>
      </w:r>
      <w:r w:rsidRPr="00292648">
        <w:rPr>
          <w:sz w:val="16"/>
          <w:szCs w:val="16"/>
        </w:rPr>
        <w:t xml:space="preserve"> www.transparency.org/news/feature/corruption_perceptions_index_2016#table</w:t>
      </w:r>
    </w:p>
  </w:footnote>
  <w:footnote w:id="9">
    <w:p w14:paraId="61729F79" w14:textId="77777777" w:rsidR="00373548" w:rsidRPr="00292648" w:rsidRDefault="00373548" w:rsidP="00842CFA">
      <w:pPr>
        <w:pStyle w:val="FootnoteText"/>
        <w:rPr>
          <w:sz w:val="16"/>
          <w:szCs w:val="16"/>
        </w:rPr>
      </w:pPr>
      <w:r w:rsidRPr="00292648">
        <w:rPr>
          <w:rStyle w:val="FootnoteReference"/>
          <w:sz w:val="16"/>
          <w:szCs w:val="16"/>
        </w:rPr>
        <w:footnoteRef/>
      </w:r>
      <w:r w:rsidRPr="00292648">
        <w:rPr>
          <w:sz w:val="16"/>
          <w:szCs w:val="16"/>
        </w:rPr>
        <w:t xml:space="preserve"> </w:t>
      </w:r>
      <w:r>
        <w:rPr>
          <w:sz w:val="16"/>
          <w:szCs w:val="16"/>
        </w:rPr>
        <w:t>www.</w:t>
      </w:r>
      <w:r w:rsidRPr="00292648">
        <w:rPr>
          <w:sz w:val="16"/>
          <w:szCs w:val="16"/>
        </w:rPr>
        <w:t>data.worldjusticeproject.org/#/groups/UKR</w:t>
      </w:r>
    </w:p>
  </w:footnote>
  <w:footnote w:id="10">
    <w:p w14:paraId="055CCC96" w14:textId="77777777" w:rsidR="00373548" w:rsidRPr="00292648" w:rsidRDefault="00373548" w:rsidP="00842CFA">
      <w:pPr>
        <w:pStyle w:val="FootnoteText"/>
        <w:ind w:right="907"/>
        <w:jc w:val="both"/>
        <w:rPr>
          <w:rFonts w:eastAsia="Cambria"/>
          <w:sz w:val="16"/>
          <w:szCs w:val="16"/>
        </w:rPr>
      </w:pPr>
      <w:r w:rsidRPr="00292648">
        <w:rPr>
          <w:rStyle w:val="FootnoteReference"/>
          <w:sz w:val="16"/>
          <w:szCs w:val="16"/>
        </w:rPr>
        <w:footnoteRef/>
      </w:r>
      <w:r w:rsidRPr="00292648">
        <w:rPr>
          <w:rFonts w:eastAsia="Cambria"/>
          <w:sz w:val="16"/>
          <w:szCs w:val="16"/>
        </w:rPr>
        <w:t xml:space="preserve"> UNDAF Country Analysis 2016.</w:t>
      </w:r>
    </w:p>
  </w:footnote>
  <w:footnote w:id="11">
    <w:p w14:paraId="542151FC" w14:textId="021755E2" w:rsidR="00373548" w:rsidRPr="00292648" w:rsidRDefault="00373548" w:rsidP="00842CFA">
      <w:pPr>
        <w:pStyle w:val="FootnoteText"/>
        <w:ind w:right="907"/>
        <w:jc w:val="both"/>
        <w:rPr>
          <w:sz w:val="16"/>
          <w:szCs w:val="16"/>
        </w:rPr>
      </w:pPr>
      <w:r w:rsidRPr="00292648">
        <w:rPr>
          <w:rStyle w:val="FootnoteReference"/>
          <w:sz w:val="16"/>
          <w:szCs w:val="16"/>
        </w:rPr>
        <w:footnoteRef/>
      </w:r>
      <w:r w:rsidRPr="00292648">
        <w:rPr>
          <w:rFonts w:eastAsia="Cambria"/>
          <w:sz w:val="16"/>
          <w:szCs w:val="16"/>
        </w:rPr>
        <w:t xml:space="preserve"> </w:t>
      </w:r>
      <w:r>
        <w:rPr>
          <w:rFonts w:eastAsia="Cambria"/>
          <w:sz w:val="16"/>
          <w:szCs w:val="16"/>
        </w:rPr>
        <w:t>Ibid.</w:t>
      </w:r>
    </w:p>
  </w:footnote>
  <w:footnote w:id="12">
    <w:p w14:paraId="1D5312EE" w14:textId="77777777" w:rsidR="00373548" w:rsidRPr="00292648" w:rsidRDefault="00373548" w:rsidP="00842CFA">
      <w:pPr>
        <w:pStyle w:val="FootnoteText"/>
        <w:rPr>
          <w:sz w:val="16"/>
          <w:szCs w:val="16"/>
        </w:rPr>
      </w:pPr>
      <w:r w:rsidRPr="00292648">
        <w:rPr>
          <w:rStyle w:val="FootnoteReference"/>
          <w:sz w:val="16"/>
          <w:szCs w:val="16"/>
        </w:rPr>
        <w:footnoteRef/>
      </w:r>
      <w:r w:rsidRPr="00292648">
        <w:rPr>
          <w:sz w:val="16"/>
          <w:szCs w:val="16"/>
        </w:rPr>
        <w:t xml:space="preserve"> www.hrw.org/world-report/2016/country-chapters/ukraine.</w:t>
      </w:r>
    </w:p>
  </w:footnote>
  <w:footnote w:id="13">
    <w:p w14:paraId="1709FAE5" w14:textId="49987B56" w:rsidR="00373548" w:rsidRPr="00292648" w:rsidRDefault="00373548" w:rsidP="00842CFA">
      <w:pPr>
        <w:pStyle w:val="FootnoteText"/>
        <w:ind w:right="907"/>
        <w:jc w:val="both"/>
        <w:rPr>
          <w:sz w:val="16"/>
          <w:szCs w:val="16"/>
        </w:rPr>
      </w:pPr>
      <w:r w:rsidRPr="00292648">
        <w:rPr>
          <w:rStyle w:val="FootnoteReference"/>
          <w:sz w:val="16"/>
          <w:szCs w:val="16"/>
        </w:rPr>
        <w:footnoteRef/>
      </w:r>
      <w:r>
        <w:rPr>
          <w:sz w:val="16"/>
          <w:szCs w:val="16"/>
        </w:rPr>
        <w:t xml:space="preserve"> </w:t>
      </w:r>
      <w:r w:rsidRPr="00292648">
        <w:rPr>
          <w:sz w:val="16"/>
          <w:szCs w:val="16"/>
        </w:rPr>
        <w:t>Ukraine National Academy of Agrarian Sciences</w:t>
      </w:r>
      <w:r>
        <w:rPr>
          <w:sz w:val="16"/>
          <w:szCs w:val="16"/>
        </w:rPr>
        <w:t>,</w:t>
      </w:r>
      <w:r w:rsidRPr="00292648">
        <w:rPr>
          <w:sz w:val="16"/>
          <w:szCs w:val="16"/>
        </w:rPr>
        <w:t xml:space="preserve"> Report on Finalizing Land Reform</w:t>
      </w:r>
      <w:r>
        <w:rPr>
          <w:sz w:val="16"/>
          <w:szCs w:val="16"/>
        </w:rPr>
        <w:t>, 2015</w:t>
      </w:r>
      <w:r w:rsidRPr="00292648">
        <w:rPr>
          <w:sz w:val="16"/>
          <w:szCs w:val="16"/>
        </w:rPr>
        <w:t xml:space="preserve">. </w:t>
      </w:r>
    </w:p>
  </w:footnote>
  <w:footnote w:id="14">
    <w:p w14:paraId="32A2A831" w14:textId="65A6174F" w:rsidR="00373548" w:rsidRPr="00292648" w:rsidRDefault="00373548" w:rsidP="00180BA5">
      <w:pPr>
        <w:pStyle w:val="FootnoteText"/>
        <w:ind w:right="907"/>
        <w:jc w:val="both"/>
        <w:rPr>
          <w:sz w:val="16"/>
          <w:szCs w:val="16"/>
        </w:rPr>
      </w:pPr>
      <w:r w:rsidRPr="00292648">
        <w:rPr>
          <w:rStyle w:val="FootnoteReference"/>
          <w:sz w:val="16"/>
          <w:szCs w:val="16"/>
        </w:rPr>
        <w:footnoteRef/>
      </w:r>
      <w:r w:rsidRPr="00292648">
        <w:rPr>
          <w:sz w:val="16"/>
          <w:szCs w:val="16"/>
        </w:rPr>
        <w:t xml:space="preserve"> </w:t>
      </w:r>
      <w:r w:rsidRPr="00180BA5">
        <w:rPr>
          <w:sz w:val="16"/>
          <w:szCs w:val="16"/>
        </w:rPr>
        <w:t>Tarariko O.H., Ilienko T.V. &amp; Kuchma T.L.</w:t>
      </w:r>
      <w:r>
        <w:rPr>
          <w:sz w:val="16"/>
          <w:szCs w:val="16"/>
        </w:rPr>
        <w:t>,</w:t>
      </w:r>
      <w:r w:rsidRPr="00180BA5">
        <w:rPr>
          <w:sz w:val="16"/>
          <w:szCs w:val="16"/>
        </w:rPr>
        <w:t xml:space="preserve"> </w:t>
      </w:r>
      <w:r>
        <w:rPr>
          <w:sz w:val="16"/>
          <w:szCs w:val="16"/>
        </w:rPr>
        <w:t>'</w:t>
      </w:r>
      <w:r w:rsidRPr="00180BA5">
        <w:rPr>
          <w:sz w:val="16"/>
          <w:szCs w:val="16"/>
        </w:rPr>
        <w:t>Sustainable Land Use Management and Soil Conservation: Urgency and Challenges in Modern Conditions</w:t>
      </w:r>
      <w:r>
        <w:rPr>
          <w:sz w:val="16"/>
          <w:szCs w:val="16"/>
        </w:rPr>
        <w:t>,'</w:t>
      </w:r>
      <w:r w:rsidRPr="00180BA5">
        <w:rPr>
          <w:sz w:val="16"/>
          <w:szCs w:val="16"/>
        </w:rPr>
        <w:t xml:space="preserve"> Ukrainian Geographical Journal 3</w:t>
      </w:r>
      <w:r>
        <w:rPr>
          <w:sz w:val="16"/>
          <w:szCs w:val="16"/>
        </w:rPr>
        <w:t xml:space="preserve">, </w:t>
      </w:r>
      <w:r w:rsidRPr="00180BA5">
        <w:rPr>
          <w:sz w:val="16"/>
          <w:szCs w:val="16"/>
        </w:rPr>
        <w:t>2016</w:t>
      </w:r>
      <w:r>
        <w:rPr>
          <w:sz w:val="16"/>
          <w:szCs w:val="16"/>
        </w:rPr>
        <w:t>.</w:t>
      </w:r>
    </w:p>
  </w:footnote>
  <w:footnote w:id="15">
    <w:p w14:paraId="747E7EA5" w14:textId="23A8B739" w:rsidR="00373548" w:rsidRPr="00660D11" w:rsidRDefault="00373548" w:rsidP="00842CFA">
      <w:pPr>
        <w:pStyle w:val="FootnoteText"/>
        <w:ind w:right="907"/>
        <w:jc w:val="both"/>
      </w:pPr>
      <w:r w:rsidRPr="00292648">
        <w:rPr>
          <w:rStyle w:val="FootnoteReference"/>
          <w:sz w:val="16"/>
          <w:szCs w:val="16"/>
        </w:rPr>
        <w:footnoteRef/>
      </w:r>
      <w:r w:rsidRPr="00292648">
        <w:rPr>
          <w:sz w:val="16"/>
          <w:szCs w:val="16"/>
        </w:rPr>
        <w:t xml:space="preserve"> Desilver, Drew. “</w:t>
      </w:r>
      <w:hyperlink r:id="rId2" w:history="1">
        <w:r w:rsidRPr="00EE0089">
          <w:rPr>
            <w:rStyle w:val="Hyperlink"/>
            <w:sz w:val="16"/>
            <w:szCs w:val="16"/>
          </w:rPr>
          <w:t>The most  ̶  and least  ̶  energy-intensive nations</w:t>
        </w:r>
      </w:hyperlink>
      <w:r w:rsidRPr="00292648">
        <w:rPr>
          <w:sz w:val="16"/>
          <w:szCs w:val="16"/>
        </w:rPr>
        <w:t>.” Pew Research Center</w:t>
      </w:r>
      <w:r>
        <w:rPr>
          <w:sz w:val="16"/>
          <w:szCs w:val="16"/>
        </w:rPr>
        <w:t>, 20 October 2015</w:t>
      </w:r>
      <w:r w:rsidRPr="00292648">
        <w:rPr>
          <w:sz w:val="16"/>
          <w:szCs w:val="16"/>
        </w:rPr>
        <w:t>.</w:t>
      </w:r>
    </w:p>
  </w:footnote>
  <w:footnote w:id="16">
    <w:p w14:paraId="33CD86BD" w14:textId="77777777" w:rsidR="00373548" w:rsidRPr="00292648" w:rsidRDefault="00373548" w:rsidP="00842CFA">
      <w:pPr>
        <w:pStyle w:val="FootnoteText"/>
        <w:ind w:right="907"/>
        <w:jc w:val="both"/>
        <w:rPr>
          <w:sz w:val="16"/>
          <w:szCs w:val="16"/>
        </w:rPr>
      </w:pPr>
      <w:r w:rsidRPr="00292648">
        <w:rPr>
          <w:rStyle w:val="FootnoteReference"/>
          <w:sz w:val="16"/>
          <w:szCs w:val="16"/>
        </w:rPr>
        <w:footnoteRef/>
      </w:r>
      <w:r w:rsidRPr="00292648">
        <w:rPr>
          <w:sz w:val="16"/>
          <w:szCs w:val="16"/>
        </w:rPr>
        <w:t xml:space="preserve"> </w:t>
      </w:r>
      <w:hyperlink r:id="rId3" w:history="1">
        <w:r w:rsidRPr="00292648">
          <w:rPr>
            <w:rStyle w:val="Hyperlink"/>
            <w:color w:val="auto"/>
            <w:sz w:val="16"/>
            <w:szCs w:val="16"/>
          </w:rPr>
          <w:t>www.worldbank.org/en/country/ukraine/publication/ukraine-economic-update-fall-2016</w:t>
        </w:r>
      </w:hyperlink>
      <w:r w:rsidRPr="00292648">
        <w:rPr>
          <w:rStyle w:val="Hyperlink"/>
          <w:color w:val="auto"/>
          <w:sz w:val="16"/>
          <w:szCs w:val="16"/>
        </w:rPr>
        <w:t>.</w:t>
      </w:r>
    </w:p>
  </w:footnote>
  <w:footnote w:id="17">
    <w:p w14:paraId="6EB6D1CE" w14:textId="77777777" w:rsidR="00373548" w:rsidRPr="00292648" w:rsidRDefault="00373548" w:rsidP="00A45A7A">
      <w:pPr>
        <w:pStyle w:val="FootnoteText"/>
        <w:ind w:right="907"/>
        <w:jc w:val="both"/>
        <w:rPr>
          <w:sz w:val="16"/>
          <w:szCs w:val="16"/>
        </w:rPr>
      </w:pPr>
      <w:r w:rsidRPr="00292648">
        <w:rPr>
          <w:rStyle w:val="FootnoteReference"/>
          <w:sz w:val="16"/>
          <w:szCs w:val="16"/>
        </w:rPr>
        <w:footnoteRef/>
      </w:r>
      <w:r w:rsidRPr="00292648">
        <w:rPr>
          <w:sz w:val="16"/>
          <w:szCs w:val="16"/>
        </w:rPr>
        <w:t xml:space="preserve"> www.</w:t>
      </w:r>
      <w:hyperlink r:id="rId4" w:history="1">
        <w:r w:rsidRPr="00292648">
          <w:rPr>
            <w:rStyle w:val="Hyperlink"/>
            <w:rFonts w:eastAsia="Cambria"/>
            <w:color w:val="auto"/>
            <w:sz w:val="16"/>
            <w:szCs w:val="16"/>
          </w:rPr>
          <w:t>reforms.in.ua/sites/default/files/imce/2020booklet21_11engpreview.pdf</w:t>
        </w:r>
      </w:hyperlink>
      <w:r w:rsidRPr="00292648">
        <w:rPr>
          <w:rStyle w:val="Hyperlink"/>
          <w:rFonts w:eastAsia="Cambria"/>
          <w:color w:val="auto"/>
          <w:sz w:val="16"/>
          <w:szCs w:val="16"/>
        </w:rPr>
        <w:t>.</w:t>
      </w:r>
    </w:p>
  </w:footnote>
  <w:footnote w:id="18">
    <w:p w14:paraId="769BC12C" w14:textId="17D5544C" w:rsidR="00373548" w:rsidRPr="00292648" w:rsidRDefault="00373548" w:rsidP="00A45A7A">
      <w:pPr>
        <w:pStyle w:val="Normal1"/>
        <w:spacing w:line="240" w:lineRule="auto"/>
        <w:ind w:right="907"/>
        <w:jc w:val="both"/>
        <w:rPr>
          <w:rFonts w:ascii="Times New Roman" w:hAnsi="Times New Roman" w:cs="Times New Roman"/>
          <w:color w:val="auto"/>
          <w:sz w:val="16"/>
          <w:szCs w:val="16"/>
        </w:rPr>
      </w:pPr>
      <w:r w:rsidRPr="00292648">
        <w:rPr>
          <w:rStyle w:val="FootnoteReference"/>
          <w:rFonts w:ascii="Times New Roman" w:hAnsi="Times New Roman"/>
          <w:color w:val="auto"/>
          <w:sz w:val="16"/>
          <w:szCs w:val="16"/>
        </w:rPr>
        <w:footnoteRef/>
      </w:r>
      <w:r w:rsidRPr="00292648">
        <w:rPr>
          <w:rFonts w:ascii="Times New Roman" w:hAnsi="Times New Roman" w:cs="Times New Roman"/>
          <w:color w:val="auto"/>
          <w:sz w:val="16"/>
          <w:szCs w:val="16"/>
        </w:rPr>
        <w:t xml:space="preserve"> United Nations in Ukraine</w:t>
      </w:r>
      <w:r>
        <w:rPr>
          <w:rFonts w:ascii="Times New Roman" w:hAnsi="Times New Roman" w:cs="Times New Roman"/>
          <w:color w:val="auto"/>
          <w:sz w:val="16"/>
          <w:szCs w:val="16"/>
        </w:rPr>
        <w:t>,</w:t>
      </w:r>
      <w:r w:rsidRPr="00292648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>
        <w:rPr>
          <w:rFonts w:ascii="Times New Roman" w:eastAsia="Cambria" w:hAnsi="Times New Roman" w:cs="Times New Roman"/>
          <w:color w:val="auto"/>
          <w:sz w:val="16"/>
          <w:szCs w:val="16"/>
        </w:rPr>
        <w:t>'</w:t>
      </w:r>
      <w:r w:rsidRPr="00292648">
        <w:rPr>
          <w:rFonts w:ascii="Times New Roman" w:eastAsia="Cambria" w:hAnsi="Times New Roman" w:cs="Times New Roman"/>
          <w:color w:val="auto"/>
          <w:sz w:val="16"/>
          <w:szCs w:val="16"/>
        </w:rPr>
        <w:t>Post-2015 Ukraine: The Future We Want</w:t>
      </w:r>
      <w:r>
        <w:rPr>
          <w:rFonts w:ascii="Times New Roman" w:eastAsia="Cambria" w:hAnsi="Times New Roman" w:cs="Times New Roman"/>
          <w:color w:val="auto"/>
          <w:sz w:val="16"/>
          <w:szCs w:val="16"/>
        </w:rPr>
        <w:t>', 2013</w:t>
      </w:r>
      <w:r w:rsidRPr="00292648">
        <w:rPr>
          <w:rFonts w:ascii="Times New Roman" w:eastAsia="Cambria" w:hAnsi="Times New Roman" w:cs="Times New Roman"/>
          <w:color w:val="auto"/>
          <w:sz w:val="16"/>
          <w:szCs w:val="16"/>
        </w:rPr>
        <w:t xml:space="preserve"> K</w:t>
      </w:r>
      <w:r>
        <w:rPr>
          <w:rFonts w:ascii="Times New Roman" w:eastAsia="Cambria" w:hAnsi="Times New Roman" w:cs="Times New Roman"/>
          <w:color w:val="auto"/>
          <w:sz w:val="16"/>
          <w:szCs w:val="16"/>
        </w:rPr>
        <w:t>iev.</w:t>
      </w:r>
    </w:p>
  </w:footnote>
  <w:footnote w:id="19">
    <w:p w14:paraId="504EA035" w14:textId="697538E0" w:rsidR="00373548" w:rsidRPr="004E29A7" w:rsidRDefault="00373548" w:rsidP="00A45A7A">
      <w:pPr>
        <w:pStyle w:val="FootnoteText"/>
        <w:ind w:right="907"/>
        <w:jc w:val="both"/>
        <w:rPr>
          <w:sz w:val="16"/>
          <w:szCs w:val="16"/>
        </w:rPr>
      </w:pPr>
      <w:r w:rsidRPr="00292648">
        <w:rPr>
          <w:rStyle w:val="FootnoteReference"/>
          <w:sz w:val="16"/>
          <w:szCs w:val="16"/>
        </w:rPr>
        <w:footnoteRef/>
      </w:r>
      <w:r w:rsidRPr="00292648">
        <w:rPr>
          <w:sz w:val="16"/>
          <w:szCs w:val="16"/>
        </w:rPr>
        <w:t xml:space="preserve"> </w:t>
      </w:r>
      <w:r>
        <w:rPr>
          <w:sz w:val="16"/>
          <w:szCs w:val="16"/>
        </w:rPr>
        <w:t>Olver, Richard,</w:t>
      </w:r>
      <w:r w:rsidRPr="00292648">
        <w:rPr>
          <w:sz w:val="16"/>
          <w:szCs w:val="16"/>
        </w:rPr>
        <w:t xml:space="preserve"> </w:t>
      </w:r>
      <w:r>
        <w:rPr>
          <w:sz w:val="16"/>
          <w:szCs w:val="16"/>
        </w:rPr>
        <w:t>'</w:t>
      </w:r>
      <w:r w:rsidRPr="00292648">
        <w:rPr>
          <w:sz w:val="16"/>
          <w:szCs w:val="16"/>
        </w:rPr>
        <w:t xml:space="preserve">United Nations Partnership Framework 2012-2017. Forward Looking Evaluation &amp; </w:t>
      </w:r>
      <w:r w:rsidRPr="004E29A7">
        <w:rPr>
          <w:sz w:val="16"/>
          <w:szCs w:val="16"/>
        </w:rPr>
        <w:t>Comparative Advantage Analysis</w:t>
      </w:r>
      <w:r>
        <w:rPr>
          <w:sz w:val="16"/>
          <w:szCs w:val="16"/>
        </w:rPr>
        <w:t>',</w:t>
      </w:r>
      <w:r w:rsidRPr="004E29A7">
        <w:rPr>
          <w:sz w:val="16"/>
          <w:szCs w:val="16"/>
        </w:rPr>
        <w:t xml:space="preserve"> </w:t>
      </w:r>
      <w:r>
        <w:rPr>
          <w:sz w:val="16"/>
          <w:szCs w:val="16"/>
        </w:rPr>
        <w:t>2016.</w:t>
      </w:r>
    </w:p>
  </w:footnote>
  <w:footnote w:id="20">
    <w:p w14:paraId="7364E865" w14:textId="77777777" w:rsidR="00373548" w:rsidRPr="004E29A7" w:rsidRDefault="00373548" w:rsidP="00525396">
      <w:pPr>
        <w:pStyle w:val="FootnoteText"/>
        <w:ind w:right="907"/>
        <w:jc w:val="both"/>
        <w:rPr>
          <w:sz w:val="16"/>
          <w:szCs w:val="16"/>
        </w:rPr>
      </w:pPr>
      <w:r w:rsidRPr="004E29A7">
        <w:rPr>
          <w:rStyle w:val="FootnoteReference"/>
          <w:sz w:val="16"/>
          <w:szCs w:val="16"/>
        </w:rPr>
        <w:footnoteRef/>
      </w:r>
      <w:r w:rsidRPr="004E29A7">
        <w:rPr>
          <w:rFonts w:eastAsia="Cambria"/>
          <w:sz w:val="16"/>
          <w:szCs w:val="16"/>
        </w:rPr>
        <w:t xml:space="preserve"> www.</w:t>
      </w:r>
      <w:hyperlink r:id="rId5" w:history="1">
        <w:r w:rsidRPr="004E29A7">
          <w:rPr>
            <w:rStyle w:val="Hyperlink"/>
            <w:rFonts w:eastAsia="Cambria"/>
            <w:color w:val="auto"/>
            <w:sz w:val="16"/>
            <w:szCs w:val="16"/>
          </w:rPr>
          <w:t>un.org.ua/images/V1-RPA_Eng_Vol1.pdf</w:t>
        </w:r>
      </w:hyperlink>
      <w:r w:rsidRPr="004E29A7">
        <w:rPr>
          <w:rStyle w:val="Hyperlink"/>
          <w:rFonts w:eastAsia="Cambria"/>
          <w:color w:val="auto"/>
          <w:sz w:val="16"/>
          <w:szCs w:val="16"/>
        </w:rPr>
        <w:t>.</w:t>
      </w:r>
    </w:p>
  </w:footnote>
  <w:footnote w:id="21">
    <w:p w14:paraId="4BE663EF" w14:textId="56AC8218" w:rsidR="00373548" w:rsidRPr="004E29A7" w:rsidRDefault="00373548" w:rsidP="00A45A7A">
      <w:pPr>
        <w:pStyle w:val="FootnoteText"/>
        <w:ind w:right="907"/>
        <w:jc w:val="both"/>
        <w:rPr>
          <w:sz w:val="16"/>
          <w:szCs w:val="16"/>
        </w:rPr>
      </w:pPr>
      <w:r w:rsidRPr="004E29A7">
        <w:rPr>
          <w:rStyle w:val="FootnoteReference"/>
          <w:sz w:val="16"/>
          <w:szCs w:val="16"/>
        </w:rPr>
        <w:footnoteRef/>
      </w:r>
      <w:r w:rsidRPr="004E29A7">
        <w:rPr>
          <w:sz w:val="16"/>
          <w:szCs w:val="16"/>
        </w:rPr>
        <w:t xml:space="preserve"> Ukraine</w:t>
      </w:r>
      <w:r>
        <w:rPr>
          <w:sz w:val="16"/>
          <w:szCs w:val="16"/>
        </w:rPr>
        <w:t xml:space="preserve"> country</w:t>
      </w:r>
      <w:r w:rsidRPr="004E29A7">
        <w:rPr>
          <w:sz w:val="16"/>
          <w:szCs w:val="16"/>
        </w:rPr>
        <w:t xml:space="preserve"> case study: </w:t>
      </w:r>
      <w:r>
        <w:rPr>
          <w:sz w:val="16"/>
          <w:szCs w:val="16"/>
        </w:rPr>
        <w:t>Evaluation of the</w:t>
      </w:r>
      <w:r w:rsidRPr="004E29A7">
        <w:rPr>
          <w:sz w:val="16"/>
          <w:szCs w:val="16"/>
        </w:rPr>
        <w:t xml:space="preserve"> UNDP Strategic Plan </w:t>
      </w:r>
      <w:r>
        <w:rPr>
          <w:sz w:val="16"/>
          <w:szCs w:val="16"/>
        </w:rPr>
        <w:t xml:space="preserve">204-2017, Outcome 6. Julian Murray Consulting, March 2017. </w:t>
      </w:r>
    </w:p>
  </w:footnote>
  <w:footnote w:id="22">
    <w:p w14:paraId="4EA2F6CE" w14:textId="5EDE6F90" w:rsidR="00373548" w:rsidRPr="004E29A7" w:rsidRDefault="00373548">
      <w:pPr>
        <w:pStyle w:val="FootnoteText"/>
        <w:rPr>
          <w:sz w:val="16"/>
          <w:szCs w:val="16"/>
        </w:rPr>
      </w:pPr>
      <w:r w:rsidRPr="004E29A7">
        <w:rPr>
          <w:sz w:val="16"/>
          <w:szCs w:val="16"/>
          <w:vertAlign w:val="superscript"/>
        </w:rPr>
        <w:footnoteRef/>
      </w:r>
      <w:r w:rsidRPr="004E29A7">
        <w:rPr>
          <w:sz w:val="16"/>
          <w:szCs w:val="16"/>
          <w:vertAlign w:val="superscript"/>
        </w:rPr>
        <w:t xml:space="preserve"> </w:t>
      </w:r>
      <w:r w:rsidRPr="004E29A7">
        <w:rPr>
          <w:sz w:val="16"/>
          <w:szCs w:val="16"/>
        </w:rPr>
        <w:t>Vera Devine, Final Evaluation of Poverty Reduction/ Recovery Outcome, 2017</w:t>
      </w:r>
      <w:r>
        <w:rPr>
          <w:sz w:val="16"/>
          <w:szCs w:val="16"/>
        </w:rPr>
        <w:t>.</w:t>
      </w:r>
    </w:p>
  </w:footnote>
  <w:footnote w:id="23">
    <w:p w14:paraId="5CE30B83" w14:textId="11318005" w:rsidR="00373548" w:rsidRPr="004E29A7" w:rsidRDefault="00373548" w:rsidP="00A45A7A">
      <w:pPr>
        <w:pStyle w:val="FootnoteText"/>
        <w:ind w:right="907"/>
        <w:jc w:val="both"/>
        <w:rPr>
          <w:sz w:val="16"/>
          <w:szCs w:val="16"/>
        </w:rPr>
      </w:pPr>
      <w:r w:rsidRPr="004E29A7">
        <w:rPr>
          <w:sz w:val="16"/>
          <w:szCs w:val="16"/>
          <w:vertAlign w:val="superscript"/>
        </w:rPr>
        <w:footnoteRef/>
      </w:r>
      <w:r w:rsidRPr="004E29A7">
        <w:rPr>
          <w:sz w:val="16"/>
          <w:szCs w:val="16"/>
        </w:rPr>
        <w:t xml:space="preserve"> CNN</w:t>
      </w:r>
      <w:r>
        <w:rPr>
          <w:sz w:val="16"/>
          <w:szCs w:val="16"/>
        </w:rPr>
        <w:t xml:space="preserve">, </w:t>
      </w:r>
      <w:r w:rsidRPr="004E29A7">
        <w:rPr>
          <w:sz w:val="16"/>
          <w:szCs w:val="16"/>
        </w:rPr>
        <w:t>“Fighting Corruption: Ukraine Breaks New Grounds with Mandatory Asset Declaration</w:t>
      </w:r>
      <w:r>
        <w:rPr>
          <w:sz w:val="16"/>
          <w:szCs w:val="16"/>
        </w:rPr>
        <w:t>,</w:t>
      </w:r>
      <w:r w:rsidRPr="004E29A7">
        <w:rPr>
          <w:sz w:val="16"/>
          <w:szCs w:val="16"/>
        </w:rPr>
        <w:t xml:space="preserve">” </w:t>
      </w:r>
      <w:r>
        <w:rPr>
          <w:sz w:val="16"/>
          <w:szCs w:val="16"/>
        </w:rPr>
        <w:t>2016.</w:t>
      </w:r>
    </w:p>
  </w:footnote>
  <w:footnote w:id="24">
    <w:p w14:paraId="0D3D7B42" w14:textId="3DC936D6" w:rsidR="00373548" w:rsidRPr="004E29A7" w:rsidRDefault="00373548" w:rsidP="00A45A7A">
      <w:pPr>
        <w:pStyle w:val="FootnoteText"/>
        <w:ind w:right="907"/>
        <w:jc w:val="both"/>
        <w:rPr>
          <w:sz w:val="16"/>
          <w:szCs w:val="16"/>
        </w:rPr>
      </w:pPr>
      <w:r w:rsidRPr="004E29A7">
        <w:rPr>
          <w:sz w:val="16"/>
          <w:szCs w:val="16"/>
          <w:vertAlign w:val="superscript"/>
        </w:rPr>
        <w:footnoteRef/>
      </w:r>
      <w:r w:rsidRPr="004E29A7">
        <w:rPr>
          <w:sz w:val="16"/>
          <w:szCs w:val="16"/>
          <w:vertAlign w:val="superscript"/>
        </w:rPr>
        <w:t xml:space="preserve"> </w:t>
      </w:r>
      <w:r w:rsidRPr="004E29A7">
        <w:rPr>
          <w:sz w:val="16"/>
          <w:szCs w:val="16"/>
        </w:rPr>
        <w:t>Assessment of the Community</w:t>
      </w:r>
      <w:r>
        <w:rPr>
          <w:sz w:val="16"/>
          <w:szCs w:val="16"/>
        </w:rPr>
        <w:t>-</w:t>
      </w:r>
      <w:r w:rsidRPr="004E29A7">
        <w:rPr>
          <w:sz w:val="16"/>
          <w:szCs w:val="16"/>
        </w:rPr>
        <w:t>Based Approach to Local Development Project, Phase III, Ukraine, 2017.</w:t>
      </w:r>
    </w:p>
  </w:footnote>
  <w:footnote w:id="25">
    <w:p w14:paraId="0AAE3E37" w14:textId="7C6133C6" w:rsidR="00373548" w:rsidRPr="004E29A7" w:rsidRDefault="00373548" w:rsidP="00A20A54">
      <w:pPr>
        <w:pStyle w:val="FootnoteText"/>
        <w:ind w:right="907"/>
        <w:jc w:val="both"/>
        <w:rPr>
          <w:sz w:val="16"/>
          <w:szCs w:val="16"/>
        </w:rPr>
      </w:pPr>
      <w:r w:rsidRPr="004E29A7">
        <w:rPr>
          <w:sz w:val="16"/>
          <w:szCs w:val="16"/>
          <w:vertAlign w:val="superscript"/>
        </w:rPr>
        <w:footnoteRef/>
      </w:r>
      <w:r w:rsidRPr="004E29A7">
        <w:rPr>
          <w:sz w:val="16"/>
          <w:szCs w:val="16"/>
        </w:rPr>
        <w:t xml:space="preserve"> Kran, Marcia, Evaluation of UNDP Ukraine’s Democratic Governance Assistance 2012-2016</w:t>
      </w:r>
      <w:r>
        <w:rPr>
          <w:sz w:val="16"/>
          <w:szCs w:val="16"/>
        </w:rPr>
        <w:t>. 2016.</w:t>
      </w:r>
      <w:r w:rsidRPr="004E29A7">
        <w:rPr>
          <w:sz w:val="16"/>
          <w:szCs w:val="16"/>
        </w:rPr>
        <w:t>; Devine, Vera Final Evaluation of Poverty Reduction/ Recovery Outcome</w:t>
      </w:r>
      <w:r>
        <w:rPr>
          <w:sz w:val="16"/>
          <w:szCs w:val="16"/>
        </w:rPr>
        <w:t>,</w:t>
      </w:r>
      <w:r w:rsidRPr="00B764A4">
        <w:rPr>
          <w:sz w:val="16"/>
          <w:szCs w:val="16"/>
        </w:rPr>
        <w:t xml:space="preserve"> </w:t>
      </w:r>
      <w:r w:rsidRPr="004E29A7">
        <w:rPr>
          <w:sz w:val="16"/>
          <w:szCs w:val="16"/>
        </w:rPr>
        <w:t>2017; Bajraktari, Elinor</w:t>
      </w:r>
      <w:r>
        <w:rPr>
          <w:sz w:val="16"/>
          <w:szCs w:val="16"/>
        </w:rPr>
        <w:t>,</w:t>
      </w:r>
      <w:r w:rsidRPr="004E29A7">
        <w:rPr>
          <w:sz w:val="16"/>
          <w:szCs w:val="16"/>
        </w:rPr>
        <w:t xml:space="preserve"> Environment and Sustainable Development Outcome Evaluation</w:t>
      </w:r>
      <w:r>
        <w:rPr>
          <w:sz w:val="16"/>
          <w:szCs w:val="16"/>
        </w:rPr>
        <w:t xml:space="preserve">, </w:t>
      </w:r>
      <w:r w:rsidRPr="004E29A7">
        <w:rPr>
          <w:sz w:val="16"/>
          <w:szCs w:val="16"/>
        </w:rPr>
        <w:t>2017.</w:t>
      </w:r>
    </w:p>
  </w:footnote>
  <w:footnote w:id="26">
    <w:p w14:paraId="59957009" w14:textId="49D0C7E5" w:rsidR="00373548" w:rsidRPr="00A20A54" w:rsidRDefault="00373548" w:rsidP="00A45A7A">
      <w:pPr>
        <w:pStyle w:val="Normal1"/>
        <w:spacing w:line="240" w:lineRule="auto"/>
        <w:ind w:right="907"/>
        <w:jc w:val="both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4E29A7">
        <w:rPr>
          <w:rFonts w:ascii="Times New Roman" w:eastAsia="Times New Roman" w:hAnsi="Times New Roman" w:cs="Times New Roman"/>
          <w:color w:val="auto"/>
          <w:sz w:val="16"/>
          <w:szCs w:val="16"/>
          <w:vertAlign w:val="superscript"/>
        </w:rPr>
        <w:footnoteRef/>
      </w:r>
      <w:r w:rsidRPr="004E29A7">
        <w:rPr>
          <w:rFonts w:ascii="Times New Roman" w:eastAsia="Times New Roman" w:hAnsi="Times New Roman" w:cs="Times New Roman"/>
          <w:color w:val="auto"/>
          <w:sz w:val="16"/>
          <w:szCs w:val="16"/>
          <w:vertAlign w:val="superscript"/>
        </w:rPr>
        <w:t xml:space="preserve"> </w:t>
      </w:r>
      <w:r w:rsidRPr="004E29A7">
        <w:rPr>
          <w:rFonts w:ascii="Times New Roman" w:eastAsia="Times New Roman" w:hAnsi="Times New Roman" w:cs="Times New Roman"/>
          <w:color w:val="auto"/>
          <w:sz w:val="16"/>
          <w:szCs w:val="16"/>
        </w:rPr>
        <w:t>Women’s</w:t>
      </w:r>
      <w:r w:rsidRPr="00A20A54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International League for Peace and Freedom</w:t>
      </w:r>
      <w:r>
        <w:rPr>
          <w:rFonts w:ascii="Times New Roman" w:eastAsia="Times New Roman" w:hAnsi="Times New Roman" w:cs="Times New Roman"/>
          <w:color w:val="auto"/>
          <w:sz w:val="16"/>
          <w:szCs w:val="16"/>
        </w:rPr>
        <w:t>,</w:t>
      </w:r>
      <w:r w:rsidRPr="00A20A54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16"/>
          <w:szCs w:val="16"/>
        </w:rPr>
        <w:t>'</w:t>
      </w:r>
      <w:r w:rsidRPr="00A20A54">
        <w:rPr>
          <w:rFonts w:ascii="Times New Roman" w:eastAsia="Times New Roman" w:hAnsi="Times New Roman" w:cs="Times New Roman"/>
          <w:color w:val="auto"/>
          <w:sz w:val="16"/>
          <w:szCs w:val="16"/>
        </w:rPr>
        <w:t>Voices from Ukraine: Strengthen the Role and Contribution of Ukrainian Women in Conflict Prevention, Resolution, Peacebuilding and Reconciliation</w:t>
      </w:r>
      <w:r>
        <w:rPr>
          <w:rFonts w:ascii="Times New Roman" w:eastAsia="Times New Roman" w:hAnsi="Times New Roman" w:cs="Times New Roman"/>
          <w:color w:val="auto"/>
          <w:sz w:val="16"/>
          <w:szCs w:val="16"/>
        </w:rPr>
        <w:t>', 2014.</w:t>
      </w:r>
      <w:r w:rsidRPr="00A20A54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</w:t>
      </w:r>
    </w:p>
  </w:footnote>
  <w:footnote w:id="27">
    <w:p w14:paraId="54F801FA" w14:textId="22987B00" w:rsidR="00373548" w:rsidRPr="00292648" w:rsidRDefault="00373548" w:rsidP="00292648">
      <w:pPr>
        <w:rPr>
          <w:sz w:val="16"/>
          <w:szCs w:val="16"/>
        </w:rPr>
      </w:pPr>
      <w:r w:rsidRPr="00292648">
        <w:rPr>
          <w:rStyle w:val="FootnoteReference"/>
          <w:sz w:val="16"/>
          <w:szCs w:val="16"/>
        </w:rPr>
        <w:footnoteRef/>
      </w:r>
      <w:r w:rsidRPr="00292648">
        <w:rPr>
          <w:sz w:val="16"/>
          <w:szCs w:val="16"/>
        </w:rPr>
        <w:t xml:space="preserve"> Pat Cox</w:t>
      </w:r>
      <w:r>
        <w:rPr>
          <w:sz w:val="16"/>
          <w:szCs w:val="16"/>
        </w:rPr>
        <w:t>,</w:t>
      </w:r>
      <w:r w:rsidRPr="00292648">
        <w:rPr>
          <w:sz w:val="16"/>
          <w:szCs w:val="16"/>
        </w:rPr>
        <w:t xml:space="preserve"> European Parliament’s Needs Assessment Report of Ukraine</w:t>
      </w:r>
      <w:r>
        <w:rPr>
          <w:sz w:val="16"/>
          <w:szCs w:val="16"/>
        </w:rPr>
        <w:t xml:space="preserve">, </w:t>
      </w:r>
      <w:r w:rsidRPr="00292648">
        <w:rPr>
          <w:sz w:val="16"/>
          <w:szCs w:val="16"/>
        </w:rPr>
        <w:t>2016.</w:t>
      </w:r>
    </w:p>
  </w:footnote>
  <w:footnote w:id="28">
    <w:p w14:paraId="4970C590" w14:textId="0D8A9B2F" w:rsidR="00373548" w:rsidRPr="005E2004" w:rsidRDefault="00373548" w:rsidP="005E2004">
      <w:pPr>
        <w:pStyle w:val="FootnoteText"/>
        <w:ind w:right="907"/>
        <w:jc w:val="both"/>
      </w:pPr>
      <w:r w:rsidRPr="00292648">
        <w:rPr>
          <w:rStyle w:val="FootnoteReference"/>
          <w:sz w:val="16"/>
          <w:szCs w:val="16"/>
        </w:rPr>
        <w:footnoteRef/>
      </w:r>
      <w:r w:rsidRPr="00292648">
        <w:rPr>
          <w:sz w:val="16"/>
          <w:szCs w:val="16"/>
        </w:rPr>
        <w:t xml:space="preserve"> </w:t>
      </w:r>
      <w:r w:rsidRPr="00C50A91">
        <w:rPr>
          <w:sz w:val="16"/>
          <w:szCs w:val="16"/>
        </w:rPr>
        <w:t>UNDP</w:t>
      </w:r>
      <w:r>
        <w:rPr>
          <w:sz w:val="16"/>
          <w:szCs w:val="16"/>
        </w:rPr>
        <w:t>,</w:t>
      </w:r>
      <w:r w:rsidRPr="00C50A91">
        <w:rPr>
          <w:sz w:val="16"/>
          <w:szCs w:val="16"/>
        </w:rPr>
        <w:t xml:space="preserve"> In-depth capacity assessment of selected </w:t>
      </w:r>
      <w:r>
        <w:rPr>
          <w:sz w:val="16"/>
          <w:szCs w:val="16"/>
        </w:rPr>
        <w:t>b</w:t>
      </w:r>
      <w:r w:rsidRPr="00C50A91">
        <w:rPr>
          <w:sz w:val="16"/>
          <w:szCs w:val="16"/>
        </w:rPr>
        <w:t xml:space="preserve">usiness </w:t>
      </w:r>
      <w:r>
        <w:rPr>
          <w:sz w:val="16"/>
          <w:szCs w:val="16"/>
        </w:rPr>
        <w:t>m</w:t>
      </w:r>
      <w:r w:rsidRPr="00C50A91">
        <w:rPr>
          <w:sz w:val="16"/>
          <w:szCs w:val="16"/>
        </w:rPr>
        <w:t xml:space="preserve">embership </w:t>
      </w:r>
      <w:r>
        <w:rPr>
          <w:sz w:val="16"/>
          <w:szCs w:val="16"/>
        </w:rPr>
        <w:t>o</w:t>
      </w:r>
      <w:r w:rsidRPr="00C50A91">
        <w:rPr>
          <w:sz w:val="16"/>
          <w:szCs w:val="16"/>
        </w:rPr>
        <w:t>rganizations</w:t>
      </w:r>
      <w:r>
        <w:rPr>
          <w:sz w:val="16"/>
          <w:szCs w:val="16"/>
        </w:rPr>
        <w:t>, 2016.</w:t>
      </w:r>
    </w:p>
  </w:footnote>
  <w:footnote w:id="29">
    <w:p w14:paraId="0657F4D1" w14:textId="79016032" w:rsidR="00373548" w:rsidRPr="00292648" w:rsidRDefault="00373548">
      <w:pPr>
        <w:pStyle w:val="FootnoteText"/>
        <w:rPr>
          <w:sz w:val="16"/>
          <w:szCs w:val="16"/>
        </w:rPr>
      </w:pPr>
      <w:r w:rsidRPr="00292648">
        <w:rPr>
          <w:rStyle w:val="FootnoteReference"/>
          <w:sz w:val="16"/>
          <w:szCs w:val="16"/>
        </w:rPr>
        <w:footnoteRef/>
      </w:r>
      <w:r w:rsidRPr="00292648">
        <w:rPr>
          <w:sz w:val="16"/>
          <w:szCs w:val="16"/>
        </w:rPr>
        <w:t xml:space="preserve"> </w:t>
      </w:r>
      <w:r w:rsidRPr="00C50A91">
        <w:rPr>
          <w:sz w:val="16"/>
          <w:szCs w:val="16"/>
        </w:rPr>
        <w:t>UNDP</w:t>
      </w:r>
      <w:r>
        <w:rPr>
          <w:sz w:val="16"/>
          <w:szCs w:val="16"/>
        </w:rPr>
        <w:t>,</w:t>
      </w:r>
      <w:r w:rsidRPr="00C50A91">
        <w:rPr>
          <w:sz w:val="16"/>
          <w:szCs w:val="16"/>
        </w:rPr>
        <w:t xml:space="preserve"> Security and Justice in Ukraine</w:t>
      </w:r>
      <w:r>
        <w:rPr>
          <w:sz w:val="16"/>
          <w:szCs w:val="16"/>
        </w:rPr>
        <w:t>, 2017.</w:t>
      </w:r>
    </w:p>
  </w:footnote>
  <w:footnote w:id="30">
    <w:p w14:paraId="77579EAF" w14:textId="50FE53D7" w:rsidR="00373548" w:rsidRPr="00292648" w:rsidRDefault="00373548" w:rsidP="00CB7BA3">
      <w:pPr>
        <w:rPr>
          <w:sz w:val="16"/>
          <w:szCs w:val="16"/>
        </w:rPr>
      </w:pPr>
      <w:r w:rsidRPr="00292648">
        <w:rPr>
          <w:rStyle w:val="FootnoteReference"/>
          <w:sz w:val="16"/>
          <w:szCs w:val="16"/>
        </w:rPr>
        <w:footnoteRef/>
      </w:r>
      <w:r w:rsidRPr="00292648">
        <w:rPr>
          <w:sz w:val="16"/>
          <w:szCs w:val="16"/>
        </w:rPr>
        <w:t xml:space="preserve"> </w:t>
      </w:r>
      <w:r w:rsidRPr="00960D1F">
        <w:rPr>
          <w:sz w:val="16"/>
          <w:szCs w:val="16"/>
        </w:rPr>
        <w:t>https://docs.unocha.org/sites/dms/Documents/FEAT_Version_1.1.pdf</w:t>
      </w:r>
    </w:p>
    <w:p w14:paraId="776F9895" w14:textId="77777777" w:rsidR="00373548" w:rsidRDefault="00373548">
      <w:pPr>
        <w:pStyle w:val="FootnoteText"/>
      </w:pPr>
    </w:p>
  </w:footnote>
  <w:footnote w:id="31">
    <w:p w14:paraId="0F3D7375" w14:textId="0809338E" w:rsidR="00373548" w:rsidRPr="00F24742" w:rsidRDefault="00373548" w:rsidP="00765F42">
      <w:pPr>
        <w:pStyle w:val="FootnoteText"/>
      </w:pPr>
      <w:r w:rsidRPr="00F24742">
        <w:rPr>
          <w:rStyle w:val="FootnoteReference"/>
          <w:sz w:val="16"/>
          <w:szCs w:val="16"/>
        </w:rPr>
        <w:footnoteRef/>
      </w:r>
      <w:r w:rsidRPr="00F24742">
        <w:rPr>
          <w:sz w:val="16"/>
          <w:szCs w:val="16"/>
        </w:rPr>
        <w:t xml:space="preserve"> UNDP is not building capacity of Parliament (0), capacity has not improved (1), very partially improved (2), partially improved (3), largely improved (4)</w:t>
      </w:r>
    </w:p>
  </w:footnote>
  <w:footnote w:id="32">
    <w:p w14:paraId="43831590" w14:textId="77777777" w:rsidR="00373548" w:rsidRPr="00F24742" w:rsidRDefault="00373548" w:rsidP="00765F42">
      <w:pPr>
        <w:pStyle w:val="FootnoteText"/>
        <w:ind w:hanging="142"/>
        <w:rPr>
          <w:sz w:val="16"/>
          <w:szCs w:val="16"/>
        </w:rPr>
      </w:pPr>
      <w:r w:rsidRPr="00F24742">
        <w:rPr>
          <w:rStyle w:val="FootnoteReference"/>
          <w:sz w:val="16"/>
          <w:szCs w:val="16"/>
        </w:rPr>
        <w:footnoteRef/>
      </w:r>
      <w:r w:rsidRPr="00F24742">
        <w:rPr>
          <w:sz w:val="16"/>
          <w:szCs w:val="16"/>
        </w:rPr>
        <w:t xml:space="preserve"> Not adequately (1), very partially (2), partially (3), largely (4)</w:t>
      </w:r>
    </w:p>
  </w:footnote>
  <w:footnote w:id="33">
    <w:p w14:paraId="16DF08C9" w14:textId="2321768C" w:rsidR="00373548" w:rsidRPr="00F24742" w:rsidRDefault="00373548" w:rsidP="00765F42">
      <w:pPr>
        <w:pStyle w:val="FootnoteText"/>
        <w:rPr>
          <w:sz w:val="16"/>
          <w:szCs w:val="16"/>
        </w:rPr>
      </w:pPr>
      <w:r w:rsidRPr="00F24742">
        <w:rPr>
          <w:rStyle w:val="FootnoteReference"/>
          <w:sz w:val="16"/>
          <w:szCs w:val="16"/>
        </w:rPr>
        <w:footnoteRef/>
      </w:r>
      <w:r w:rsidRPr="00F24742">
        <w:rPr>
          <w:sz w:val="16"/>
          <w:szCs w:val="16"/>
        </w:rPr>
        <w:t xml:space="preserve"> Not improved (1), improved to a very partial extent (2), partial extent (3), large extent (4)</w:t>
      </w:r>
      <w:r>
        <w:rPr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85" w:type="dxa"/>
      <w:tblInd w:w="-1142" w:type="dxa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38"/>
      <w:gridCol w:w="5047"/>
    </w:tblGrid>
    <w:tr w:rsidR="00373548" w:rsidRPr="00612DA4" w14:paraId="6CDEFD00" w14:textId="77777777" w:rsidTr="00A66745">
      <w:trPr>
        <w:trHeight w:hRule="exact" w:val="864"/>
      </w:trPr>
      <w:tc>
        <w:tcPr>
          <w:tcW w:w="4838" w:type="dxa"/>
          <w:tcBorders>
            <w:bottom w:val="single" w:sz="4" w:space="0" w:color="auto"/>
          </w:tcBorders>
          <w:vAlign w:val="bottom"/>
        </w:tcPr>
        <w:p w14:paraId="4F446700" w14:textId="7DDADEC1" w:rsidR="00373548" w:rsidRPr="00612DA4" w:rsidRDefault="00373548" w:rsidP="00612DA4">
          <w:pPr>
            <w:widowControl w:val="0"/>
            <w:tabs>
              <w:tab w:val="center" w:pos="4320"/>
              <w:tab w:val="right" w:pos="8640"/>
            </w:tabs>
            <w:spacing w:after="80"/>
            <w:ind w:left="-1838" w:firstLine="1838"/>
            <w:rPr>
              <w:b/>
              <w:sz w:val="17"/>
              <w:szCs w:val="17"/>
            </w:rPr>
          </w:pPr>
          <w:r w:rsidRPr="00612DA4">
            <w:rPr>
              <w:b/>
              <w:sz w:val="17"/>
              <w:szCs w:val="17"/>
            </w:rPr>
            <w:t>DP/DCP/</w:t>
          </w:r>
          <w:r>
            <w:rPr>
              <w:b/>
              <w:sz w:val="17"/>
              <w:szCs w:val="17"/>
            </w:rPr>
            <w:t>U</w:t>
          </w:r>
          <w:r w:rsidRPr="00612DA4">
            <w:rPr>
              <w:b/>
              <w:sz w:val="17"/>
              <w:szCs w:val="17"/>
            </w:rPr>
            <w:t>K</w:t>
          </w:r>
          <w:r>
            <w:rPr>
              <w:b/>
              <w:sz w:val="17"/>
              <w:szCs w:val="17"/>
            </w:rPr>
            <w:t>R</w:t>
          </w:r>
          <w:r w:rsidRPr="00612DA4">
            <w:rPr>
              <w:b/>
              <w:sz w:val="17"/>
              <w:szCs w:val="17"/>
            </w:rPr>
            <w:t>/</w:t>
          </w:r>
          <w:r>
            <w:rPr>
              <w:b/>
              <w:sz w:val="17"/>
              <w:szCs w:val="17"/>
            </w:rPr>
            <w:t>3</w:t>
          </w:r>
        </w:p>
      </w:tc>
      <w:tc>
        <w:tcPr>
          <w:tcW w:w="5047" w:type="dxa"/>
          <w:tcBorders>
            <w:bottom w:val="single" w:sz="4" w:space="0" w:color="auto"/>
          </w:tcBorders>
          <w:vAlign w:val="bottom"/>
        </w:tcPr>
        <w:p w14:paraId="0E30454B" w14:textId="77777777" w:rsidR="00373548" w:rsidRPr="00612DA4" w:rsidRDefault="00373548" w:rsidP="00612DA4">
          <w:pPr>
            <w:widowControl w:val="0"/>
            <w:tabs>
              <w:tab w:val="center" w:pos="4320"/>
              <w:tab w:val="right" w:pos="8640"/>
            </w:tabs>
            <w:rPr>
              <w:sz w:val="17"/>
              <w:szCs w:val="17"/>
            </w:rPr>
          </w:pPr>
        </w:p>
      </w:tc>
    </w:tr>
  </w:tbl>
  <w:p w14:paraId="10AF02E7" w14:textId="0A2CA4FE" w:rsidR="00373548" w:rsidRDefault="003735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85" w:type="dxa"/>
      <w:tblInd w:w="-1142" w:type="dxa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38"/>
      <w:gridCol w:w="5047"/>
    </w:tblGrid>
    <w:tr w:rsidR="00373548" w:rsidRPr="00612DA4" w14:paraId="5E175866" w14:textId="77777777" w:rsidTr="00A66745">
      <w:trPr>
        <w:trHeight w:hRule="exact" w:val="864"/>
      </w:trPr>
      <w:tc>
        <w:tcPr>
          <w:tcW w:w="4838" w:type="dxa"/>
          <w:tcBorders>
            <w:bottom w:val="single" w:sz="4" w:space="0" w:color="auto"/>
          </w:tcBorders>
          <w:vAlign w:val="bottom"/>
        </w:tcPr>
        <w:p w14:paraId="09F787BD" w14:textId="77777777" w:rsidR="00373548" w:rsidRPr="00612DA4" w:rsidRDefault="00373548" w:rsidP="00612DA4">
          <w:pPr>
            <w:widowControl w:val="0"/>
            <w:tabs>
              <w:tab w:val="center" w:pos="4320"/>
              <w:tab w:val="right" w:pos="8640"/>
            </w:tabs>
            <w:spacing w:after="80"/>
            <w:rPr>
              <w:b/>
              <w:sz w:val="17"/>
              <w:szCs w:val="17"/>
            </w:rPr>
          </w:pPr>
        </w:p>
      </w:tc>
      <w:tc>
        <w:tcPr>
          <w:tcW w:w="5047" w:type="dxa"/>
          <w:tcBorders>
            <w:bottom w:val="single" w:sz="4" w:space="0" w:color="auto"/>
          </w:tcBorders>
          <w:vAlign w:val="bottom"/>
        </w:tcPr>
        <w:p w14:paraId="781F2690" w14:textId="38CBAA7A" w:rsidR="00373548" w:rsidRPr="00612DA4" w:rsidRDefault="00373548" w:rsidP="00A66745">
          <w:pPr>
            <w:widowControl w:val="0"/>
            <w:tabs>
              <w:tab w:val="center" w:pos="4320"/>
              <w:tab w:val="right" w:pos="8640"/>
            </w:tabs>
            <w:jc w:val="right"/>
            <w:rPr>
              <w:sz w:val="17"/>
              <w:szCs w:val="17"/>
            </w:rPr>
          </w:pPr>
          <w:r>
            <w:rPr>
              <w:b/>
              <w:sz w:val="17"/>
              <w:szCs w:val="17"/>
            </w:rPr>
            <w:t>DP/DCP/U</w:t>
          </w:r>
          <w:r w:rsidRPr="00612DA4">
            <w:rPr>
              <w:b/>
              <w:sz w:val="17"/>
              <w:szCs w:val="17"/>
            </w:rPr>
            <w:t>K</w:t>
          </w:r>
          <w:r>
            <w:rPr>
              <w:b/>
              <w:sz w:val="17"/>
              <w:szCs w:val="17"/>
            </w:rPr>
            <w:t>R</w:t>
          </w:r>
          <w:r w:rsidRPr="00612DA4">
            <w:rPr>
              <w:b/>
              <w:sz w:val="17"/>
              <w:szCs w:val="17"/>
            </w:rPr>
            <w:t>/</w:t>
          </w:r>
          <w:r>
            <w:rPr>
              <w:b/>
              <w:sz w:val="17"/>
              <w:szCs w:val="17"/>
            </w:rPr>
            <w:t>3</w:t>
          </w:r>
        </w:p>
      </w:tc>
    </w:tr>
  </w:tbl>
  <w:p w14:paraId="27923074" w14:textId="77777777" w:rsidR="00373548" w:rsidRDefault="003735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07" w:type="dxa"/>
      <w:tblInd w:w="-115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67"/>
      <w:gridCol w:w="1872"/>
      <w:gridCol w:w="245"/>
      <w:gridCol w:w="3110"/>
      <w:gridCol w:w="245"/>
      <w:gridCol w:w="3140"/>
      <w:gridCol w:w="28"/>
    </w:tblGrid>
    <w:tr w:rsidR="00373548" w:rsidRPr="00612DA4" w14:paraId="35B6AA8F" w14:textId="77777777" w:rsidTr="006231E6">
      <w:trPr>
        <w:trHeight w:hRule="exact" w:val="864"/>
      </w:trPr>
      <w:tc>
        <w:tcPr>
          <w:tcW w:w="1267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1600F0ED" w14:textId="77777777" w:rsidR="00373548" w:rsidRPr="00612DA4" w:rsidRDefault="00373548" w:rsidP="00612DA4">
          <w:pPr>
            <w:tabs>
              <w:tab w:val="center" w:pos="4320"/>
              <w:tab w:val="right" w:pos="8640"/>
            </w:tabs>
            <w:spacing w:after="120"/>
            <w:rPr>
              <w:noProof/>
              <w:sz w:val="17"/>
            </w:rPr>
          </w:pPr>
        </w:p>
      </w:tc>
      <w:tc>
        <w:tcPr>
          <w:tcW w:w="1872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3D277FA0" w14:textId="77777777" w:rsidR="00373548" w:rsidRPr="00612DA4" w:rsidRDefault="00373548" w:rsidP="00612DA4">
          <w:pPr>
            <w:keepNext/>
            <w:keepLines/>
            <w:tabs>
              <w:tab w:val="right" w:pos="1022"/>
              <w:tab w:val="left" w:pos="1267"/>
              <w:tab w:val="left" w:pos="1742"/>
              <w:tab w:val="left" w:pos="2218"/>
              <w:tab w:val="left" w:pos="2693"/>
              <w:tab w:val="left" w:pos="3182"/>
              <w:tab w:val="left" w:pos="3658"/>
              <w:tab w:val="left" w:pos="4133"/>
              <w:tab w:val="left" w:pos="4622"/>
              <w:tab w:val="left" w:pos="5098"/>
              <w:tab w:val="left" w:pos="5573"/>
              <w:tab w:val="left" w:pos="6048"/>
            </w:tabs>
            <w:suppressAutoHyphens/>
            <w:spacing w:after="80" w:line="300" w:lineRule="exact"/>
            <w:outlineLvl w:val="0"/>
            <w:rPr>
              <w:spacing w:val="2"/>
              <w:w w:val="96"/>
              <w:kern w:val="14"/>
              <w:sz w:val="28"/>
              <w:lang w:val="en-GB"/>
            </w:rPr>
          </w:pPr>
          <w:r w:rsidRPr="00612DA4">
            <w:rPr>
              <w:spacing w:val="2"/>
              <w:w w:val="96"/>
              <w:kern w:val="14"/>
              <w:sz w:val="28"/>
              <w:lang w:val="en-GB"/>
            </w:rPr>
            <w:t>United Nations</w:t>
          </w:r>
        </w:p>
      </w:tc>
      <w:tc>
        <w:tcPr>
          <w:tcW w:w="245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2F57FA90" w14:textId="77777777" w:rsidR="00373548" w:rsidRPr="00612DA4" w:rsidRDefault="00373548" w:rsidP="00612DA4">
          <w:pPr>
            <w:tabs>
              <w:tab w:val="center" w:pos="4320"/>
              <w:tab w:val="right" w:pos="8640"/>
            </w:tabs>
            <w:spacing w:after="120"/>
            <w:rPr>
              <w:noProof/>
              <w:sz w:val="17"/>
            </w:rPr>
          </w:pPr>
        </w:p>
      </w:tc>
      <w:tc>
        <w:tcPr>
          <w:tcW w:w="6523" w:type="dxa"/>
          <w:gridSpan w:val="4"/>
          <w:tcBorders>
            <w:bottom w:val="single" w:sz="4" w:space="0" w:color="auto"/>
          </w:tcBorders>
          <w:shd w:val="clear" w:color="auto" w:fill="auto"/>
          <w:vAlign w:val="bottom"/>
        </w:tcPr>
        <w:p w14:paraId="5D342D31" w14:textId="1CC20558" w:rsidR="00373548" w:rsidRPr="00612DA4" w:rsidRDefault="00373548" w:rsidP="00612DA4">
          <w:pPr>
            <w:suppressAutoHyphens/>
            <w:spacing w:after="80"/>
            <w:jc w:val="right"/>
            <w:rPr>
              <w:spacing w:val="4"/>
              <w:w w:val="103"/>
              <w:kern w:val="14"/>
              <w:position w:val="-4"/>
              <w:lang w:val="en-GB"/>
            </w:rPr>
          </w:pPr>
          <w:r w:rsidRPr="00612DA4">
            <w:rPr>
              <w:spacing w:val="4"/>
              <w:w w:val="103"/>
              <w:kern w:val="14"/>
              <w:position w:val="-4"/>
              <w:sz w:val="40"/>
              <w:lang w:val="en-GB"/>
            </w:rPr>
            <w:t>DP</w:t>
          </w:r>
          <w:r w:rsidRPr="00612DA4">
            <w:rPr>
              <w:spacing w:val="4"/>
              <w:w w:val="103"/>
              <w:kern w:val="14"/>
              <w:position w:val="-4"/>
              <w:lang w:val="en-GB"/>
            </w:rPr>
            <w:t>/DCP/</w:t>
          </w:r>
          <w:r>
            <w:rPr>
              <w:spacing w:val="4"/>
              <w:w w:val="103"/>
              <w:kern w:val="14"/>
              <w:position w:val="-4"/>
              <w:lang w:val="en-GB"/>
            </w:rPr>
            <w:t>UKR</w:t>
          </w:r>
          <w:r w:rsidRPr="00612DA4">
            <w:rPr>
              <w:spacing w:val="4"/>
              <w:w w:val="103"/>
              <w:kern w:val="14"/>
              <w:position w:val="-4"/>
              <w:lang w:val="en-GB"/>
            </w:rPr>
            <w:t>/</w:t>
          </w:r>
          <w:r>
            <w:rPr>
              <w:spacing w:val="4"/>
              <w:w w:val="103"/>
              <w:kern w:val="14"/>
              <w:position w:val="-4"/>
              <w:lang w:val="en-GB"/>
            </w:rPr>
            <w:t>3</w:t>
          </w:r>
        </w:p>
      </w:tc>
    </w:tr>
    <w:tr w:rsidR="00373548" w:rsidRPr="00612DA4" w14:paraId="0D73CE7D" w14:textId="77777777" w:rsidTr="006231E6">
      <w:trPr>
        <w:gridAfter w:val="1"/>
        <w:wAfter w:w="28" w:type="dxa"/>
        <w:trHeight w:hRule="exact" w:val="2880"/>
      </w:trPr>
      <w:tc>
        <w:tcPr>
          <w:tcW w:w="1267" w:type="dxa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14:paraId="3BBA1028" w14:textId="77777777" w:rsidR="00373548" w:rsidRPr="00612DA4" w:rsidRDefault="00373548" w:rsidP="00612DA4">
          <w:pPr>
            <w:tabs>
              <w:tab w:val="center" w:pos="4320"/>
              <w:tab w:val="right" w:pos="8640"/>
            </w:tabs>
            <w:spacing w:before="109"/>
            <w:rPr>
              <w:noProof/>
              <w:sz w:val="17"/>
            </w:rPr>
          </w:pPr>
          <w:r w:rsidRPr="00612DA4">
            <w:rPr>
              <w:noProof/>
              <w:sz w:val="17"/>
            </w:rPr>
            <w:t xml:space="preserve"> </w:t>
          </w:r>
          <w:r w:rsidRPr="00612DA4">
            <w:rPr>
              <w:noProof/>
              <w:sz w:val="17"/>
            </w:rPr>
            <w:drawing>
              <wp:inline distT="0" distB="0" distL="0" distR="0" wp14:anchorId="2EC55718" wp14:editId="63AB0AB5">
                <wp:extent cx="702945" cy="592455"/>
                <wp:effectExtent l="0" t="0" r="1905" b="0"/>
                <wp:docPr id="28" name="Picture 28" descr="_un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_un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2945" cy="592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C0AB10F" w14:textId="77777777" w:rsidR="00373548" w:rsidRPr="00612DA4" w:rsidRDefault="00373548" w:rsidP="00612DA4">
          <w:pPr>
            <w:tabs>
              <w:tab w:val="center" w:pos="4320"/>
              <w:tab w:val="right" w:pos="8640"/>
            </w:tabs>
            <w:spacing w:before="109"/>
            <w:rPr>
              <w:noProof/>
              <w:sz w:val="17"/>
            </w:rPr>
          </w:pPr>
        </w:p>
      </w:tc>
      <w:tc>
        <w:tcPr>
          <w:tcW w:w="5227" w:type="dxa"/>
          <w:gridSpan w:val="3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14:paraId="7137872E" w14:textId="77777777" w:rsidR="00373548" w:rsidRPr="00612DA4" w:rsidRDefault="00373548" w:rsidP="00612DA4">
          <w:pPr>
            <w:keepNext/>
            <w:keepLines/>
            <w:tabs>
              <w:tab w:val="right" w:pos="1022"/>
              <w:tab w:val="left" w:pos="1267"/>
              <w:tab w:val="left" w:pos="1742"/>
              <w:tab w:val="left" w:pos="2218"/>
              <w:tab w:val="left" w:pos="2693"/>
              <w:tab w:val="left" w:pos="3182"/>
              <w:tab w:val="left" w:pos="3658"/>
              <w:tab w:val="left" w:pos="4133"/>
              <w:tab w:val="left" w:pos="4622"/>
              <w:tab w:val="left" w:pos="5098"/>
              <w:tab w:val="left" w:pos="5573"/>
              <w:tab w:val="left" w:pos="6048"/>
            </w:tabs>
            <w:suppressAutoHyphens/>
            <w:spacing w:before="109"/>
            <w:outlineLvl w:val="0"/>
            <w:rPr>
              <w:b/>
              <w:spacing w:val="-4"/>
              <w:w w:val="98"/>
              <w:kern w:val="14"/>
              <w:sz w:val="34"/>
              <w:lang w:val="en-GB"/>
            </w:rPr>
          </w:pPr>
          <w:r w:rsidRPr="00612DA4">
            <w:rPr>
              <w:b/>
              <w:sz w:val="34"/>
            </w:rPr>
            <w:t>Executive Board of the</w:t>
          </w:r>
          <w:r w:rsidRPr="00612DA4">
            <w:rPr>
              <w:b/>
              <w:sz w:val="34"/>
            </w:rPr>
            <w:br/>
            <w:t>United Nations Development</w:t>
          </w:r>
          <w:r w:rsidRPr="00612DA4">
            <w:rPr>
              <w:b/>
              <w:sz w:val="34"/>
            </w:rPr>
            <w:br/>
            <w:t xml:space="preserve">Programme, the United Nations Population Fund and the </w:t>
          </w:r>
          <w:r w:rsidRPr="00612DA4">
            <w:rPr>
              <w:b/>
              <w:sz w:val="34"/>
            </w:rPr>
            <w:br/>
            <w:t xml:space="preserve">United Nations Office for </w:t>
          </w:r>
          <w:r w:rsidRPr="00612DA4">
            <w:rPr>
              <w:b/>
              <w:sz w:val="34"/>
            </w:rPr>
            <w:br/>
            <w:t>Project Services</w:t>
          </w:r>
        </w:p>
        <w:p w14:paraId="7A49DDED" w14:textId="77777777" w:rsidR="00373548" w:rsidRPr="00612DA4" w:rsidRDefault="00373548" w:rsidP="00612DA4">
          <w:pPr>
            <w:rPr>
              <w:sz w:val="34"/>
              <w:lang w:val="en-GB"/>
            </w:rPr>
          </w:pPr>
        </w:p>
        <w:p w14:paraId="7ED3D4CA" w14:textId="77777777" w:rsidR="00373548" w:rsidRPr="00612DA4" w:rsidRDefault="00373548" w:rsidP="00612DA4">
          <w:pPr>
            <w:ind w:firstLine="720"/>
            <w:rPr>
              <w:sz w:val="34"/>
              <w:lang w:val="en-GB"/>
            </w:rPr>
          </w:pPr>
        </w:p>
      </w:tc>
      <w:tc>
        <w:tcPr>
          <w:tcW w:w="245" w:type="dxa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14:paraId="1F9747CA" w14:textId="77777777" w:rsidR="00373548" w:rsidRPr="00612DA4" w:rsidRDefault="00373548" w:rsidP="00612DA4">
          <w:pPr>
            <w:tabs>
              <w:tab w:val="center" w:pos="4320"/>
              <w:tab w:val="right" w:pos="8640"/>
            </w:tabs>
            <w:spacing w:before="109"/>
            <w:rPr>
              <w:noProof/>
              <w:sz w:val="17"/>
            </w:rPr>
          </w:pPr>
        </w:p>
      </w:tc>
      <w:tc>
        <w:tcPr>
          <w:tcW w:w="3140" w:type="dxa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14:paraId="09A9D459" w14:textId="77777777" w:rsidR="00373548" w:rsidRPr="00612DA4" w:rsidRDefault="00373548" w:rsidP="00612DA4">
          <w:pPr>
            <w:suppressAutoHyphens/>
            <w:spacing w:before="240" w:line="240" w:lineRule="exact"/>
            <w:rPr>
              <w:spacing w:val="4"/>
              <w:w w:val="103"/>
              <w:kern w:val="14"/>
              <w:lang w:val="en-GB"/>
            </w:rPr>
          </w:pPr>
          <w:r w:rsidRPr="00612DA4">
            <w:rPr>
              <w:spacing w:val="4"/>
              <w:w w:val="103"/>
              <w:kern w:val="14"/>
              <w:lang w:val="en-GB"/>
            </w:rPr>
            <w:t>Distr.: General</w:t>
          </w:r>
        </w:p>
        <w:p w14:paraId="53440424" w14:textId="5838C8E8" w:rsidR="00373548" w:rsidRPr="00612DA4" w:rsidRDefault="009A59C7" w:rsidP="00612DA4">
          <w:pPr>
            <w:suppressAutoHyphens/>
            <w:spacing w:line="240" w:lineRule="exact"/>
            <w:rPr>
              <w:spacing w:val="4"/>
              <w:w w:val="103"/>
              <w:kern w:val="14"/>
              <w:lang w:val="en-GB"/>
            </w:rPr>
          </w:pPr>
          <w:r>
            <w:rPr>
              <w:spacing w:val="4"/>
              <w:w w:val="103"/>
              <w:kern w:val="14"/>
              <w:lang w:val="en-GB"/>
            </w:rPr>
            <w:t>6</w:t>
          </w:r>
          <w:r w:rsidR="00373548" w:rsidRPr="00612DA4">
            <w:rPr>
              <w:spacing w:val="4"/>
              <w:w w:val="103"/>
              <w:kern w:val="14"/>
              <w:lang w:val="en-GB"/>
            </w:rPr>
            <w:t xml:space="preserve"> </w:t>
          </w:r>
          <w:r w:rsidR="00373548">
            <w:rPr>
              <w:spacing w:val="4"/>
              <w:w w:val="103"/>
              <w:kern w:val="14"/>
              <w:lang w:val="en-GB"/>
            </w:rPr>
            <w:t>Ju</w:t>
          </w:r>
          <w:r>
            <w:rPr>
              <w:spacing w:val="4"/>
              <w:w w:val="103"/>
              <w:kern w:val="14"/>
              <w:lang w:val="en-GB"/>
            </w:rPr>
            <w:t>ly</w:t>
          </w:r>
          <w:r w:rsidR="00373548">
            <w:rPr>
              <w:spacing w:val="4"/>
              <w:w w:val="103"/>
              <w:kern w:val="14"/>
              <w:lang w:val="en-GB"/>
            </w:rPr>
            <w:t xml:space="preserve"> </w:t>
          </w:r>
          <w:r w:rsidR="00373548" w:rsidRPr="00612DA4">
            <w:rPr>
              <w:spacing w:val="4"/>
              <w:w w:val="103"/>
              <w:kern w:val="14"/>
              <w:lang w:val="en-GB"/>
            </w:rPr>
            <w:t>2017</w:t>
          </w:r>
        </w:p>
        <w:p w14:paraId="735FC08D" w14:textId="77777777" w:rsidR="00373548" w:rsidRPr="00612DA4" w:rsidRDefault="00373548" w:rsidP="00612DA4">
          <w:pPr>
            <w:suppressAutoHyphens/>
            <w:spacing w:line="240" w:lineRule="exact"/>
            <w:rPr>
              <w:spacing w:val="4"/>
              <w:w w:val="103"/>
              <w:kern w:val="14"/>
              <w:lang w:val="en-GB"/>
            </w:rPr>
          </w:pPr>
        </w:p>
        <w:p w14:paraId="3B6ADB82" w14:textId="77777777" w:rsidR="00373548" w:rsidRPr="00612DA4" w:rsidRDefault="00373548" w:rsidP="00612DA4">
          <w:pPr>
            <w:suppressAutoHyphens/>
            <w:spacing w:line="240" w:lineRule="exact"/>
            <w:rPr>
              <w:spacing w:val="4"/>
              <w:w w:val="103"/>
              <w:kern w:val="14"/>
              <w:lang w:val="en-GB"/>
            </w:rPr>
          </w:pPr>
          <w:r w:rsidRPr="00612DA4">
            <w:rPr>
              <w:spacing w:val="4"/>
              <w:w w:val="103"/>
              <w:kern w:val="14"/>
              <w:lang w:val="en-GB"/>
            </w:rPr>
            <w:t>Original: English</w:t>
          </w:r>
        </w:p>
      </w:tc>
    </w:tr>
  </w:tbl>
  <w:p w14:paraId="3E58EE30" w14:textId="77777777" w:rsidR="00373548" w:rsidRDefault="0037354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580" w:type="dxa"/>
      <w:tblInd w:w="-180" w:type="dxa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38"/>
      <w:gridCol w:w="9742"/>
    </w:tblGrid>
    <w:tr w:rsidR="00373548" w:rsidRPr="00612DA4" w14:paraId="79E3FA4B" w14:textId="77777777" w:rsidTr="007432E0">
      <w:trPr>
        <w:trHeight w:hRule="exact" w:val="864"/>
      </w:trPr>
      <w:tc>
        <w:tcPr>
          <w:tcW w:w="4838" w:type="dxa"/>
          <w:tcBorders>
            <w:bottom w:val="single" w:sz="4" w:space="0" w:color="auto"/>
          </w:tcBorders>
          <w:vAlign w:val="bottom"/>
        </w:tcPr>
        <w:p w14:paraId="6FDB8B9C" w14:textId="77777777" w:rsidR="00373548" w:rsidRPr="00612DA4" w:rsidRDefault="00373548" w:rsidP="00612DA4">
          <w:pPr>
            <w:widowControl w:val="0"/>
            <w:tabs>
              <w:tab w:val="center" w:pos="4320"/>
              <w:tab w:val="right" w:pos="8640"/>
            </w:tabs>
            <w:spacing w:after="80"/>
            <w:ind w:left="-1838" w:firstLine="1838"/>
            <w:rPr>
              <w:b/>
              <w:sz w:val="17"/>
              <w:szCs w:val="17"/>
            </w:rPr>
          </w:pPr>
          <w:r w:rsidRPr="00612DA4">
            <w:rPr>
              <w:b/>
              <w:sz w:val="17"/>
              <w:szCs w:val="17"/>
            </w:rPr>
            <w:t>DP/DCP/</w:t>
          </w:r>
          <w:r>
            <w:rPr>
              <w:b/>
              <w:sz w:val="17"/>
              <w:szCs w:val="17"/>
            </w:rPr>
            <w:t>U</w:t>
          </w:r>
          <w:r w:rsidRPr="00612DA4">
            <w:rPr>
              <w:b/>
              <w:sz w:val="17"/>
              <w:szCs w:val="17"/>
            </w:rPr>
            <w:t>K</w:t>
          </w:r>
          <w:r>
            <w:rPr>
              <w:b/>
              <w:sz w:val="17"/>
              <w:szCs w:val="17"/>
            </w:rPr>
            <w:t>R</w:t>
          </w:r>
          <w:r w:rsidRPr="00612DA4">
            <w:rPr>
              <w:b/>
              <w:sz w:val="17"/>
              <w:szCs w:val="17"/>
            </w:rPr>
            <w:t>/</w:t>
          </w:r>
          <w:r>
            <w:rPr>
              <w:b/>
              <w:sz w:val="17"/>
              <w:szCs w:val="17"/>
            </w:rPr>
            <w:t>3</w:t>
          </w:r>
        </w:p>
      </w:tc>
      <w:tc>
        <w:tcPr>
          <w:tcW w:w="9742" w:type="dxa"/>
          <w:tcBorders>
            <w:bottom w:val="single" w:sz="4" w:space="0" w:color="auto"/>
          </w:tcBorders>
          <w:vAlign w:val="bottom"/>
        </w:tcPr>
        <w:p w14:paraId="5487D42F" w14:textId="77777777" w:rsidR="00373548" w:rsidRPr="00612DA4" w:rsidRDefault="00373548" w:rsidP="00612DA4">
          <w:pPr>
            <w:widowControl w:val="0"/>
            <w:tabs>
              <w:tab w:val="center" w:pos="4320"/>
              <w:tab w:val="right" w:pos="8640"/>
            </w:tabs>
            <w:rPr>
              <w:sz w:val="17"/>
              <w:szCs w:val="17"/>
            </w:rPr>
          </w:pPr>
        </w:p>
      </w:tc>
    </w:tr>
  </w:tbl>
  <w:p w14:paraId="3A060CAD" w14:textId="77777777" w:rsidR="00373548" w:rsidRDefault="0037354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90" w:type="dxa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38"/>
      <w:gridCol w:w="9652"/>
    </w:tblGrid>
    <w:tr w:rsidR="00373548" w:rsidRPr="00612DA4" w14:paraId="307342F6" w14:textId="77777777" w:rsidTr="007432E0">
      <w:trPr>
        <w:trHeight w:hRule="exact" w:val="864"/>
      </w:trPr>
      <w:tc>
        <w:tcPr>
          <w:tcW w:w="4838" w:type="dxa"/>
          <w:tcBorders>
            <w:bottom w:val="single" w:sz="4" w:space="0" w:color="auto"/>
          </w:tcBorders>
          <w:vAlign w:val="bottom"/>
        </w:tcPr>
        <w:p w14:paraId="1A465C8C" w14:textId="77777777" w:rsidR="00373548" w:rsidRPr="00612DA4" w:rsidRDefault="00373548" w:rsidP="00612DA4">
          <w:pPr>
            <w:widowControl w:val="0"/>
            <w:tabs>
              <w:tab w:val="center" w:pos="4320"/>
              <w:tab w:val="right" w:pos="8640"/>
            </w:tabs>
            <w:spacing w:after="80"/>
            <w:rPr>
              <w:b/>
              <w:sz w:val="17"/>
              <w:szCs w:val="17"/>
            </w:rPr>
          </w:pPr>
        </w:p>
      </w:tc>
      <w:tc>
        <w:tcPr>
          <w:tcW w:w="9652" w:type="dxa"/>
          <w:tcBorders>
            <w:bottom w:val="single" w:sz="4" w:space="0" w:color="auto"/>
          </w:tcBorders>
          <w:vAlign w:val="bottom"/>
        </w:tcPr>
        <w:p w14:paraId="18592F2B" w14:textId="77777777" w:rsidR="00373548" w:rsidRPr="00612DA4" w:rsidRDefault="00373548" w:rsidP="00A66745">
          <w:pPr>
            <w:widowControl w:val="0"/>
            <w:tabs>
              <w:tab w:val="center" w:pos="4320"/>
              <w:tab w:val="right" w:pos="8640"/>
            </w:tabs>
            <w:jc w:val="right"/>
            <w:rPr>
              <w:sz w:val="17"/>
              <w:szCs w:val="17"/>
            </w:rPr>
          </w:pPr>
          <w:r>
            <w:rPr>
              <w:b/>
              <w:sz w:val="17"/>
              <w:szCs w:val="17"/>
            </w:rPr>
            <w:t>DP/DCP/U</w:t>
          </w:r>
          <w:r w:rsidRPr="00612DA4">
            <w:rPr>
              <w:b/>
              <w:sz w:val="17"/>
              <w:szCs w:val="17"/>
            </w:rPr>
            <w:t>K</w:t>
          </w:r>
          <w:r>
            <w:rPr>
              <w:b/>
              <w:sz w:val="17"/>
              <w:szCs w:val="17"/>
            </w:rPr>
            <w:t>R</w:t>
          </w:r>
          <w:r w:rsidRPr="00612DA4">
            <w:rPr>
              <w:b/>
              <w:sz w:val="17"/>
              <w:szCs w:val="17"/>
            </w:rPr>
            <w:t>/</w:t>
          </w:r>
          <w:r>
            <w:rPr>
              <w:b/>
              <w:sz w:val="17"/>
              <w:szCs w:val="17"/>
            </w:rPr>
            <w:t>3</w:t>
          </w:r>
        </w:p>
      </w:tc>
    </w:tr>
  </w:tbl>
  <w:p w14:paraId="50DCB600" w14:textId="77777777" w:rsidR="00373548" w:rsidRDefault="00373548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90" w:type="dxa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38"/>
      <w:gridCol w:w="9652"/>
    </w:tblGrid>
    <w:tr w:rsidR="00373548" w:rsidRPr="00A66745" w14:paraId="671ED2C9" w14:textId="77777777" w:rsidTr="00A66745">
      <w:trPr>
        <w:trHeight w:hRule="exact" w:val="864"/>
      </w:trPr>
      <w:tc>
        <w:tcPr>
          <w:tcW w:w="4838" w:type="dxa"/>
          <w:tcBorders>
            <w:bottom w:val="single" w:sz="4" w:space="0" w:color="auto"/>
          </w:tcBorders>
          <w:vAlign w:val="bottom"/>
        </w:tcPr>
        <w:p w14:paraId="060B9427" w14:textId="77777777" w:rsidR="00373548" w:rsidRPr="00A66745" w:rsidRDefault="00373548" w:rsidP="00A66745">
          <w:pPr>
            <w:widowControl w:val="0"/>
            <w:tabs>
              <w:tab w:val="center" w:pos="4320"/>
              <w:tab w:val="right" w:pos="8640"/>
            </w:tabs>
            <w:spacing w:after="80"/>
            <w:rPr>
              <w:b/>
              <w:sz w:val="17"/>
              <w:szCs w:val="17"/>
            </w:rPr>
          </w:pPr>
        </w:p>
      </w:tc>
      <w:tc>
        <w:tcPr>
          <w:tcW w:w="9652" w:type="dxa"/>
          <w:tcBorders>
            <w:bottom w:val="single" w:sz="4" w:space="0" w:color="auto"/>
          </w:tcBorders>
          <w:vAlign w:val="bottom"/>
        </w:tcPr>
        <w:p w14:paraId="053F43F5" w14:textId="53A840F0" w:rsidR="00373548" w:rsidRPr="00A66745" w:rsidRDefault="00373548" w:rsidP="00A66745">
          <w:pPr>
            <w:widowControl w:val="0"/>
            <w:tabs>
              <w:tab w:val="center" w:pos="4320"/>
              <w:tab w:val="right" w:pos="8640"/>
            </w:tabs>
            <w:jc w:val="right"/>
            <w:rPr>
              <w:sz w:val="17"/>
              <w:szCs w:val="17"/>
            </w:rPr>
          </w:pPr>
          <w:r w:rsidRPr="00A66745">
            <w:rPr>
              <w:b/>
              <w:sz w:val="17"/>
              <w:szCs w:val="17"/>
            </w:rPr>
            <w:t>DP/DCP/</w:t>
          </w:r>
          <w:r>
            <w:rPr>
              <w:b/>
              <w:sz w:val="17"/>
              <w:szCs w:val="17"/>
            </w:rPr>
            <w:t>U</w:t>
          </w:r>
          <w:r w:rsidRPr="00A66745">
            <w:rPr>
              <w:b/>
              <w:sz w:val="17"/>
              <w:szCs w:val="17"/>
            </w:rPr>
            <w:t>K</w:t>
          </w:r>
          <w:r>
            <w:rPr>
              <w:b/>
              <w:sz w:val="17"/>
              <w:szCs w:val="17"/>
            </w:rPr>
            <w:t>R</w:t>
          </w:r>
          <w:r w:rsidRPr="00A66745">
            <w:rPr>
              <w:b/>
              <w:sz w:val="17"/>
              <w:szCs w:val="17"/>
            </w:rPr>
            <w:t>/</w:t>
          </w:r>
          <w:r>
            <w:rPr>
              <w:b/>
              <w:sz w:val="17"/>
              <w:szCs w:val="17"/>
            </w:rPr>
            <w:t>3</w:t>
          </w:r>
        </w:p>
      </w:tc>
    </w:tr>
  </w:tbl>
  <w:p w14:paraId="6418A6CC" w14:textId="77777777" w:rsidR="00373548" w:rsidRDefault="003735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75E0F"/>
    <w:multiLevelType w:val="multilevel"/>
    <w:tmpl w:val="8620EF4A"/>
    <w:name w:val="TOC3"/>
    <w:lvl w:ilvl="0">
      <w:start w:val="1"/>
      <w:numFmt w:val="upperRoman"/>
      <w:lvlText w:val="%1."/>
      <w:lvlJc w:val="right"/>
      <w:pPr>
        <w:tabs>
          <w:tab w:val="num" w:pos="1296"/>
        </w:tabs>
        <w:ind w:left="1296" w:hanging="216"/>
      </w:pPr>
    </w:lvl>
    <w:lvl w:ilvl="1">
      <w:start w:val="1"/>
      <w:numFmt w:val="upperLetter"/>
      <w:lvlText w:val="%2."/>
      <w:lvlJc w:val="left"/>
      <w:pPr>
        <w:tabs>
          <w:tab w:val="num" w:pos="1728"/>
        </w:tabs>
        <w:ind w:left="1728" w:hanging="432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432"/>
      </w:pPr>
    </w:lvl>
    <w:lvl w:ilvl="3">
      <w:start w:val="1"/>
      <w:numFmt w:val="lowerLetter"/>
      <w:lvlText w:val="(%4)"/>
      <w:lvlJc w:val="left"/>
      <w:pPr>
        <w:tabs>
          <w:tab w:val="num" w:pos="2592"/>
        </w:tabs>
        <w:ind w:left="2592" w:hanging="432"/>
      </w:pPr>
    </w:lvl>
    <w:lvl w:ilvl="4">
      <w:start w:val="1"/>
      <w:numFmt w:val="lowerRoman"/>
      <w:lvlText w:val="(%5)"/>
      <w:lvlJc w:val="left"/>
      <w:pPr>
        <w:tabs>
          <w:tab w:val="num" w:pos="3024"/>
        </w:tabs>
        <w:ind w:left="3024" w:hanging="432"/>
      </w:pPr>
    </w:lvl>
    <w:lvl w:ilvl="5">
      <w:start w:val="1"/>
      <w:numFmt w:val="bullet"/>
      <w:lvlText w:val=""/>
      <w:lvlJc w:val="left"/>
      <w:pPr>
        <w:tabs>
          <w:tab w:val="num" w:pos="3456"/>
        </w:tabs>
        <w:ind w:left="3456" w:hanging="432"/>
      </w:pPr>
      <w:rPr>
        <w:rFonts w:ascii="Symbol" w:hAnsi="Symbol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ocumentProtection w:edit="comments" w:formatting="1" w:enforcement="0"/>
  <w:defaultTabStop w:val="720"/>
  <w:hyphenationZone w:val="425"/>
  <w:doNotHyphenateCaps/>
  <w:evenAndOddHeaders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numRestart w:val="eachSect"/>
    <w:footnote w:id="-1"/>
    <w:footnote w:id="0"/>
    <w:footnote w:id="1"/>
  </w:footnotePr>
  <w:endnotePr>
    <w:numFmt w:val="decimal"/>
    <w:numStart w:val="7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53B"/>
    <w:rsid w:val="00000BF5"/>
    <w:rsid w:val="00000CA2"/>
    <w:rsid w:val="00000E9A"/>
    <w:rsid w:val="00000FC3"/>
    <w:rsid w:val="000010B5"/>
    <w:rsid w:val="000027D2"/>
    <w:rsid w:val="00005E26"/>
    <w:rsid w:val="0001155C"/>
    <w:rsid w:val="0001163F"/>
    <w:rsid w:val="0001309E"/>
    <w:rsid w:val="000131BD"/>
    <w:rsid w:val="00015FDE"/>
    <w:rsid w:val="00016217"/>
    <w:rsid w:val="00016861"/>
    <w:rsid w:val="000200CF"/>
    <w:rsid w:val="000205F1"/>
    <w:rsid w:val="0002121E"/>
    <w:rsid w:val="00021631"/>
    <w:rsid w:val="00021AA6"/>
    <w:rsid w:val="00022047"/>
    <w:rsid w:val="00023531"/>
    <w:rsid w:val="00023E77"/>
    <w:rsid w:val="00024480"/>
    <w:rsid w:val="000256E4"/>
    <w:rsid w:val="0002591C"/>
    <w:rsid w:val="00027016"/>
    <w:rsid w:val="000274B9"/>
    <w:rsid w:val="0002758B"/>
    <w:rsid w:val="00027691"/>
    <w:rsid w:val="000276A0"/>
    <w:rsid w:val="00027B9E"/>
    <w:rsid w:val="00030BC4"/>
    <w:rsid w:val="000330DB"/>
    <w:rsid w:val="0003380E"/>
    <w:rsid w:val="00033866"/>
    <w:rsid w:val="000338C9"/>
    <w:rsid w:val="0003429F"/>
    <w:rsid w:val="0003562A"/>
    <w:rsid w:val="00035924"/>
    <w:rsid w:val="00036095"/>
    <w:rsid w:val="00036AF4"/>
    <w:rsid w:val="00041AE6"/>
    <w:rsid w:val="00041C10"/>
    <w:rsid w:val="00041FD3"/>
    <w:rsid w:val="00042357"/>
    <w:rsid w:val="00043804"/>
    <w:rsid w:val="00043D72"/>
    <w:rsid w:val="000441A1"/>
    <w:rsid w:val="000479F9"/>
    <w:rsid w:val="00050290"/>
    <w:rsid w:val="00050869"/>
    <w:rsid w:val="00050EA4"/>
    <w:rsid w:val="00052D14"/>
    <w:rsid w:val="00052E8C"/>
    <w:rsid w:val="00054BFE"/>
    <w:rsid w:val="000561C1"/>
    <w:rsid w:val="00056204"/>
    <w:rsid w:val="00056D18"/>
    <w:rsid w:val="000570D1"/>
    <w:rsid w:val="000571A9"/>
    <w:rsid w:val="00060196"/>
    <w:rsid w:val="00060290"/>
    <w:rsid w:val="00063E24"/>
    <w:rsid w:val="000643FA"/>
    <w:rsid w:val="000647D6"/>
    <w:rsid w:val="00072229"/>
    <w:rsid w:val="000723A3"/>
    <w:rsid w:val="00072B1F"/>
    <w:rsid w:val="00073CF1"/>
    <w:rsid w:val="00074BD0"/>
    <w:rsid w:val="00074D9A"/>
    <w:rsid w:val="00074DB9"/>
    <w:rsid w:val="000753C4"/>
    <w:rsid w:val="00075D31"/>
    <w:rsid w:val="00075DF0"/>
    <w:rsid w:val="000762CA"/>
    <w:rsid w:val="00077767"/>
    <w:rsid w:val="000803A4"/>
    <w:rsid w:val="000806E3"/>
    <w:rsid w:val="0008339E"/>
    <w:rsid w:val="00083E91"/>
    <w:rsid w:val="00090AD1"/>
    <w:rsid w:val="00090F4F"/>
    <w:rsid w:val="00091476"/>
    <w:rsid w:val="00092879"/>
    <w:rsid w:val="000935F4"/>
    <w:rsid w:val="00093953"/>
    <w:rsid w:val="0009455B"/>
    <w:rsid w:val="00094E87"/>
    <w:rsid w:val="00096EAD"/>
    <w:rsid w:val="00096FB1"/>
    <w:rsid w:val="00097DAB"/>
    <w:rsid w:val="00097EA8"/>
    <w:rsid w:val="00097FB2"/>
    <w:rsid w:val="000A151D"/>
    <w:rsid w:val="000A24C5"/>
    <w:rsid w:val="000A2E01"/>
    <w:rsid w:val="000A3F7F"/>
    <w:rsid w:val="000A5A0C"/>
    <w:rsid w:val="000A5BC3"/>
    <w:rsid w:val="000B315E"/>
    <w:rsid w:val="000B3A13"/>
    <w:rsid w:val="000B3B28"/>
    <w:rsid w:val="000B4BB2"/>
    <w:rsid w:val="000B4DEB"/>
    <w:rsid w:val="000B6379"/>
    <w:rsid w:val="000C1067"/>
    <w:rsid w:val="000C43F4"/>
    <w:rsid w:val="000C490C"/>
    <w:rsid w:val="000C5402"/>
    <w:rsid w:val="000C63CB"/>
    <w:rsid w:val="000C7346"/>
    <w:rsid w:val="000C76B0"/>
    <w:rsid w:val="000C788F"/>
    <w:rsid w:val="000C7BBE"/>
    <w:rsid w:val="000D03B9"/>
    <w:rsid w:val="000D2475"/>
    <w:rsid w:val="000D2702"/>
    <w:rsid w:val="000D3B19"/>
    <w:rsid w:val="000D442C"/>
    <w:rsid w:val="000D4DC4"/>
    <w:rsid w:val="000D560E"/>
    <w:rsid w:val="000D7BA3"/>
    <w:rsid w:val="000E368A"/>
    <w:rsid w:val="000E3FEF"/>
    <w:rsid w:val="000E612D"/>
    <w:rsid w:val="000E6AB1"/>
    <w:rsid w:val="000E745A"/>
    <w:rsid w:val="000E7E9E"/>
    <w:rsid w:val="000E7EF5"/>
    <w:rsid w:val="000F0044"/>
    <w:rsid w:val="000F2A2E"/>
    <w:rsid w:val="000F5720"/>
    <w:rsid w:val="000F703B"/>
    <w:rsid w:val="000F72ED"/>
    <w:rsid w:val="001002E0"/>
    <w:rsid w:val="0010484A"/>
    <w:rsid w:val="00106EF8"/>
    <w:rsid w:val="001101A2"/>
    <w:rsid w:val="00110270"/>
    <w:rsid w:val="00111050"/>
    <w:rsid w:val="00111489"/>
    <w:rsid w:val="00111797"/>
    <w:rsid w:val="00111B19"/>
    <w:rsid w:val="00112EA5"/>
    <w:rsid w:val="00113531"/>
    <w:rsid w:val="001140B0"/>
    <w:rsid w:val="00114A64"/>
    <w:rsid w:val="00115F59"/>
    <w:rsid w:val="00116C1A"/>
    <w:rsid w:val="001200C9"/>
    <w:rsid w:val="00121F3E"/>
    <w:rsid w:val="0012229E"/>
    <w:rsid w:val="00123849"/>
    <w:rsid w:val="0012395D"/>
    <w:rsid w:val="00123A5E"/>
    <w:rsid w:val="0012430C"/>
    <w:rsid w:val="00125010"/>
    <w:rsid w:val="00125266"/>
    <w:rsid w:val="00125AF7"/>
    <w:rsid w:val="00125B82"/>
    <w:rsid w:val="0012652C"/>
    <w:rsid w:val="00127679"/>
    <w:rsid w:val="001302DE"/>
    <w:rsid w:val="001305E6"/>
    <w:rsid w:val="001308AA"/>
    <w:rsid w:val="00131C30"/>
    <w:rsid w:val="0013239A"/>
    <w:rsid w:val="001326E8"/>
    <w:rsid w:val="001344B7"/>
    <w:rsid w:val="00135D7E"/>
    <w:rsid w:val="0013761A"/>
    <w:rsid w:val="00137D36"/>
    <w:rsid w:val="00137D64"/>
    <w:rsid w:val="0014423A"/>
    <w:rsid w:val="001449A4"/>
    <w:rsid w:val="00144E70"/>
    <w:rsid w:val="00145A98"/>
    <w:rsid w:val="001461BF"/>
    <w:rsid w:val="00146CA5"/>
    <w:rsid w:val="00147042"/>
    <w:rsid w:val="001470BC"/>
    <w:rsid w:val="001471A7"/>
    <w:rsid w:val="001506F6"/>
    <w:rsid w:val="001509F5"/>
    <w:rsid w:val="00151665"/>
    <w:rsid w:val="00152310"/>
    <w:rsid w:val="00154032"/>
    <w:rsid w:val="001547D3"/>
    <w:rsid w:val="001559BD"/>
    <w:rsid w:val="00157F79"/>
    <w:rsid w:val="001617DB"/>
    <w:rsid w:val="001629B7"/>
    <w:rsid w:val="00162A2F"/>
    <w:rsid w:val="00163E84"/>
    <w:rsid w:val="001646CB"/>
    <w:rsid w:val="00165F37"/>
    <w:rsid w:val="001668AA"/>
    <w:rsid w:val="001675B1"/>
    <w:rsid w:val="0016779E"/>
    <w:rsid w:val="0016789D"/>
    <w:rsid w:val="00167C87"/>
    <w:rsid w:val="00172EE3"/>
    <w:rsid w:val="0017405D"/>
    <w:rsid w:val="0017428A"/>
    <w:rsid w:val="00175A75"/>
    <w:rsid w:val="00177E7E"/>
    <w:rsid w:val="00177FE5"/>
    <w:rsid w:val="00180BA5"/>
    <w:rsid w:val="001816BA"/>
    <w:rsid w:val="0018285B"/>
    <w:rsid w:val="00182947"/>
    <w:rsid w:val="0018356F"/>
    <w:rsid w:val="00184109"/>
    <w:rsid w:val="00185013"/>
    <w:rsid w:val="001876C5"/>
    <w:rsid w:val="00187923"/>
    <w:rsid w:val="00187D68"/>
    <w:rsid w:val="00190155"/>
    <w:rsid w:val="001906B5"/>
    <w:rsid w:val="00192D5A"/>
    <w:rsid w:val="00194072"/>
    <w:rsid w:val="00194163"/>
    <w:rsid w:val="00194FEB"/>
    <w:rsid w:val="001970A4"/>
    <w:rsid w:val="00197AD1"/>
    <w:rsid w:val="001A0930"/>
    <w:rsid w:val="001A2078"/>
    <w:rsid w:val="001A30FE"/>
    <w:rsid w:val="001A656F"/>
    <w:rsid w:val="001A6FAD"/>
    <w:rsid w:val="001B0020"/>
    <w:rsid w:val="001B3F87"/>
    <w:rsid w:val="001B4026"/>
    <w:rsid w:val="001B598C"/>
    <w:rsid w:val="001B5E25"/>
    <w:rsid w:val="001B70E4"/>
    <w:rsid w:val="001B76A6"/>
    <w:rsid w:val="001C07F8"/>
    <w:rsid w:val="001C1147"/>
    <w:rsid w:val="001C1E53"/>
    <w:rsid w:val="001C233E"/>
    <w:rsid w:val="001C2F59"/>
    <w:rsid w:val="001C5306"/>
    <w:rsid w:val="001C6C08"/>
    <w:rsid w:val="001C6FAC"/>
    <w:rsid w:val="001D2056"/>
    <w:rsid w:val="001D20BF"/>
    <w:rsid w:val="001D3AAE"/>
    <w:rsid w:val="001D42D1"/>
    <w:rsid w:val="001D64E5"/>
    <w:rsid w:val="001D6D6A"/>
    <w:rsid w:val="001D6EB8"/>
    <w:rsid w:val="001E05A9"/>
    <w:rsid w:val="001E05EC"/>
    <w:rsid w:val="001E1E34"/>
    <w:rsid w:val="001E3CFF"/>
    <w:rsid w:val="001E4809"/>
    <w:rsid w:val="001E4F4F"/>
    <w:rsid w:val="001E5161"/>
    <w:rsid w:val="001E550D"/>
    <w:rsid w:val="001F1182"/>
    <w:rsid w:val="001F27F4"/>
    <w:rsid w:val="001F2AF8"/>
    <w:rsid w:val="001F3612"/>
    <w:rsid w:val="001F393E"/>
    <w:rsid w:val="001F3B73"/>
    <w:rsid w:val="001F3DC0"/>
    <w:rsid w:val="001F425B"/>
    <w:rsid w:val="001F4BC9"/>
    <w:rsid w:val="001F4C5A"/>
    <w:rsid w:val="001F4EA9"/>
    <w:rsid w:val="001F4F73"/>
    <w:rsid w:val="001F5CF6"/>
    <w:rsid w:val="001F6425"/>
    <w:rsid w:val="001F6772"/>
    <w:rsid w:val="001F7421"/>
    <w:rsid w:val="00200195"/>
    <w:rsid w:val="00200B5F"/>
    <w:rsid w:val="00201EEF"/>
    <w:rsid w:val="002021C8"/>
    <w:rsid w:val="0020363F"/>
    <w:rsid w:val="002047C8"/>
    <w:rsid w:val="0020520B"/>
    <w:rsid w:val="002052B3"/>
    <w:rsid w:val="002053A8"/>
    <w:rsid w:val="002053FC"/>
    <w:rsid w:val="002058F9"/>
    <w:rsid w:val="002066B6"/>
    <w:rsid w:val="00206E57"/>
    <w:rsid w:val="0021020D"/>
    <w:rsid w:val="002112E2"/>
    <w:rsid w:val="00211912"/>
    <w:rsid w:val="00212B1F"/>
    <w:rsid w:val="00213340"/>
    <w:rsid w:val="00213D7C"/>
    <w:rsid w:val="00214513"/>
    <w:rsid w:val="002155B7"/>
    <w:rsid w:val="0021766A"/>
    <w:rsid w:val="00217716"/>
    <w:rsid w:val="002225D3"/>
    <w:rsid w:val="00222A35"/>
    <w:rsid w:val="0022301D"/>
    <w:rsid w:val="00224708"/>
    <w:rsid w:val="00224B2C"/>
    <w:rsid w:val="00227E55"/>
    <w:rsid w:val="00231D41"/>
    <w:rsid w:val="00232AA0"/>
    <w:rsid w:val="002331CE"/>
    <w:rsid w:val="00233286"/>
    <w:rsid w:val="00234926"/>
    <w:rsid w:val="00234CDF"/>
    <w:rsid w:val="00235853"/>
    <w:rsid w:val="0023635A"/>
    <w:rsid w:val="0023675C"/>
    <w:rsid w:val="00236B91"/>
    <w:rsid w:val="0023740D"/>
    <w:rsid w:val="002378BA"/>
    <w:rsid w:val="002424C0"/>
    <w:rsid w:val="00242985"/>
    <w:rsid w:val="00242CAA"/>
    <w:rsid w:val="00243FD4"/>
    <w:rsid w:val="00244159"/>
    <w:rsid w:val="0024460F"/>
    <w:rsid w:val="00244D01"/>
    <w:rsid w:val="0024503B"/>
    <w:rsid w:val="00245D74"/>
    <w:rsid w:val="002462C4"/>
    <w:rsid w:val="00246D03"/>
    <w:rsid w:val="00246DDF"/>
    <w:rsid w:val="002473D9"/>
    <w:rsid w:val="00247D3F"/>
    <w:rsid w:val="00252BBE"/>
    <w:rsid w:val="00252CC9"/>
    <w:rsid w:val="00254D38"/>
    <w:rsid w:val="002573CC"/>
    <w:rsid w:val="00260FAA"/>
    <w:rsid w:val="00261CFD"/>
    <w:rsid w:val="00262168"/>
    <w:rsid w:val="00262338"/>
    <w:rsid w:val="00263938"/>
    <w:rsid w:val="002646D7"/>
    <w:rsid w:val="002671D7"/>
    <w:rsid w:val="002702DD"/>
    <w:rsid w:val="0027259C"/>
    <w:rsid w:val="00272DF4"/>
    <w:rsid w:val="00273543"/>
    <w:rsid w:val="0027443B"/>
    <w:rsid w:val="00274600"/>
    <w:rsid w:val="00274C3B"/>
    <w:rsid w:val="00274C82"/>
    <w:rsid w:val="00275840"/>
    <w:rsid w:val="00275D54"/>
    <w:rsid w:val="0027654D"/>
    <w:rsid w:val="002766CA"/>
    <w:rsid w:val="002810DF"/>
    <w:rsid w:val="002812AB"/>
    <w:rsid w:val="002816D8"/>
    <w:rsid w:val="0028291D"/>
    <w:rsid w:val="00282A8C"/>
    <w:rsid w:val="00282DB9"/>
    <w:rsid w:val="002834FB"/>
    <w:rsid w:val="002854EE"/>
    <w:rsid w:val="0028565C"/>
    <w:rsid w:val="002859DE"/>
    <w:rsid w:val="002875DE"/>
    <w:rsid w:val="00287AA5"/>
    <w:rsid w:val="00287E07"/>
    <w:rsid w:val="00290EB3"/>
    <w:rsid w:val="002924EA"/>
    <w:rsid w:val="00292648"/>
    <w:rsid w:val="00292846"/>
    <w:rsid w:val="00292A90"/>
    <w:rsid w:val="0029459D"/>
    <w:rsid w:val="0029468A"/>
    <w:rsid w:val="002953A5"/>
    <w:rsid w:val="002955EB"/>
    <w:rsid w:val="002971D6"/>
    <w:rsid w:val="002A1216"/>
    <w:rsid w:val="002A2F08"/>
    <w:rsid w:val="002A30F4"/>
    <w:rsid w:val="002A31D5"/>
    <w:rsid w:val="002A3641"/>
    <w:rsid w:val="002A478A"/>
    <w:rsid w:val="002A495F"/>
    <w:rsid w:val="002A5EDE"/>
    <w:rsid w:val="002A706F"/>
    <w:rsid w:val="002A70EA"/>
    <w:rsid w:val="002A7363"/>
    <w:rsid w:val="002A7F43"/>
    <w:rsid w:val="002B0088"/>
    <w:rsid w:val="002B046A"/>
    <w:rsid w:val="002B088F"/>
    <w:rsid w:val="002B365E"/>
    <w:rsid w:val="002B3C96"/>
    <w:rsid w:val="002B489A"/>
    <w:rsid w:val="002B62DF"/>
    <w:rsid w:val="002B6341"/>
    <w:rsid w:val="002B6C94"/>
    <w:rsid w:val="002B76FB"/>
    <w:rsid w:val="002C0526"/>
    <w:rsid w:val="002C0553"/>
    <w:rsid w:val="002C27A8"/>
    <w:rsid w:val="002C322A"/>
    <w:rsid w:val="002C333E"/>
    <w:rsid w:val="002C36C8"/>
    <w:rsid w:val="002C51A0"/>
    <w:rsid w:val="002C51E4"/>
    <w:rsid w:val="002C7971"/>
    <w:rsid w:val="002D0584"/>
    <w:rsid w:val="002D2B79"/>
    <w:rsid w:val="002D2E2A"/>
    <w:rsid w:val="002D2FA8"/>
    <w:rsid w:val="002D3C89"/>
    <w:rsid w:val="002D4274"/>
    <w:rsid w:val="002D456A"/>
    <w:rsid w:val="002D4C1B"/>
    <w:rsid w:val="002D50D9"/>
    <w:rsid w:val="002D5295"/>
    <w:rsid w:val="002D52BF"/>
    <w:rsid w:val="002D68FA"/>
    <w:rsid w:val="002D7ECA"/>
    <w:rsid w:val="002E0141"/>
    <w:rsid w:val="002E07BB"/>
    <w:rsid w:val="002E0B5D"/>
    <w:rsid w:val="002E0B76"/>
    <w:rsid w:val="002E1495"/>
    <w:rsid w:val="002E2466"/>
    <w:rsid w:val="002E2900"/>
    <w:rsid w:val="002E3C0D"/>
    <w:rsid w:val="002E3CF6"/>
    <w:rsid w:val="002E3D5D"/>
    <w:rsid w:val="002E43EC"/>
    <w:rsid w:val="002E5B3C"/>
    <w:rsid w:val="002E6726"/>
    <w:rsid w:val="002E7A79"/>
    <w:rsid w:val="002F0DDF"/>
    <w:rsid w:val="002F2C6E"/>
    <w:rsid w:val="002F3C88"/>
    <w:rsid w:val="002F4067"/>
    <w:rsid w:val="002F47EB"/>
    <w:rsid w:val="002F5A47"/>
    <w:rsid w:val="002F5B44"/>
    <w:rsid w:val="002F7339"/>
    <w:rsid w:val="002F7461"/>
    <w:rsid w:val="0030166E"/>
    <w:rsid w:val="00302435"/>
    <w:rsid w:val="003025E2"/>
    <w:rsid w:val="00302881"/>
    <w:rsid w:val="0030359C"/>
    <w:rsid w:val="00306D24"/>
    <w:rsid w:val="00307712"/>
    <w:rsid w:val="00307C6D"/>
    <w:rsid w:val="00312FB3"/>
    <w:rsid w:val="00313CAF"/>
    <w:rsid w:val="00313E3F"/>
    <w:rsid w:val="0031404A"/>
    <w:rsid w:val="00314A55"/>
    <w:rsid w:val="00314B7C"/>
    <w:rsid w:val="00314E49"/>
    <w:rsid w:val="00315445"/>
    <w:rsid w:val="00317183"/>
    <w:rsid w:val="003177F0"/>
    <w:rsid w:val="003204AE"/>
    <w:rsid w:val="003208EF"/>
    <w:rsid w:val="003232D4"/>
    <w:rsid w:val="00323579"/>
    <w:rsid w:val="00324846"/>
    <w:rsid w:val="00324ABD"/>
    <w:rsid w:val="00324D9B"/>
    <w:rsid w:val="00326AD6"/>
    <w:rsid w:val="003272A6"/>
    <w:rsid w:val="003273CB"/>
    <w:rsid w:val="00330795"/>
    <w:rsid w:val="0033125E"/>
    <w:rsid w:val="00332B1B"/>
    <w:rsid w:val="00332E48"/>
    <w:rsid w:val="0033325E"/>
    <w:rsid w:val="00333C8E"/>
    <w:rsid w:val="00334D01"/>
    <w:rsid w:val="003357F4"/>
    <w:rsid w:val="00335B14"/>
    <w:rsid w:val="00336913"/>
    <w:rsid w:val="0033718C"/>
    <w:rsid w:val="00337407"/>
    <w:rsid w:val="00337BB8"/>
    <w:rsid w:val="00340A46"/>
    <w:rsid w:val="00340D62"/>
    <w:rsid w:val="00340E02"/>
    <w:rsid w:val="00342AF3"/>
    <w:rsid w:val="00343C69"/>
    <w:rsid w:val="00343E6E"/>
    <w:rsid w:val="003450C8"/>
    <w:rsid w:val="00345BE4"/>
    <w:rsid w:val="00346DB7"/>
    <w:rsid w:val="0034782B"/>
    <w:rsid w:val="0034787F"/>
    <w:rsid w:val="00350071"/>
    <w:rsid w:val="0035166A"/>
    <w:rsid w:val="00351E5C"/>
    <w:rsid w:val="00352243"/>
    <w:rsid w:val="00352333"/>
    <w:rsid w:val="00354E7B"/>
    <w:rsid w:val="00354EC1"/>
    <w:rsid w:val="0035580F"/>
    <w:rsid w:val="003574D9"/>
    <w:rsid w:val="00357CB4"/>
    <w:rsid w:val="00360317"/>
    <w:rsid w:val="003604EE"/>
    <w:rsid w:val="00361FC8"/>
    <w:rsid w:val="0036286B"/>
    <w:rsid w:val="00363371"/>
    <w:rsid w:val="00363571"/>
    <w:rsid w:val="00364989"/>
    <w:rsid w:val="003663B4"/>
    <w:rsid w:val="003664C0"/>
    <w:rsid w:val="00366769"/>
    <w:rsid w:val="00367921"/>
    <w:rsid w:val="00367E04"/>
    <w:rsid w:val="00372FC0"/>
    <w:rsid w:val="00373548"/>
    <w:rsid w:val="00373E60"/>
    <w:rsid w:val="00374229"/>
    <w:rsid w:val="003761F2"/>
    <w:rsid w:val="0037677D"/>
    <w:rsid w:val="00376A05"/>
    <w:rsid w:val="00376BFB"/>
    <w:rsid w:val="00376EB8"/>
    <w:rsid w:val="003774FE"/>
    <w:rsid w:val="00380D55"/>
    <w:rsid w:val="00383E08"/>
    <w:rsid w:val="00383EDC"/>
    <w:rsid w:val="00383FCC"/>
    <w:rsid w:val="003879DB"/>
    <w:rsid w:val="00387C47"/>
    <w:rsid w:val="00390103"/>
    <w:rsid w:val="003903B8"/>
    <w:rsid w:val="00390E30"/>
    <w:rsid w:val="00391A5A"/>
    <w:rsid w:val="00393388"/>
    <w:rsid w:val="00393ABE"/>
    <w:rsid w:val="0039458D"/>
    <w:rsid w:val="00394D61"/>
    <w:rsid w:val="003A0EA2"/>
    <w:rsid w:val="003A17D5"/>
    <w:rsid w:val="003A1F5A"/>
    <w:rsid w:val="003A20C4"/>
    <w:rsid w:val="003A2ECE"/>
    <w:rsid w:val="003A4252"/>
    <w:rsid w:val="003A4501"/>
    <w:rsid w:val="003A4A8B"/>
    <w:rsid w:val="003A539A"/>
    <w:rsid w:val="003A62A4"/>
    <w:rsid w:val="003A7476"/>
    <w:rsid w:val="003A7D86"/>
    <w:rsid w:val="003B0AA1"/>
    <w:rsid w:val="003B125C"/>
    <w:rsid w:val="003B243D"/>
    <w:rsid w:val="003B304F"/>
    <w:rsid w:val="003B5D18"/>
    <w:rsid w:val="003B633D"/>
    <w:rsid w:val="003B643A"/>
    <w:rsid w:val="003B795D"/>
    <w:rsid w:val="003C0656"/>
    <w:rsid w:val="003C0DF5"/>
    <w:rsid w:val="003C2146"/>
    <w:rsid w:val="003C26A6"/>
    <w:rsid w:val="003C26C1"/>
    <w:rsid w:val="003C3D36"/>
    <w:rsid w:val="003C42BF"/>
    <w:rsid w:val="003C434F"/>
    <w:rsid w:val="003C5C11"/>
    <w:rsid w:val="003C699A"/>
    <w:rsid w:val="003C6A5A"/>
    <w:rsid w:val="003C6AAD"/>
    <w:rsid w:val="003D1635"/>
    <w:rsid w:val="003D1785"/>
    <w:rsid w:val="003D1C47"/>
    <w:rsid w:val="003D1D4D"/>
    <w:rsid w:val="003D37DD"/>
    <w:rsid w:val="003D45DF"/>
    <w:rsid w:val="003D47C6"/>
    <w:rsid w:val="003D5E3F"/>
    <w:rsid w:val="003D651C"/>
    <w:rsid w:val="003D75B6"/>
    <w:rsid w:val="003D7D9D"/>
    <w:rsid w:val="003D7E38"/>
    <w:rsid w:val="003D7EAC"/>
    <w:rsid w:val="003E1AFA"/>
    <w:rsid w:val="003E379A"/>
    <w:rsid w:val="003E52B0"/>
    <w:rsid w:val="003E587B"/>
    <w:rsid w:val="003E64DC"/>
    <w:rsid w:val="003E7A43"/>
    <w:rsid w:val="003F0094"/>
    <w:rsid w:val="003F0184"/>
    <w:rsid w:val="003F09FF"/>
    <w:rsid w:val="003F0B58"/>
    <w:rsid w:val="003F0D40"/>
    <w:rsid w:val="003F2236"/>
    <w:rsid w:val="003F273F"/>
    <w:rsid w:val="003F275D"/>
    <w:rsid w:val="003F27B7"/>
    <w:rsid w:val="003F287C"/>
    <w:rsid w:val="003F2E62"/>
    <w:rsid w:val="003F4051"/>
    <w:rsid w:val="003F4138"/>
    <w:rsid w:val="003F5812"/>
    <w:rsid w:val="003F6AA4"/>
    <w:rsid w:val="003F6EA1"/>
    <w:rsid w:val="003F78E9"/>
    <w:rsid w:val="00400E4A"/>
    <w:rsid w:val="00402397"/>
    <w:rsid w:val="00402E9A"/>
    <w:rsid w:val="00403FA8"/>
    <w:rsid w:val="00404040"/>
    <w:rsid w:val="00404213"/>
    <w:rsid w:val="00404612"/>
    <w:rsid w:val="004048AC"/>
    <w:rsid w:val="00404B8E"/>
    <w:rsid w:val="00405C6C"/>
    <w:rsid w:val="004068C2"/>
    <w:rsid w:val="0040696C"/>
    <w:rsid w:val="0041050F"/>
    <w:rsid w:val="0041224E"/>
    <w:rsid w:val="00412EBE"/>
    <w:rsid w:val="00415E7F"/>
    <w:rsid w:val="004179A7"/>
    <w:rsid w:val="00420288"/>
    <w:rsid w:val="00421C78"/>
    <w:rsid w:val="004224CE"/>
    <w:rsid w:val="00424A78"/>
    <w:rsid w:val="00424F27"/>
    <w:rsid w:val="004254DB"/>
    <w:rsid w:val="004262E3"/>
    <w:rsid w:val="00427EEA"/>
    <w:rsid w:val="004305D1"/>
    <w:rsid w:val="0043106B"/>
    <w:rsid w:val="00431836"/>
    <w:rsid w:val="004321B0"/>
    <w:rsid w:val="004321E6"/>
    <w:rsid w:val="0043278E"/>
    <w:rsid w:val="00433681"/>
    <w:rsid w:val="00433B87"/>
    <w:rsid w:val="004341B6"/>
    <w:rsid w:val="004360AC"/>
    <w:rsid w:val="00436B83"/>
    <w:rsid w:val="004379DD"/>
    <w:rsid w:val="00437A1C"/>
    <w:rsid w:val="004408D8"/>
    <w:rsid w:val="00441061"/>
    <w:rsid w:val="0044285C"/>
    <w:rsid w:val="00443132"/>
    <w:rsid w:val="00443A54"/>
    <w:rsid w:val="00444CCE"/>
    <w:rsid w:val="004467CB"/>
    <w:rsid w:val="00450C70"/>
    <w:rsid w:val="00453011"/>
    <w:rsid w:val="00453344"/>
    <w:rsid w:val="00453DAE"/>
    <w:rsid w:val="00454E76"/>
    <w:rsid w:val="00455055"/>
    <w:rsid w:val="00456F59"/>
    <w:rsid w:val="00457080"/>
    <w:rsid w:val="004574C3"/>
    <w:rsid w:val="00460891"/>
    <w:rsid w:val="00463D45"/>
    <w:rsid w:val="00464FB2"/>
    <w:rsid w:val="0046527D"/>
    <w:rsid w:val="004653B2"/>
    <w:rsid w:val="0046654B"/>
    <w:rsid w:val="00466CDC"/>
    <w:rsid w:val="00466F3C"/>
    <w:rsid w:val="0046745E"/>
    <w:rsid w:val="00471589"/>
    <w:rsid w:val="004726CF"/>
    <w:rsid w:val="004736BE"/>
    <w:rsid w:val="00474347"/>
    <w:rsid w:val="0047556D"/>
    <w:rsid w:val="00475789"/>
    <w:rsid w:val="00476170"/>
    <w:rsid w:val="00476F16"/>
    <w:rsid w:val="00477C77"/>
    <w:rsid w:val="00480B93"/>
    <w:rsid w:val="00481616"/>
    <w:rsid w:val="004820B0"/>
    <w:rsid w:val="00482E2F"/>
    <w:rsid w:val="00483141"/>
    <w:rsid w:val="004859B4"/>
    <w:rsid w:val="00486601"/>
    <w:rsid w:val="00486ACD"/>
    <w:rsid w:val="00490982"/>
    <w:rsid w:val="00492C65"/>
    <w:rsid w:val="00492F6D"/>
    <w:rsid w:val="00493F4C"/>
    <w:rsid w:val="0049403F"/>
    <w:rsid w:val="00494323"/>
    <w:rsid w:val="00494349"/>
    <w:rsid w:val="00494485"/>
    <w:rsid w:val="0049703F"/>
    <w:rsid w:val="004A0D0C"/>
    <w:rsid w:val="004A0F27"/>
    <w:rsid w:val="004A0F37"/>
    <w:rsid w:val="004A0F68"/>
    <w:rsid w:val="004A3608"/>
    <w:rsid w:val="004A4FBD"/>
    <w:rsid w:val="004A710A"/>
    <w:rsid w:val="004A7719"/>
    <w:rsid w:val="004A7810"/>
    <w:rsid w:val="004A7814"/>
    <w:rsid w:val="004A7E93"/>
    <w:rsid w:val="004A7F9D"/>
    <w:rsid w:val="004B050B"/>
    <w:rsid w:val="004B3CFB"/>
    <w:rsid w:val="004B4F41"/>
    <w:rsid w:val="004B5D6B"/>
    <w:rsid w:val="004B76F8"/>
    <w:rsid w:val="004C0086"/>
    <w:rsid w:val="004C15EB"/>
    <w:rsid w:val="004C1FA6"/>
    <w:rsid w:val="004C2F88"/>
    <w:rsid w:val="004C39FC"/>
    <w:rsid w:val="004C5CFD"/>
    <w:rsid w:val="004C6471"/>
    <w:rsid w:val="004D12C0"/>
    <w:rsid w:val="004D17A3"/>
    <w:rsid w:val="004D18EA"/>
    <w:rsid w:val="004D3713"/>
    <w:rsid w:val="004D4834"/>
    <w:rsid w:val="004D5D51"/>
    <w:rsid w:val="004D6254"/>
    <w:rsid w:val="004D70FD"/>
    <w:rsid w:val="004D7274"/>
    <w:rsid w:val="004D7E99"/>
    <w:rsid w:val="004E00CE"/>
    <w:rsid w:val="004E0DA8"/>
    <w:rsid w:val="004E1662"/>
    <w:rsid w:val="004E18AA"/>
    <w:rsid w:val="004E29A7"/>
    <w:rsid w:val="004E2BDB"/>
    <w:rsid w:val="004E635F"/>
    <w:rsid w:val="004E7BEE"/>
    <w:rsid w:val="004F0FC9"/>
    <w:rsid w:val="004F2883"/>
    <w:rsid w:val="004F3C52"/>
    <w:rsid w:val="004F44C5"/>
    <w:rsid w:val="004F50AF"/>
    <w:rsid w:val="004F681D"/>
    <w:rsid w:val="004F6E14"/>
    <w:rsid w:val="00501A06"/>
    <w:rsid w:val="0050228C"/>
    <w:rsid w:val="005024C2"/>
    <w:rsid w:val="00502857"/>
    <w:rsid w:val="00503FE6"/>
    <w:rsid w:val="005040FE"/>
    <w:rsid w:val="005044A9"/>
    <w:rsid w:val="00505994"/>
    <w:rsid w:val="00505FD4"/>
    <w:rsid w:val="00506E25"/>
    <w:rsid w:val="00507CC7"/>
    <w:rsid w:val="0051132C"/>
    <w:rsid w:val="00513483"/>
    <w:rsid w:val="00514A55"/>
    <w:rsid w:val="00514EF5"/>
    <w:rsid w:val="00515DD4"/>
    <w:rsid w:val="00516B7F"/>
    <w:rsid w:val="005173D6"/>
    <w:rsid w:val="0051782D"/>
    <w:rsid w:val="0052087E"/>
    <w:rsid w:val="00520A27"/>
    <w:rsid w:val="00520C7C"/>
    <w:rsid w:val="00521281"/>
    <w:rsid w:val="0052315E"/>
    <w:rsid w:val="00524A44"/>
    <w:rsid w:val="00525396"/>
    <w:rsid w:val="00530ED3"/>
    <w:rsid w:val="0053438E"/>
    <w:rsid w:val="005355EE"/>
    <w:rsid w:val="00535B16"/>
    <w:rsid w:val="005366D0"/>
    <w:rsid w:val="00536CF3"/>
    <w:rsid w:val="005370E1"/>
    <w:rsid w:val="0053720E"/>
    <w:rsid w:val="005375C1"/>
    <w:rsid w:val="00537E27"/>
    <w:rsid w:val="00537E45"/>
    <w:rsid w:val="00540B37"/>
    <w:rsid w:val="00540B4D"/>
    <w:rsid w:val="00540FFA"/>
    <w:rsid w:val="0054240E"/>
    <w:rsid w:val="00542930"/>
    <w:rsid w:val="00542EE3"/>
    <w:rsid w:val="005435B3"/>
    <w:rsid w:val="005436D5"/>
    <w:rsid w:val="00543CA0"/>
    <w:rsid w:val="00544661"/>
    <w:rsid w:val="00544DDD"/>
    <w:rsid w:val="0054765B"/>
    <w:rsid w:val="00550849"/>
    <w:rsid w:val="00550866"/>
    <w:rsid w:val="00552B37"/>
    <w:rsid w:val="005534C8"/>
    <w:rsid w:val="00554BF3"/>
    <w:rsid w:val="0055655F"/>
    <w:rsid w:val="0055657D"/>
    <w:rsid w:val="00560D0D"/>
    <w:rsid w:val="005618E6"/>
    <w:rsid w:val="0056224D"/>
    <w:rsid w:val="00562C62"/>
    <w:rsid w:val="00565455"/>
    <w:rsid w:val="00565643"/>
    <w:rsid w:val="00565FB1"/>
    <w:rsid w:val="005662FB"/>
    <w:rsid w:val="00566415"/>
    <w:rsid w:val="00567781"/>
    <w:rsid w:val="005679CC"/>
    <w:rsid w:val="00567ECC"/>
    <w:rsid w:val="005713B1"/>
    <w:rsid w:val="00574E7F"/>
    <w:rsid w:val="0057575B"/>
    <w:rsid w:val="00575ACB"/>
    <w:rsid w:val="005775D8"/>
    <w:rsid w:val="005805DF"/>
    <w:rsid w:val="00583090"/>
    <w:rsid w:val="005835F4"/>
    <w:rsid w:val="00583891"/>
    <w:rsid w:val="00583EFE"/>
    <w:rsid w:val="00584076"/>
    <w:rsid w:val="005841A3"/>
    <w:rsid w:val="00590195"/>
    <w:rsid w:val="005903B7"/>
    <w:rsid w:val="00590E07"/>
    <w:rsid w:val="00590EAE"/>
    <w:rsid w:val="0059112A"/>
    <w:rsid w:val="00593216"/>
    <w:rsid w:val="005938C8"/>
    <w:rsid w:val="00594766"/>
    <w:rsid w:val="00594BC3"/>
    <w:rsid w:val="005961F3"/>
    <w:rsid w:val="00596CA7"/>
    <w:rsid w:val="00596DC8"/>
    <w:rsid w:val="00596E16"/>
    <w:rsid w:val="005A0A33"/>
    <w:rsid w:val="005A16A3"/>
    <w:rsid w:val="005A19DD"/>
    <w:rsid w:val="005A1C48"/>
    <w:rsid w:val="005A253A"/>
    <w:rsid w:val="005A2914"/>
    <w:rsid w:val="005A2BCD"/>
    <w:rsid w:val="005A64BF"/>
    <w:rsid w:val="005A77D9"/>
    <w:rsid w:val="005A7896"/>
    <w:rsid w:val="005B09F9"/>
    <w:rsid w:val="005B29A0"/>
    <w:rsid w:val="005B2ABD"/>
    <w:rsid w:val="005B4421"/>
    <w:rsid w:val="005B5775"/>
    <w:rsid w:val="005B6DCB"/>
    <w:rsid w:val="005B7929"/>
    <w:rsid w:val="005B7F9E"/>
    <w:rsid w:val="005C0B39"/>
    <w:rsid w:val="005C147F"/>
    <w:rsid w:val="005C23AF"/>
    <w:rsid w:val="005C25D1"/>
    <w:rsid w:val="005C2890"/>
    <w:rsid w:val="005C35A9"/>
    <w:rsid w:val="005C3BD7"/>
    <w:rsid w:val="005C438B"/>
    <w:rsid w:val="005C464B"/>
    <w:rsid w:val="005C4E5F"/>
    <w:rsid w:val="005C726D"/>
    <w:rsid w:val="005C74A0"/>
    <w:rsid w:val="005D052C"/>
    <w:rsid w:val="005D16FE"/>
    <w:rsid w:val="005D3E20"/>
    <w:rsid w:val="005D4084"/>
    <w:rsid w:val="005D4777"/>
    <w:rsid w:val="005D4C2B"/>
    <w:rsid w:val="005D60C4"/>
    <w:rsid w:val="005D7903"/>
    <w:rsid w:val="005E2004"/>
    <w:rsid w:val="005E2B4C"/>
    <w:rsid w:val="005E4751"/>
    <w:rsid w:val="005E6B93"/>
    <w:rsid w:val="005E6E88"/>
    <w:rsid w:val="005E7953"/>
    <w:rsid w:val="005E7E82"/>
    <w:rsid w:val="005F0E21"/>
    <w:rsid w:val="005F2C42"/>
    <w:rsid w:val="005F2EA4"/>
    <w:rsid w:val="005F5C00"/>
    <w:rsid w:val="005F6C28"/>
    <w:rsid w:val="005F7AB6"/>
    <w:rsid w:val="005F7E3C"/>
    <w:rsid w:val="00600FA8"/>
    <w:rsid w:val="00602316"/>
    <w:rsid w:val="006052D9"/>
    <w:rsid w:val="006063DA"/>
    <w:rsid w:val="00606CE3"/>
    <w:rsid w:val="00607083"/>
    <w:rsid w:val="00611DD3"/>
    <w:rsid w:val="00611EF0"/>
    <w:rsid w:val="00611F63"/>
    <w:rsid w:val="00612219"/>
    <w:rsid w:val="00612DA4"/>
    <w:rsid w:val="00612E04"/>
    <w:rsid w:val="0061498C"/>
    <w:rsid w:val="00616E8E"/>
    <w:rsid w:val="006173A4"/>
    <w:rsid w:val="00617C44"/>
    <w:rsid w:val="006227A5"/>
    <w:rsid w:val="00622CE4"/>
    <w:rsid w:val="006231E6"/>
    <w:rsid w:val="006234A7"/>
    <w:rsid w:val="006242DB"/>
    <w:rsid w:val="0062503B"/>
    <w:rsid w:val="00625917"/>
    <w:rsid w:val="006267F7"/>
    <w:rsid w:val="0062789F"/>
    <w:rsid w:val="00627B8D"/>
    <w:rsid w:val="006301BE"/>
    <w:rsid w:val="006306B9"/>
    <w:rsid w:val="0063096E"/>
    <w:rsid w:val="00631170"/>
    <w:rsid w:val="00633349"/>
    <w:rsid w:val="006334ED"/>
    <w:rsid w:val="00633591"/>
    <w:rsid w:val="00633D61"/>
    <w:rsid w:val="0063402B"/>
    <w:rsid w:val="00636570"/>
    <w:rsid w:val="00636826"/>
    <w:rsid w:val="0063692E"/>
    <w:rsid w:val="00637859"/>
    <w:rsid w:val="00637901"/>
    <w:rsid w:val="00637E1B"/>
    <w:rsid w:val="00637E7C"/>
    <w:rsid w:val="006402DF"/>
    <w:rsid w:val="0064164B"/>
    <w:rsid w:val="00644468"/>
    <w:rsid w:val="00644DD0"/>
    <w:rsid w:val="00645F5E"/>
    <w:rsid w:val="00647B1E"/>
    <w:rsid w:val="00647C55"/>
    <w:rsid w:val="0065008B"/>
    <w:rsid w:val="00651F4B"/>
    <w:rsid w:val="00652267"/>
    <w:rsid w:val="00653A3B"/>
    <w:rsid w:val="00653FD9"/>
    <w:rsid w:val="006541F2"/>
    <w:rsid w:val="00654D42"/>
    <w:rsid w:val="006556F2"/>
    <w:rsid w:val="00656328"/>
    <w:rsid w:val="00660279"/>
    <w:rsid w:val="00660D11"/>
    <w:rsid w:val="006622B9"/>
    <w:rsid w:val="00662381"/>
    <w:rsid w:val="00662E1E"/>
    <w:rsid w:val="0066371E"/>
    <w:rsid w:val="00663D6C"/>
    <w:rsid w:val="00665CF1"/>
    <w:rsid w:val="006668A8"/>
    <w:rsid w:val="00670033"/>
    <w:rsid w:val="00671AE8"/>
    <w:rsid w:val="006724AD"/>
    <w:rsid w:val="00672B2A"/>
    <w:rsid w:val="00672BAB"/>
    <w:rsid w:val="0067314A"/>
    <w:rsid w:val="00673ABA"/>
    <w:rsid w:val="00673C17"/>
    <w:rsid w:val="00673D1E"/>
    <w:rsid w:val="006752A7"/>
    <w:rsid w:val="0067592F"/>
    <w:rsid w:val="006779CF"/>
    <w:rsid w:val="00677A8F"/>
    <w:rsid w:val="00677D5D"/>
    <w:rsid w:val="00677D63"/>
    <w:rsid w:val="00677DC1"/>
    <w:rsid w:val="00677F8A"/>
    <w:rsid w:val="006806F1"/>
    <w:rsid w:val="006821E3"/>
    <w:rsid w:val="00683AD6"/>
    <w:rsid w:val="006842AE"/>
    <w:rsid w:val="0069097D"/>
    <w:rsid w:val="00691C41"/>
    <w:rsid w:val="00694C68"/>
    <w:rsid w:val="0069674A"/>
    <w:rsid w:val="006A06A7"/>
    <w:rsid w:val="006A2FD8"/>
    <w:rsid w:val="006A4747"/>
    <w:rsid w:val="006A506C"/>
    <w:rsid w:val="006A5773"/>
    <w:rsid w:val="006A5804"/>
    <w:rsid w:val="006A58F0"/>
    <w:rsid w:val="006A6E79"/>
    <w:rsid w:val="006B0372"/>
    <w:rsid w:val="006B0764"/>
    <w:rsid w:val="006B081C"/>
    <w:rsid w:val="006B286A"/>
    <w:rsid w:val="006B2A79"/>
    <w:rsid w:val="006B35D3"/>
    <w:rsid w:val="006B3C2E"/>
    <w:rsid w:val="006B4467"/>
    <w:rsid w:val="006B64C4"/>
    <w:rsid w:val="006B6C46"/>
    <w:rsid w:val="006B6E78"/>
    <w:rsid w:val="006C0039"/>
    <w:rsid w:val="006C16A2"/>
    <w:rsid w:val="006C1927"/>
    <w:rsid w:val="006C2585"/>
    <w:rsid w:val="006C36B6"/>
    <w:rsid w:val="006C4008"/>
    <w:rsid w:val="006C4CC2"/>
    <w:rsid w:val="006C5931"/>
    <w:rsid w:val="006C73EF"/>
    <w:rsid w:val="006C7B8E"/>
    <w:rsid w:val="006D10BC"/>
    <w:rsid w:val="006D1723"/>
    <w:rsid w:val="006D32C0"/>
    <w:rsid w:val="006D5D3F"/>
    <w:rsid w:val="006D60ED"/>
    <w:rsid w:val="006D6145"/>
    <w:rsid w:val="006D71CB"/>
    <w:rsid w:val="006E1166"/>
    <w:rsid w:val="006E2CA5"/>
    <w:rsid w:val="006E31C7"/>
    <w:rsid w:val="006E44C1"/>
    <w:rsid w:val="006E596E"/>
    <w:rsid w:val="006E65E0"/>
    <w:rsid w:val="006F0144"/>
    <w:rsid w:val="006F033F"/>
    <w:rsid w:val="006F05B0"/>
    <w:rsid w:val="006F0954"/>
    <w:rsid w:val="006F24D8"/>
    <w:rsid w:val="006F33B8"/>
    <w:rsid w:val="006F4C9C"/>
    <w:rsid w:val="006F640F"/>
    <w:rsid w:val="006F7307"/>
    <w:rsid w:val="006F762A"/>
    <w:rsid w:val="00701326"/>
    <w:rsid w:val="00701B6B"/>
    <w:rsid w:val="0070273E"/>
    <w:rsid w:val="00703469"/>
    <w:rsid w:val="0070384F"/>
    <w:rsid w:val="00703A9E"/>
    <w:rsid w:val="00703D6D"/>
    <w:rsid w:val="00704095"/>
    <w:rsid w:val="00704152"/>
    <w:rsid w:val="00704FB5"/>
    <w:rsid w:val="00705889"/>
    <w:rsid w:val="00705E12"/>
    <w:rsid w:val="00706716"/>
    <w:rsid w:val="00706B71"/>
    <w:rsid w:val="0070748A"/>
    <w:rsid w:val="0071022A"/>
    <w:rsid w:val="0071271A"/>
    <w:rsid w:val="0071277A"/>
    <w:rsid w:val="00712EE5"/>
    <w:rsid w:val="0071345B"/>
    <w:rsid w:val="00713493"/>
    <w:rsid w:val="00713494"/>
    <w:rsid w:val="00713976"/>
    <w:rsid w:val="00714031"/>
    <w:rsid w:val="0071466E"/>
    <w:rsid w:val="00714A6C"/>
    <w:rsid w:val="00714CD3"/>
    <w:rsid w:val="00714F1A"/>
    <w:rsid w:val="00715EC4"/>
    <w:rsid w:val="00716B00"/>
    <w:rsid w:val="00716F5C"/>
    <w:rsid w:val="00717281"/>
    <w:rsid w:val="007179BA"/>
    <w:rsid w:val="007206A8"/>
    <w:rsid w:val="0072116D"/>
    <w:rsid w:val="00721278"/>
    <w:rsid w:val="0072183D"/>
    <w:rsid w:val="00721AC5"/>
    <w:rsid w:val="00721B78"/>
    <w:rsid w:val="0072226F"/>
    <w:rsid w:val="0072252C"/>
    <w:rsid w:val="00725B78"/>
    <w:rsid w:val="00727082"/>
    <w:rsid w:val="00730238"/>
    <w:rsid w:val="0073089F"/>
    <w:rsid w:val="0073233C"/>
    <w:rsid w:val="00732BEF"/>
    <w:rsid w:val="00732D0C"/>
    <w:rsid w:val="00733BF8"/>
    <w:rsid w:val="00733EAD"/>
    <w:rsid w:val="00734F54"/>
    <w:rsid w:val="00734F90"/>
    <w:rsid w:val="00735518"/>
    <w:rsid w:val="007361F8"/>
    <w:rsid w:val="00737738"/>
    <w:rsid w:val="00737C04"/>
    <w:rsid w:val="00737F64"/>
    <w:rsid w:val="00740395"/>
    <w:rsid w:val="00741335"/>
    <w:rsid w:val="0074282B"/>
    <w:rsid w:val="0074309B"/>
    <w:rsid w:val="00743178"/>
    <w:rsid w:val="007432E0"/>
    <w:rsid w:val="00744110"/>
    <w:rsid w:val="00744595"/>
    <w:rsid w:val="00746CFC"/>
    <w:rsid w:val="00747A52"/>
    <w:rsid w:val="00750F1E"/>
    <w:rsid w:val="00751620"/>
    <w:rsid w:val="00751C12"/>
    <w:rsid w:val="00752691"/>
    <w:rsid w:val="007528F2"/>
    <w:rsid w:val="00755EF2"/>
    <w:rsid w:val="00757283"/>
    <w:rsid w:val="007575C4"/>
    <w:rsid w:val="00757BC4"/>
    <w:rsid w:val="00762007"/>
    <w:rsid w:val="00762A1B"/>
    <w:rsid w:val="00762EF5"/>
    <w:rsid w:val="00763700"/>
    <w:rsid w:val="0076427C"/>
    <w:rsid w:val="00765217"/>
    <w:rsid w:val="007659AA"/>
    <w:rsid w:val="00765CCB"/>
    <w:rsid w:val="00765F42"/>
    <w:rsid w:val="00766334"/>
    <w:rsid w:val="0076762F"/>
    <w:rsid w:val="00770900"/>
    <w:rsid w:val="00770C13"/>
    <w:rsid w:val="00771374"/>
    <w:rsid w:val="007725E5"/>
    <w:rsid w:val="0077266C"/>
    <w:rsid w:val="00772802"/>
    <w:rsid w:val="007730E1"/>
    <w:rsid w:val="00773622"/>
    <w:rsid w:val="00773CD6"/>
    <w:rsid w:val="00775066"/>
    <w:rsid w:val="007751F0"/>
    <w:rsid w:val="00776406"/>
    <w:rsid w:val="00777C58"/>
    <w:rsid w:val="0078005A"/>
    <w:rsid w:val="00781B6F"/>
    <w:rsid w:val="00781F9C"/>
    <w:rsid w:val="00782DFD"/>
    <w:rsid w:val="00784424"/>
    <w:rsid w:val="00785474"/>
    <w:rsid w:val="007868BB"/>
    <w:rsid w:val="00787B99"/>
    <w:rsid w:val="007925B6"/>
    <w:rsid w:val="0079421C"/>
    <w:rsid w:val="0079526D"/>
    <w:rsid w:val="007953C3"/>
    <w:rsid w:val="00795A2C"/>
    <w:rsid w:val="007962CE"/>
    <w:rsid w:val="00797328"/>
    <w:rsid w:val="00797390"/>
    <w:rsid w:val="007A05B6"/>
    <w:rsid w:val="007A1C0A"/>
    <w:rsid w:val="007A1C59"/>
    <w:rsid w:val="007A30DF"/>
    <w:rsid w:val="007A4234"/>
    <w:rsid w:val="007A5125"/>
    <w:rsid w:val="007A5B41"/>
    <w:rsid w:val="007A71FA"/>
    <w:rsid w:val="007A76F4"/>
    <w:rsid w:val="007B11DA"/>
    <w:rsid w:val="007B127D"/>
    <w:rsid w:val="007B267A"/>
    <w:rsid w:val="007B2850"/>
    <w:rsid w:val="007B5792"/>
    <w:rsid w:val="007C09AE"/>
    <w:rsid w:val="007C2A82"/>
    <w:rsid w:val="007C31E2"/>
    <w:rsid w:val="007C5CE1"/>
    <w:rsid w:val="007C6F85"/>
    <w:rsid w:val="007D0569"/>
    <w:rsid w:val="007D16B1"/>
    <w:rsid w:val="007D19E4"/>
    <w:rsid w:val="007D3307"/>
    <w:rsid w:val="007D357F"/>
    <w:rsid w:val="007D7400"/>
    <w:rsid w:val="007D7761"/>
    <w:rsid w:val="007D79FF"/>
    <w:rsid w:val="007E02A7"/>
    <w:rsid w:val="007E08B6"/>
    <w:rsid w:val="007E1DE8"/>
    <w:rsid w:val="007E3F70"/>
    <w:rsid w:val="007E468A"/>
    <w:rsid w:val="007E51A5"/>
    <w:rsid w:val="007E5AA2"/>
    <w:rsid w:val="007E68DF"/>
    <w:rsid w:val="007E7F4C"/>
    <w:rsid w:val="007F051B"/>
    <w:rsid w:val="007F188E"/>
    <w:rsid w:val="007F2EC6"/>
    <w:rsid w:val="007F3018"/>
    <w:rsid w:val="007F367E"/>
    <w:rsid w:val="007F494C"/>
    <w:rsid w:val="007F6862"/>
    <w:rsid w:val="008005B6"/>
    <w:rsid w:val="008013FC"/>
    <w:rsid w:val="00801C9A"/>
    <w:rsid w:val="00802102"/>
    <w:rsid w:val="00804228"/>
    <w:rsid w:val="00804A1F"/>
    <w:rsid w:val="00804B17"/>
    <w:rsid w:val="008060C3"/>
    <w:rsid w:val="008063A1"/>
    <w:rsid w:val="00807F00"/>
    <w:rsid w:val="00810C35"/>
    <w:rsid w:val="00810E2D"/>
    <w:rsid w:val="00810FD2"/>
    <w:rsid w:val="00812095"/>
    <w:rsid w:val="008134BD"/>
    <w:rsid w:val="00814656"/>
    <w:rsid w:val="00814CFC"/>
    <w:rsid w:val="00817C50"/>
    <w:rsid w:val="00820305"/>
    <w:rsid w:val="00820E45"/>
    <w:rsid w:val="0082173D"/>
    <w:rsid w:val="00821E2C"/>
    <w:rsid w:val="0082256A"/>
    <w:rsid w:val="00822835"/>
    <w:rsid w:val="00822C72"/>
    <w:rsid w:val="00826758"/>
    <w:rsid w:val="00827736"/>
    <w:rsid w:val="008309FA"/>
    <w:rsid w:val="00831C8C"/>
    <w:rsid w:val="00833FB2"/>
    <w:rsid w:val="00834D1C"/>
    <w:rsid w:val="008353E0"/>
    <w:rsid w:val="008365F0"/>
    <w:rsid w:val="008366BD"/>
    <w:rsid w:val="00841534"/>
    <w:rsid w:val="00842CFA"/>
    <w:rsid w:val="008462F1"/>
    <w:rsid w:val="00846899"/>
    <w:rsid w:val="00846930"/>
    <w:rsid w:val="00846FCF"/>
    <w:rsid w:val="008473A6"/>
    <w:rsid w:val="008479EC"/>
    <w:rsid w:val="008508CA"/>
    <w:rsid w:val="00850934"/>
    <w:rsid w:val="008509BC"/>
    <w:rsid w:val="00850FDE"/>
    <w:rsid w:val="008510DF"/>
    <w:rsid w:val="00851752"/>
    <w:rsid w:val="00852876"/>
    <w:rsid w:val="008530FE"/>
    <w:rsid w:val="008543F5"/>
    <w:rsid w:val="00854EF0"/>
    <w:rsid w:val="00855004"/>
    <w:rsid w:val="008572C4"/>
    <w:rsid w:val="0085733E"/>
    <w:rsid w:val="0085765A"/>
    <w:rsid w:val="008604A8"/>
    <w:rsid w:val="008604EA"/>
    <w:rsid w:val="00860E9A"/>
    <w:rsid w:val="008617A5"/>
    <w:rsid w:val="00861AFA"/>
    <w:rsid w:val="00862FD9"/>
    <w:rsid w:val="00863C61"/>
    <w:rsid w:val="00863FE6"/>
    <w:rsid w:val="00865522"/>
    <w:rsid w:val="00865ADF"/>
    <w:rsid w:val="00865C38"/>
    <w:rsid w:val="00865FD9"/>
    <w:rsid w:val="0086644C"/>
    <w:rsid w:val="008666B5"/>
    <w:rsid w:val="0086686C"/>
    <w:rsid w:val="00866E1F"/>
    <w:rsid w:val="0086754A"/>
    <w:rsid w:val="00867701"/>
    <w:rsid w:val="00867A93"/>
    <w:rsid w:val="008703B3"/>
    <w:rsid w:val="008719F2"/>
    <w:rsid w:val="008746E8"/>
    <w:rsid w:val="008754EC"/>
    <w:rsid w:val="008759C4"/>
    <w:rsid w:val="00876985"/>
    <w:rsid w:val="0087721C"/>
    <w:rsid w:val="008824A8"/>
    <w:rsid w:val="00882786"/>
    <w:rsid w:val="00882809"/>
    <w:rsid w:val="00883741"/>
    <w:rsid w:val="00883780"/>
    <w:rsid w:val="00883B99"/>
    <w:rsid w:val="00884D74"/>
    <w:rsid w:val="00885066"/>
    <w:rsid w:val="00885F85"/>
    <w:rsid w:val="0088665E"/>
    <w:rsid w:val="00886F7D"/>
    <w:rsid w:val="00887B63"/>
    <w:rsid w:val="00887CC7"/>
    <w:rsid w:val="00887F48"/>
    <w:rsid w:val="008923C8"/>
    <w:rsid w:val="008924B5"/>
    <w:rsid w:val="00893260"/>
    <w:rsid w:val="008932A8"/>
    <w:rsid w:val="00893756"/>
    <w:rsid w:val="00894A9E"/>
    <w:rsid w:val="008950F6"/>
    <w:rsid w:val="00896815"/>
    <w:rsid w:val="008A0744"/>
    <w:rsid w:val="008A0A6E"/>
    <w:rsid w:val="008A0D0F"/>
    <w:rsid w:val="008A1070"/>
    <w:rsid w:val="008A2FB3"/>
    <w:rsid w:val="008A398B"/>
    <w:rsid w:val="008A5601"/>
    <w:rsid w:val="008A59AD"/>
    <w:rsid w:val="008A6964"/>
    <w:rsid w:val="008B0EEB"/>
    <w:rsid w:val="008B2E84"/>
    <w:rsid w:val="008B431D"/>
    <w:rsid w:val="008B433E"/>
    <w:rsid w:val="008B51FD"/>
    <w:rsid w:val="008B7186"/>
    <w:rsid w:val="008B7192"/>
    <w:rsid w:val="008B7596"/>
    <w:rsid w:val="008C1939"/>
    <w:rsid w:val="008C245B"/>
    <w:rsid w:val="008C3396"/>
    <w:rsid w:val="008C621C"/>
    <w:rsid w:val="008C697C"/>
    <w:rsid w:val="008C6F6C"/>
    <w:rsid w:val="008C6FD1"/>
    <w:rsid w:val="008C75ED"/>
    <w:rsid w:val="008C7649"/>
    <w:rsid w:val="008C7B79"/>
    <w:rsid w:val="008D1C21"/>
    <w:rsid w:val="008D3E4A"/>
    <w:rsid w:val="008D75EE"/>
    <w:rsid w:val="008D7C74"/>
    <w:rsid w:val="008E0991"/>
    <w:rsid w:val="008E0FDA"/>
    <w:rsid w:val="008E154C"/>
    <w:rsid w:val="008E2C35"/>
    <w:rsid w:val="008E338E"/>
    <w:rsid w:val="008E57FE"/>
    <w:rsid w:val="008E5C7C"/>
    <w:rsid w:val="008F1BA6"/>
    <w:rsid w:val="008F22DC"/>
    <w:rsid w:val="008F2665"/>
    <w:rsid w:val="008F43E7"/>
    <w:rsid w:val="008F507E"/>
    <w:rsid w:val="008F5251"/>
    <w:rsid w:val="008F6376"/>
    <w:rsid w:val="008F6456"/>
    <w:rsid w:val="00900482"/>
    <w:rsid w:val="00900C18"/>
    <w:rsid w:val="00900CC2"/>
    <w:rsid w:val="009010A8"/>
    <w:rsid w:val="009016B4"/>
    <w:rsid w:val="009019FB"/>
    <w:rsid w:val="00902489"/>
    <w:rsid w:val="00903727"/>
    <w:rsid w:val="0090528F"/>
    <w:rsid w:val="009052B7"/>
    <w:rsid w:val="00905B05"/>
    <w:rsid w:val="00905EEB"/>
    <w:rsid w:val="0090707A"/>
    <w:rsid w:val="0090753C"/>
    <w:rsid w:val="00910381"/>
    <w:rsid w:val="00911B66"/>
    <w:rsid w:val="00912A7E"/>
    <w:rsid w:val="00913B21"/>
    <w:rsid w:val="00913DE4"/>
    <w:rsid w:val="00914022"/>
    <w:rsid w:val="00914831"/>
    <w:rsid w:val="00915330"/>
    <w:rsid w:val="00916E69"/>
    <w:rsid w:val="00917337"/>
    <w:rsid w:val="00917525"/>
    <w:rsid w:val="0091777D"/>
    <w:rsid w:val="00917B57"/>
    <w:rsid w:val="0092057D"/>
    <w:rsid w:val="009218DE"/>
    <w:rsid w:val="00922D00"/>
    <w:rsid w:val="00923F17"/>
    <w:rsid w:val="009254B7"/>
    <w:rsid w:val="009266DA"/>
    <w:rsid w:val="00926AD6"/>
    <w:rsid w:val="00926BF6"/>
    <w:rsid w:val="00926E2B"/>
    <w:rsid w:val="0093023D"/>
    <w:rsid w:val="00930CCA"/>
    <w:rsid w:val="00930DE8"/>
    <w:rsid w:val="009318DD"/>
    <w:rsid w:val="009330E5"/>
    <w:rsid w:val="00933A6E"/>
    <w:rsid w:val="009347BD"/>
    <w:rsid w:val="00935413"/>
    <w:rsid w:val="00935791"/>
    <w:rsid w:val="00935F5D"/>
    <w:rsid w:val="009361FD"/>
    <w:rsid w:val="009366C8"/>
    <w:rsid w:val="009368E0"/>
    <w:rsid w:val="00941662"/>
    <w:rsid w:val="0094260B"/>
    <w:rsid w:val="00942661"/>
    <w:rsid w:val="00945307"/>
    <w:rsid w:val="0094558D"/>
    <w:rsid w:val="00946A04"/>
    <w:rsid w:val="00946FCE"/>
    <w:rsid w:val="009515BC"/>
    <w:rsid w:val="009538CA"/>
    <w:rsid w:val="00953B5B"/>
    <w:rsid w:val="00953ED0"/>
    <w:rsid w:val="0095492E"/>
    <w:rsid w:val="00955C13"/>
    <w:rsid w:val="00955F7D"/>
    <w:rsid w:val="00957BC8"/>
    <w:rsid w:val="00957ECC"/>
    <w:rsid w:val="00960D1F"/>
    <w:rsid w:val="009617CD"/>
    <w:rsid w:val="0096242F"/>
    <w:rsid w:val="00962E3B"/>
    <w:rsid w:val="00962FF5"/>
    <w:rsid w:val="0096371F"/>
    <w:rsid w:val="00964A4E"/>
    <w:rsid w:val="00965B02"/>
    <w:rsid w:val="00965C07"/>
    <w:rsid w:val="00965D2D"/>
    <w:rsid w:val="00966E62"/>
    <w:rsid w:val="00967BB0"/>
    <w:rsid w:val="00967FD1"/>
    <w:rsid w:val="009713C8"/>
    <w:rsid w:val="00971847"/>
    <w:rsid w:val="00972964"/>
    <w:rsid w:val="00973343"/>
    <w:rsid w:val="0097374C"/>
    <w:rsid w:val="00973C42"/>
    <w:rsid w:val="00974C87"/>
    <w:rsid w:val="0097762F"/>
    <w:rsid w:val="00977C58"/>
    <w:rsid w:val="00980E43"/>
    <w:rsid w:val="009810D3"/>
    <w:rsid w:val="009816B8"/>
    <w:rsid w:val="0098283C"/>
    <w:rsid w:val="00982CC0"/>
    <w:rsid w:val="00983244"/>
    <w:rsid w:val="00983B45"/>
    <w:rsid w:val="009841A9"/>
    <w:rsid w:val="0098450B"/>
    <w:rsid w:val="00985101"/>
    <w:rsid w:val="00986A53"/>
    <w:rsid w:val="0098766F"/>
    <w:rsid w:val="00987BC7"/>
    <w:rsid w:val="00987C23"/>
    <w:rsid w:val="00991C06"/>
    <w:rsid w:val="0099322F"/>
    <w:rsid w:val="009933F1"/>
    <w:rsid w:val="00993912"/>
    <w:rsid w:val="00994050"/>
    <w:rsid w:val="00995503"/>
    <w:rsid w:val="00995A77"/>
    <w:rsid w:val="00995AA0"/>
    <w:rsid w:val="009962CF"/>
    <w:rsid w:val="009969D6"/>
    <w:rsid w:val="0099705B"/>
    <w:rsid w:val="00997539"/>
    <w:rsid w:val="009A09C8"/>
    <w:rsid w:val="009A4543"/>
    <w:rsid w:val="009A59C7"/>
    <w:rsid w:val="009A5DB1"/>
    <w:rsid w:val="009A65B9"/>
    <w:rsid w:val="009A67F3"/>
    <w:rsid w:val="009A7C5A"/>
    <w:rsid w:val="009A7E51"/>
    <w:rsid w:val="009B045A"/>
    <w:rsid w:val="009B171B"/>
    <w:rsid w:val="009B1C82"/>
    <w:rsid w:val="009B21B9"/>
    <w:rsid w:val="009B2785"/>
    <w:rsid w:val="009B3481"/>
    <w:rsid w:val="009B4CD0"/>
    <w:rsid w:val="009B4DA7"/>
    <w:rsid w:val="009B523B"/>
    <w:rsid w:val="009B5646"/>
    <w:rsid w:val="009B73C5"/>
    <w:rsid w:val="009B7DCF"/>
    <w:rsid w:val="009C20DD"/>
    <w:rsid w:val="009C21C6"/>
    <w:rsid w:val="009C2447"/>
    <w:rsid w:val="009C383B"/>
    <w:rsid w:val="009C3A80"/>
    <w:rsid w:val="009C4D32"/>
    <w:rsid w:val="009C5238"/>
    <w:rsid w:val="009C627C"/>
    <w:rsid w:val="009C6BB1"/>
    <w:rsid w:val="009D12B4"/>
    <w:rsid w:val="009D1E70"/>
    <w:rsid w:val="009D2135"/>
    <w:rsid w:val="009D2314"/>
    <w:rsid w:val="009D2FA7"/>
    <w:rsid w:val="009D46C4"/>
    <w:rsid w:val="009D4B3B"/>
    <w:rsid w:val="009D4CAE"/>
    <w:rsid w:val="009D5449"/>
    <w:rsid w:val="009D55F9"/>
    <w:rsid w:val="009D56FD"/>
    <w:rsid w:val="009D5A11"/>
    <w:rsid w:val="009D68A4"/>
    <w:rsid w:val="009D765F"/>
    <w:rsid w:val="009D7760"/>
    <w:rsid w:val="009E16E6"/>
    <w:rsid w:val="009E1E62"/>
    <w:rsid w:val="009E1E64"/>
    <w:rsid w:val="009E25A2"/>
    <w:rsid w:val="009E2953"/>
    <w:rsid w:val="009E30CE"/>
    <w:rsid w:val="009E3AA9"/>
    <w:rsid w:val="009E5158"/>
    <w:rsid w:val="009F04C3"/>
    <w:rsid w:val="009F0760"/>
    <w:rsid w:val="009F2189"/>
    <w:rsid w:val="009F2445"/>
    <w:rsid w:val="009F2FDF"/>
    <w:rsid w:val="009F398F"/>
    <w:rsid w:val="009F3B29"/>
    <w:rsid w:val="009F477F"/>
    <w:rsid w:val="009F4860"/>
    <w:rsid w:val="009F59D3"/>
    <w:rsid w:val="009F6A92"/>
    <w:rsid w:val="009F7641"/>
    <w:rsid w:val="009F7864"/>
    <w:rsid w:val="00A00057"/>
    <w:rsid w:val="00A00485"/>
    <w:rsid w:val="00A01387"/>
    <w:rsid w:val="00A01A5F"/>
    <w:rsid w:val="00A025AC"/>
    <w:rsid w:val="00A02C96"/>
    <w:rsid w:val="00A02E65"/>
    <w:rsid w:val="00A0340A"/>
    <w:rsid w:val="00A0440C"/>
    <w:rsid w:val="00A0585F"/>
    <w:rsid w:val="00A0694A"/>
    <w:rsid w:val="00A07A33"/>
    <w:rsid w:val="00A07F09"/>
    <w:rsid w:val="00A10A30"/>
    <w:rsid w:val="00A1137C"/>
    <w:rsid w:val="00A113D7"/>
    <w:rsid w:val="00A11F0F"/>
    <w:rsid w:val="00A1206A"/>
    <w:rsid w:val="00A133A8"/>
    <w:rsid w:val="00A147BE"/>
    <w:rsid w:val="00A14FC6"/>
    <w:rsid w:val="00A16126"/>
    <w:rsid w:val="00A1634D"/>
    <w:rsid w:val="00A1659A"/>
    <w:rsid w:val="00A1745A"/>
    <w:rsid w:val="00A17A71"/>
    <w:rsid w:val="00A17C4C"/>
    <w:rsid w:val="00A17FC8"/>
    <w:rsid w:val="00A20461"/>
    <w:rsid w:val="00A20A54"/>
    <w:rsid w:val="00A20C40"/>
    <w:rsid w:val="00A2365A"/>
    <w:rsid w:val="00A24133"/>
    <w:rsid w:val="00A26016"/>
    <w:rsid w:val="00A262BF"/>
    <w:rsid w:val="00A269F7"/>
    <w:rsid w:val="00A27809"/>
    <w:rsid w:val="00A27A11"/>
    <w:rsid w:val="00A30533"/>
    <w:rsid w:val="00A317B0"/>
    <w:rsid w:val="00A31840"/>
    <w:rsid w:val="00A34591"/>
    <w:rsid w:val="00A34E44"/>
    <w:rsid w:val="00A3584E"/>
    <w:rsid w:val="00A3640F"/>
    <w:rsid w:val="00A368F4"/>
    <w:rsid w:val="00A40CE2"/>
    <w:rsid w:val="00A415C0"/>
    <w:rsid w:val="00A45A7A"/>
    <w:rsid w:val="00A47176"/>
    <w:rsid w:val="00A474B6"/>
    <w:rsid w:val="00A475C5"/>
    <w:rsid w:val="00A4768C"/>
    <w:rsid w:val="00A50A68"/>
    <w:rsid w:val="00A50D3B"/>
    <w:rsid w:val="00A50E38"/>
    <w:rsid w:val="00A51233"/>
    <w:rsid w:val="00A518AA"/>
    <w:rsid w:val="00A52F9E"/>
    <w:rsid w:val="00A557E4"/>
    <w:rsid w:val="00A55FCC"/>
    <w:rsid w:val="00A56348"/>
    <w:rsid w:val="00A568D1"/>
    <w:rsid w:val="00A56E01"/>
    <w:rsid w:val="00A5703F"/>
    <w:rsid w:val="00A57852"/>
    <w:rsid w:val="00A57D39"/>
    <w:rsid w:val="00A610BF"/>
    <w:rsid w:val="00A6316B"/>
    <w:rsid w:val="00A65316"/>
    <w:rsid w:val="00A66745"/>
    <w:rsid w:val="00A674FF"/>
    <w:rsid w:val="00A70641"/>
    <w:rsid w:val="00A70F69"/>
    <w:rsid w:val="00A716D2"/>
    <w:rsid w:val="00A72611"/>
    <w:rsid w:val="00A73ABB"/>
    <w:rsid w:val="00A73F01"/>
    <w:rsid w:val="00A76D2C"/>
    <w:rsid w:val="00A77746"/>
    <w:rsid w:val="00A806AA"/>
    <w:rsid w:val="00A83BF6"/>
    <w:rsid w:val="00A854AA"/>
    <w:rsid w:val="00A855E4"/>
    <w:rsid w:val="00A864D5"/>
    <w:rsid w:val="00A87A0A"/>
    <w:rsid w:val="00A87F31"/>
    <w:rsid w:val="00A90D27"/>
    <w:rsid w:val="00A9103B"/>
    <w:rsid w:val="00A91284"/>
    <w:rsid w:val="00A91728"/>
    <w:rsid w:val="00A918A7"/>
    <w:rsid w:val="00A92871"/>
    <w:rsid w:val="00A936A8"/>
    <w:rsid w:val="00A93F71"/>
    <w:rsid w:val="00A94092"/>
    <w:rsid w:val="00A9499A"/>
    <w:rsid w:val="00A955EB"/>
    <w:rsid w:val="00AA0723"/>
    <w:rsid w:val="00AA1F49"/>
    <w:rsid w:val="00AA3391"/>
    <w:rsid w:val="00AA37B9"/>
    <w:rsid w:val="00AA3A2E"/>
    <w:rsid w:val="00AA4099"/>
    <w:rsid w:val="00AA4764"/>
    <w:rsid w:val="00AA5882"/>
    <w:rsid w:val="00AA6913"/>
    <w:rsid w:val="00AB07D7"/>
    <w:rsid w:val="00AB1530"/>
    <w:rsid w:val="00AB1656"/>
    <w:rsid w:val="00AB2190"/>
    <w:rsid w:val="00AB34BC"/>
    <w:rsid w:val="00AB39EB"/>
    <w:rsid w:val="00AB3F27"/>
    <w:rsid w:val="00AB3FD9"/>
    <w:rsid w:val="00AB45A0"/>
    <w:rsid w:val="00AB7787"/>
    <w:rsid w:val="00AB7DE7"/>
    <w:rsid w:val="00AC03AB"/>
    <w:rsid w:val="00AC0650"/>
    <w:rsid w:val="00AC11D9"/>
    <w:rsid w:val="00AC1BE7"/>
    <w:rsid w:val="00AC275F"/>
    <w:rsid w:val="00AC3EAB"/>
    <w:rsid w:val="00AC3EE4"/>
    <w:rsid w:val="00AC50A4"/>
    <w:rsid w:val="00AC53A2"/>
    <w:rsid w:val="00AC5A95"/>
    <w:rsid w:val="00AC6074"/>
    <w:rsid w:val="00AC6471"/>
    <w:rsid w:val="00AC68D1"/>
    <w:rsid w:val="00AD1097"/>
    <w:rsid w:val="00AD1751"/>
    <w:rsid w:val="00AD2B6E"/>
    <w:rsid w:val="00AD2C90"/>
    <w:rsid w:val="00AD3443"/>
    <w:rsid w:val="00AD4B3C"/>
    <w:rsid w:val="00AD67EE"/>
    <w:rsid w:val="00AD68A5"/>
    <w:rsid w:val="00AE11D2"/>
    <w:rsid w:val="00AE185D"/>
    <w:rsid w:val="00AE1BFE"/>
    <w:rsid w:val="00AE3024"/>
    <w:rsid w:val="00AE3842"/>
    <w:rsid w:val="00AE3D83"/>
    <w:rsid w:val="00AE4305"/>
    <w:rsid w:val="00AE4374"/>
    <w:rsid w:val="00AE466A"/>
    <w:rsid w:val="00AE485C"/>
    <w:rsid w:val="00AE4C43"/>
    <w:rsid w:val="00AE685D"/>
    <w:rsid w:val="00AE7D4F"/>
    <w:rsid w:val="00AE7FE4"/>
    <w:rsid w:val="00AF0B7F"/>
    <w:rsid w:val="00AF17D3"/>
    <w:rsid w:val="00AF1D77"/>
    <w:rsid w:val="00AF2286"/>
    <w:rsid w:val="00AF247C"/>
    <w:rsid w:val="00AF27AB"/>
    <w:rsid w:val="00AF3369"/>
    <w:rsid w:val="00AF38BA"/>
    <w:rsid w:val="00AF3E1A"/>
    <w:rsid w:val="00AF4F67"/>
    <w:rsid w:val="00AF5625"/>
    <w:rsid w:val="00AF5811"/>
    <w:rsid w:val="00AF6509"/>
    <w:rsid w:val="00AF7937"/>
    <w:rsid w:val="00B00BBE"/>
    <w:rsid w:val="00B022A5"/>
    <w:rsid w:val="00B02EAB"/>
    <w:rsid w:val="00B0456E"/>
    <w:rsid w:val="00B050C5"/>
    <w:rsid w:val="00B06A05"/>
    <w:rsid w:val="00B06BF6"/>
    <w:rsid w:val="00B06F7F"/>
    <w:rsid w:val="00B100F0"/>
    <w:rsid w:val="00B11A29"/>
    <w:rsid w:val="00B12435"/>
    <w:rsid w:val="00B13463"/>
    <w:rsid w:val="00B13A33"/>
    <w:rsid w:val="00B1402E"/>
    <w:rsid w:val="00B14865"/>
    <w:rsid w:val="00B15D5D"/>
    <w:rsid w:val="00B16FB3"/>
    <w:rsid w:val="00B21D50"/>
    <w:rsid w:val="00B21FCD"/>
    <w:rsid w:val="00B223E9"/>
    <w:rsid w:val="00B22F9B"/>
    <w:rsid w:val="00B23747"/>
    <w:rsid w:val="00B239C4"/>
    <w:rsid w:val="00B24090"/>
    <w:rsid w:val="00B257E3"/>
    <w:rsid w:val="00B26092"/>
    <w:rsid w:val="00B260C7"/>
    <w:rsid w:val="00B26421"/>
    <w:rsid w:val="00B27494"/>
    <w:rsid w:val="00B279B9"/>
    <w:rsid w:val="00B27BBD"/>
    <w:rsid w:val="00B27BFD"/>
    <w:rsid w:val="00B34F48"/>
    <w:rsid w:val="00B35DB2"/>
    <w:rsid w:val="00B3677C"/>
    <w:rsid w:val="00B36AC5"/>
    <w:rsid w:val="00B36EBE"/>
    <w:rsid w:val="00B37ABB"/>
    <w:rsid w:val="00B403ED"/>
    <w:rsid w:val="00B4042E"/>
    <w:rsid w:val="00B40AC7"/>
    <w:rsid w:val="00B41110"/>
    <w:rsid w:val="00B45581"/>
    <w:rsid w:val="00B46851"/>
    <w:rsid w:val="00B478F5"/>
    <w:rsid w:val="00B5014D"/>
    <w:rsid w:val="00B5186B"/>
    <w:rsid w:val="00B51BA0"/>
    <w:rsid w:val="00B5254B"/>
    <w:rsid w:val="00B52CFD"/>
    <w:rsid w:val="00B535BD"/>
    <w:rsid w:val="00B53701"/>
    <w:rsid w:val="00B567CC"/>
    <w:rsid w:val="00B56A26"/>
    <w:rsid w:val="00B570F0"/>
    <w:rsid w:val="00B60C26"/>
    <w:rsid w:val="00B6110A"/>
    <w:rsid w:val="00B6176A"/>
    <w:rsid w:val="00B6301A"/>
    <w:rsid w:val="00B642F5"/>
    <w:rsid w:val="00B64CAD"/>
    <w:rsid w:val="00B659B2"/>
    <w:rsid w:val="00B65E15"/>
    <w:rsid w:val="00B66751"/>
    <w:rsid w:val="00B67AA6"/>
    <w:rsid w:val="00B67DAE"/>
    <w:rsid w:val="00B7066C"/>
    <w:rsid w:val="00B717D8"/>
    <w:rsid w:val="00B72D3F"/>
    <w:rsid w:val="00B72DF3"/>
    <w:rsid w:val="00B74146"/>
    <w:rsid w:val="00B74465"/>
    <w:rsid w:val="00B764A4"/>
    <w:rsid w:val="00B76F6C"/>
    <w:rsid w:val="00B8057F"/>
    <w:rsid w:val="00B8080B"/>
    <w:rsid w:val="00B80BBA"/>
    <w:rsid w:val="00B811EF"/>
    <w:rsid w:val="00B8278F"/>
    <w:rsid w:val="00B831B9"/>
    <w:rsid w:val="00B86EF1"/>
    <w:rsid w:val="00B90674"/>
    <w:rsid w:val="00B90938"/>
    <w:rsid w:val="00B90980"/>
    <w:rsid w:val="00B91FFF"/>
    <w:rsid w:val="00B934E3"/>
    <w:rsid w:val="00B94323"/>
    <w:rsid w:val="00B9566B"/>
    <w:rsid w:val="00B95F92"/>
    <w:rsid w:val="00B961B7"/>
    <w:rsid w:val="00B963D4"/>
    <w:rsid w:val="00B966E6"/>
    <w:rsid w:val="00B9772B"/>
    <w:rsid w:val="00BA2214"/>
    <w:rsid w:val="00BA2DEF"/>
    <w:rsid w:val="00BA35F2"/>
    <w:rsid w:val="00BA3FD9"/>
    <w:rsid w:val="00BA42FB"/>
    <w:rsid w:val="00BA4768"/>
    <w:rsid w:val="00BA516F"/>
    <w:rsid w:val="00BA5FD4"/>
    <w:rsid w:val="00BA628C"/>
    <w:rsid w:val="00BA63CB"/>
    <w:rsid w:val="00BA7059"/>
    <w:rsid w:val="00BA76EB"/>
    <w:rsid w:val="00BB0051"/>
    <w:rsid w:val="00BB02C6"/>
    <w:rsid w:val="00BB1082"/>
    <w:rsid w:val="00BB2127"/>
    <w:rsid w:val="00BB3805"/>
    <w:rsid w:val="00BB4A89"/>
    <w:rsid w:val="00BB4A9F"/>
    <w:rsid w:val="00BB52A5"/>
    <w:rsid w:val="00BB5893"/>
    <w:rsid w:val="00BB5D1D"/>
    <w:rsid w:val="00BB6740"/>
    <w:rsid w:val="00BB7EA1"/>
    <w:rsid w:val="00BB7F81"/>
    <w:rsid w:val="00BC0878"/>
    <w:rsid w:val="00BC269B"/>
    <w:rsid w:val="00BC27D2"/>
    <w:rsid w:val="00BC2D9A"/>
    <w:rsid w:val="00BC3282"/>
    <w:rsid w:val="00BC36FD"/>
    <w:rsid w:val="00BC3EAC"/>
    <w:rsid w:val="00BC3F00"/>
    <w:rsid w:val="00BD000B"/>
    <w:rsid w:val="00BD2DE3"/>
    <w:rsid w:val="00BD35E1"/>
    <w:rsid w:val="00BD363D"/>
    <w:rsid w:val="00BD48D4"/>
    <w:rsid w:val="00BD54FC"/>
    <w:rsid w:val="00BD63C3"/>
    <w:rsid w:val="00BD67CE"/>
    <w:rsid w:val="00BD76A4"/>
    <w:rsid w:val="00BD7AF2"/>
    <w:rsid w:val="00BE1C8A"/>
    <w:rsid w:val="00BE4857"/>
    <w:rsid w:val="00BE5847"/>
    <w:rsid w:val="00BE5BE0"/>
    <w:rsid w:val="00BE70E8"/>
    <w:rsid w:val="00BF029E"/>
    <w:rsid w:val="00BF09A4"/>
    <w:rsid w:val="00BF0DBE"/>
    <w:rsid w:val="00BF0E76"/>
    <w:rsid w:val="00BF0F04"/>
    <w:rsid w:val="00BF19DC"/>
    <w:rsid w:val="00BF1E41"/>
    <w:rsid w:val="00BF2B3E"/>
    <w:rsid w:val="00BF2DAF"/>
    <w:rsid w:val="00BF36F8"/>
    <w:rsid w:val="00BF4E1B"/>
    <w:rsid w:val="00BF7F36"/>
    <w:rsid w:val="00C01083"/>
    <w:rsid w:val="00C025F5"/>
    <w:rsid w:val="00C02F05"/>
    <w:rsid w:val="00C0480F"/>
    <w:rsid w:val="00C05114"/>
    <w:rsid w:val="00C06D96"/>
    <w:rsid w:val="00C1043C"/>
    <w:rsid w:val="00C12A51"/>
    <w:rsid w:val="00C12CD1"/>
    <w:rsid w:val="00C1591E"/>
    <w:rsid w:val="00C159F9"/>
    <w:rsid w:val="00C16856"/>
    <w:rsid w:val="00C174F0"/>
    <w:rsid w:val="00C178A4"/>
    <w:rsid w:val="00C20D36"/>
    <w:rsid w:val="00C21038"/>
    <w:rsid w:val="00C21B88"/>
    <w:rsid w:val="00C237E1"/>
    <w:rsid w:val="00C23867"/>
    <w:rsid w:val="00C2396B"/>
    <w:rsid w:val="00C261F7"/>
    <w:rsid w:val="00C266C5"/>
    <w:rsid w:val="00C2785F"/>
    <w:rsid w:val="00C300B4"/>
    <w:rsid w:val="00C30BA6"/>
    <w:rsid w:val="00C31467"/>
    <w:rsid w:val="00C3239F"/>
    <w:rsid w:val="00C34CCB"/>
    <w:rsid w:val="00C34D57"/>
    <w:rsid w:val="00C35515"/>
    <w:rsid w:val="00C35807"/>
    <w:rsid w:val="00C35A4B"/>
    <w:rsid w:val="00C36254"/>
    <w:rsid w:val="00C36696"/>
    <w:rsid w:val="00C36720"/>
    <w:rsid w:val="00C372C6"/>
    <w:rsid w:val="00C37518"/>
    <w:rsid w:val="00C37875"/>
    <w:rsid w:val="00C37F00"/>
    <w:rsid w:val="00C421C9"/>
    <w:rsid w:val="00C429D0"/>
    <w:rsid w:val="00C42A3A"/>
    <w:rsid w:val="00C4517F"/>
    <w:rsid w:val="00C45232"/>
    <w:rsid w:val="00C466DA"/>
    <w:rsid w:val="00C46E94"/>
    <w:rsid w:val="00C4758C"/>
    <w:rsid w:val="00C51A56"/>
    <w:rsid w:val="00C51BDF"/>
    <w:rsid w:val="00C52BA5"/>
    <w:rsid w:val="00C5318B"/>
    <w:rsid w:val="00C53323"/>
    <w:rsid w:val="00C54D8C"/>
    <w:rsid w:val="00C605E6"/>
    <w:rsid w:val="00C6082C"/>
    <w:rsid w:val="00C60842"/>
    <w:rsid w:val="00C60CDB"/>
    <w:rsid w:val="00C60FD6"/>
    <w:rsid w:val="00C64794"/>
    <w:rsid w:val="00C65991"/>
    <w:rsid w:val="00C65E81"/>
    <w:rsid w:val="00C66CEF"/>
    <w:rsid w:val="00C66F08"/>
    <w:rsid w:val="00C670FE"/>
    <w:rsid w:val="00C71087"/>
    <w:rsid w:val="00C7137F"/>
    <w:rsid w:val="00C71E3C"/>
    <w:rsid w:val="00C721AF"/>
    <w:rsid w:val="00C73C17"/>
    <w:rsid w:val="00C749B8"/>
    <w:rsid w:val="00C74AAF"/>
    <w:rsid w:val="00C75492"/>
    <w:rsid w:val="00C77C78"/>
    <w:rsid w:val="00C8102F"/>
    <w:rsid w:val="00C8146C"/>
    <w:rsid w:val="00C8231E"/>
    <w:rsid w:val="00C82620"/>
    <w:rsid w:val="00C8297E"/>
    <w:rsid w:val="00C846DD"/>
    <w:rsid w:val="00C85309"/>
    <w:rsid w:val="00C85CA6"/>
    <w:rsid w:val="00C873DA"/>
    <w:rsid w:val="00C90A7F"/>
    <w:rsid w:val="00C90C5F"/>
    <w:rsid w:val="00C9147E"/>
    <w:rsid w:val="00C91E2F"/>
    <w:rsid w:val="00C925ED"/>
    <w:rsid w:val="00C9339F"/>
    <w:rsid w:val="00C96A10"/>
    <w:rsid w:val="00C9753B"/>
    <w:rsid w:val="00CA0C87"/>
    <w:rsid w:val="00CA19CD"/>
    <w:rsid w:val="00CA2517"/>
    <w:rsid w:val="00CA30EF"/>
    <w:rsid w:val="00CA4A62"/>
    <w:rsid w:val="00CA5273"/>
    <w:rsid w:val="00CA561E"/>
    <w:rsid w:val="00CA5B58"/>
    <w:rsid w:val="00CA659E"/>
    <w:rsid w:val="00CB23DD"/>
    <w:rsid w:val="00CB2757"/>
    <w:rsid w:val="00CB2FE7"/>
    <w:rsid w:val="00CB331F"/>
    <w:rsid w:val="00CB3B57"/>
    <w:rsid w:val="00CB42AE"/>
    <w:rsid w:val="00CB6768"/>
    <w:rsid w:val="00CB6C38"/>
    <w:rsid w:val="00CB7B13"/>
    <w:rsid w:val="00CB7BA3"/>
    <w:rsid w:val="00CC012E"/>
    <w:rsid w:val="00CC17DB"/>
    <w:rsid w:val="00CC2F01"/>
    <w:rsid w:val="00CC31BB"/>
    <w:rsid w:val="00CC4023"/>
    <w:rsid w:val="00CC572B"/>
    <w:rsid w:val="00CC5838"/>
    <w:rsid w:val="00CC6453"/>
    <w:rsid w:val="00CD08C7"/>
    <w:rsid w:val="00CD2D8A"/>
    <w:rsid w:val="00CD31EA"/>
    <w:rsid w:val="00CD34D6"/>
    <w:rsid w:val="00CD57FE"/>
    <w:rsid w:val="00CD5B7B"/>
    <w:rsid w:val="00CD66AD"/>
    <w:rsid w:val="00CD692F"/>
    <w:rsid w:val="00CD6B79"/>
    <w:rsid w:val="00CD7F75"/>
    <w:rsid w:val="00CE0392"/>
    <w:rsid w:val="00CE11EC"/>
    <w:rsid w:val="00CE317A"/>
    <w:rsid w:val="00CE413B"/>
    <w:rsid w:val="00CE492E"/>
    <w:rsid w:val="00CE5481"/>
    <w:rsid w:val="00CE5866"/>
    <w:rsid w:val="00CE65A5"/>
    <w:rsid w:val="00CE772A"/>
    <w:rsid w:val="00CF0045"/>
    <w:rsid w:val="00CF0CB7"/>
    <w:rsid w:val="00CF10D1"/>
    <w:rsid w:val="00CF1A95"/>
    <w:rsid w:val="00CF3A0F"/>
    <w:rsid w:val="00CF44BF"/>
    <w:rsid w:val="00CF4826"/>
    <w:rsid w:val="00CF49FF"/>
    <w:rsid w:val="00CF593D"/>
    <w:rsid w:val="00CF5EE9"/>
    <w:rsid w:val="00CF6A99"/>
    <w:rsid w:val="00CF7194"/>
    <w:rsid w:val="00CF773F"/>
    <w:rsid w:val="00CF7C90"/>
    <w:rsid w:val="00CF7EA0"/>
    <w:rsid w:val="00D00222"/>
    <w:rsid w:val="00D00600"/>
    <w:rsid w:val="00D0215C"/>
    <w:rsid w:val="00D02931"/>
    <w:rsid w:val="00D0329F"/>
    <w:rsid w:val="00D04708"/>
    <w:rsid w:val="00D04CCA"/>
    <w:rsid w:val="00D04F9C"/>
    <w:rsid w:val="00D06299"/>
    <w:rsid w:val="00D1045D"/>
    <w:rsid w:val="00D10CEB"/>
    <w:rsid w:val="00D10EE3"/>
    <w:rsid w:val="00D133AA"/>
    <w:rsid w:val="00D1340C"/>
    <w:rsid w:val="00D13B0B"/>
    <w:rsid w:val="00D13CCF"/>
    <w:rsid w:val="00D143FB"/>
    <w:rsid w:val="00D14CF7"/>
    <w:rsid w:val="00D15C6F"/>
    <w:rsid w:val="00D15E67"/>
    <w:rsid w:val="00D17226"/>
    <w:rsid w:val="00D20ABB"/>
    <w:rsid w:val="00D20FC0"/>
    <w:rsid w:val="00D22793"/>
    <w:rsid w:val="00D24AEE"/>
    <w:rsid w:val="00D25282"/>
    <w:rsid w:val="00D253FF"/>
    <w:rsid w:val="00D26A33"/>
    <w:rsid w:val="00D3073E"/>
    <w:rsid w:val="00D3143B"/>
    <w:rsid w:val="00D31676"/>
    <w:rsid w:val="00D316C8"/>
    <w:rsid w:val="00D337D5"/>
    <w:rsid w:val="00D34817"/>
    <w:rsid w:val="00D3553B"/>
    <w:rsid w:val="00D365BB"/>
    <w:rsid w:val="00D3795A"/>
    <w:rsid w:val="00D37AB5"/>
    <w:rsid w:val="00D37DAA"/>
    <w:rsid w:val="00D40C74"/>
    <w:rsid w:val="00D43282"/>
    <w:rsid w:val="00D43EA4"/>
    <w:rsid w:val="00D44508"/>
    <w:rsid w:val="00D455C9"/>
    <w:rsid w:val="00D47810"/>
    <w:rsid w:val="00D510DB"/>
    <w:rsid w:val="00D5128E"/>
    <w:rsid w:val="00D52FD0"/>
    <w:rsid w:val="00D54385"/>
    <w:rsid w:val="00D55C28"/>
    <w:rsid w:val="00D6259C"/>
    <w:rsid w:val="00D629FB"/>
    <w:rsid w:val="00D6313A"/>
    <w:rsid w:val="00D63B8D"/>
    <w:rsid w:val="00D63B91"/>
    <w:rsid w:val="00D64A4A"/>
    <w:rsid w:val="00D6679C"/>
    <w:rsid w:val="00D72B79"/>
    <w:rsid w:val="00D72F5D"/>
    <w:rsid w:val="00D73EE6"/>
    <w:rsid w:val="00D742D2"/>
    <w:rsid w:val="00D744DC"/>
    <w:rsid w:val="00D75CF7"/>
    <w:rsid w:val="00D75F59"/>
    <w:rsid w:val="00D76D3C"/>
    <w:rsid w:val="00D776C3"/>
    <w:rsid w:val="00D80153"/>
    <w:rsid w:val="00D81A33"/>
    <w:rsid w:val="00D81AC7"/>
    <w:rsid w:val="00D825E7"/>
    <w:rsid w:val="00D83E45"/>
    <w:rsid w:val="00D8495C"/>
    <w:rsid w:val="00D8603B"/>
    <w:rsid w:val="00D865B3"/>
    <w:rsid w:val="00D86737"/>
    <w:rsid w:val="00D8696A"/>
    <w:rsid w:val="00D870F0"/>
    <w:rsid w:val="00D87E39"/>
    <w:rsid w:val="00D90F5A"/>
    <w:rsid w:val="00D9153B"/>
    <w:rsid w:val="00D92776"/>
    <w:rsid w:val="00D95903"/>
    <w:rsid w:val="00D95D78"/>
    <w:rsid w:val="00D96941"/>
    <w:rsid w:val="00D97DF7"/>
    <w:rsid w:val="00DA0810"/>
    <w:rsid w:val="00DA3FCE"/>
    <w:rsid w:val="00DA4654"/>
    <w:rsid w:val="00DB1071"/>
    <w:rsid w:val="00DB13D4"/>
    <w:rsid w:val="00DB2BE7"/>
    <w:rsid w:val="00DB4203"/>
    <w:rsid w:val="00DB4BB3"/>
    <w:rsid w:val="00DB5E80"/>
    <w:rsid w:val="00DB7CA1"/>
    <w:rsid w:val="00DC0C0F"/>
    <w:rsid w:val="00DC1B20"/>
    <w:rsid w:val="00DC1EF8"/>
    <w:rsid w:val="00DC24B5"/>
    <w:rsid w:val="00DC25DA"/>
    <w:rsid w:val="00DC2EE1"/>
    <w:rsid w:val="00DC4C59"/>
    <w:rsid w:val="00DC5149"/>
    <w:rsid w:val="00DC7FCE"/>
    <w:rsid w:val="00DD197A"/>
    <w:rsid w:val="00DD1B88"/>
    <w:rsid w:val="00DD334C"/>
    <w:rsid w:val="00DD3C08"/>
    <w:rsid w:val="00DD5A42"/>
    <w:rsid w:val="00DD6B69"/>
    <w:rsid w:val="00DE0476"/>
    <w:rsid w:val="00DE2AAC"/>
    <w:rsid w:val="00DE2C55"/>
    <w:rsid w:val="00DE569D"/>
    <w:rsid w:val="00DE699F"/>
    <w:rsid w:val="00DF1125"/>
    <w:rsid w:val="00DF27AC"/>
    <w:rsid w:val="00DF28E7"/>
    <w:rsid w:val="00DF31FD"/>
    <w:rsid w:val="00DF341D"/>
    <w:rsid w:val="00DF399A"/>
    <w:rsid w:val="00DF4268"/>
    <w:rsid w:val="00DF447B"/>
    <w:rsid w:val="00DF44DB"/>
    <w:rsid w:val="00DF4E9C"/>
    <w:rsid w:val="00DF6280"/>
    <w:rsid w:val="00DF703E"/>
    <w:rsid w:val="00DF7B14"/>
    <w:rsid w:val="00E00009"/>
    <w:rsid w:val="00E01592"/>
    <w:rsid w:val="00E016C9"/>
    <w:rsid w:val="00E01D02"/>
    <w:rsid w:val="00E01EF4"/>
    <w:rsid w:val="00E02CF2"/>
    <w:rsid w:val="00E04947"/>
    <w:rsid w:val="00E0675A"/>
    <w:rsid w:val="00E069F7"/>
    <w:rsid w:val="00E06C35"/>
    <w:rsid w:val="00E06CE4"/>
    <w:rsid w:val="00E0710D"/>
    <w:rsid w:val="00E075E2"/>
    <w:rsid w:val="00E0775F"/>
    <w:rsid w:val="00E07DE5"/>
    <w:rsid w:val="00E07F71"/>
    <w:rsid w:val="00E11152"/>
    <w:rsid w:val="00E114D8"/>
    <w:rsid w:val="00E1347F"/>
    <w:rsid w:val="00E1373E"/>
    <w:rsid w:val="00E1376F"/>
    <w:rsid w:val="00E1621B"/>
    <w:rsid w:val="00E17336"/>
    <w:rsid w:val="00E17D19"/>
    <w:rsid w:val="00E17FBB"/>
    <w:rsid w:val="00E20CCA"/>
    <w:rsid w:val="00E21114"/>
    <w:rsid w:val="00E2127B"/>
    <w:rsid w:val="00E2209D"/>
    <w:rsid w:val="00E22B84"/>
    <w:rsid w:val="00E23D77"/>
    <w:rsid w:val="00E2431F"/>
    <w:rsid w:val="00E2492A"/>
    <w:rsid w:val="00E26045"/>
    <w:rsid w:val="00E26BDB"/>
    <w:rsid w:val="00E27304"/>
    <w:rsid w:val="00E304D5"/>
    <w:rsid w:val="00E326E9"/>
    <w:rsid w:val="00E33084"/>
    <w:rsid w:val="00E33091"/>
    <w:rsid w:val="00E33760"/>
    <w:rsid w:val="00E337F5"/>
    <w:rsid w:val="00E339E4"/>
    <w:rsid w:val="00E34280"/>
    <w:rsid w:val="00E34946"/>
    <w:rsid w:val="00E34EBC"/>
    <w:rsid w:val="00E37059"/>
    <w:rsid w:val="00E37211"/>
    <w:rsid w:val="00E377F7"/>
    <w:rsid w:val="00E37848"/>
    <w:rsid w:val="00E4034D"/>
    <w:rsid w:val="00E404B3"/>
    <w:rsid w:val="00E40850"/>
    <w:rsid w:val="00E41EE7"/>
    <w:rsid w:val="00E42084"/>
    <w:rsid w:val="00E435BA"/>
    <w:rsid w:val="00E44854"/>
    <w:rsid w:val="00E51432"/>
    <w:rsid w:val="00E51A00"/>
    <w:rsid w:val="00E51D5E"/>
    <w:rsid w:val="00E51FF7"/>
    <w:rsid w:val="00E5217A"/>
    <w:rsid w:val="00E527E1"/>
    <w:rsid w:val="00E53435"/>
    <w:rsid w:val="00E551EF"/>
    <w:rsid w:val="00E55808"/>
    <w:rsid w:val="00E559EA"/>
    <w:rsid w:val="00E55E20"/>
    <w:rsid w:val="00E5696D"/>
    <w:rsid w:val="00E56AA2"/>
    <w:rsid w:val="00E56AF0"/>
    <w:rsid w:val="00E56E45"/>
    <w:rsid w:val="00E60D79"/>
    <w:rsid w:val="00E60F2F"/>
    <w:rsid w:val="00E6161C"/>
    <w:rsid w:val="00E62DEC"/>
    <w:rsid w:val="00E63233"/>
    <w:rsid w:val="00E63FE6"/>
    <w:rsid w:val="00E65F8A"/>
    <w:rsid w:val="00E66ECB"/>
    <w:rsid w:val="00E6746D"/>
    <w:rsid w:val="00E67486"/>
    <w:rsid w:val="00E67820"/>
    <w:rsid w:val="00E727CE"/>
    <w:rsid w:val="00E749E1"/>
    <w:rsid w:val="00E74CEA"/>
    <w:rsid w:val="00E77B0B"/>
    <w:rsid w:val="00E77CA1"/>
    <w:rsid w:val="00E8007A"/>
    <w:rsid w:val="00E80578"/>
    <w:rsid w:val="00E80B43"/>
    <w:rsid w:val="00E80E3C"/>
    <w:rsid w:val="00E815CD"/>
    <w:rsid w:val="00E819E3"/>
    <w:rsid w:val="00E82650"/>
    <w:rsid w:val="00E826E5"/>
    <w:rsid w:val="00E833CB"/>
    <w:rsid w:val="00E83995"/>
    <w:rsid w:val="00E83CBA"/>
    <w:rsid w:val="00E83D2E"/>
    <w:rsid w:val="00E83FB2"/>
    <w:rsid w:val="00E844D4"/>
    <w:rsid w:val="00E85C89"/>
    <w:rsid w:val="00E86A11"/>
    <w:rsid w:val="00E8766E"/>
    <w:rsid w:val="00E87F7C"/>
    <w:rsid w:val="00E90615"/>
    <w:rsid w:val="00E91FE0"/>
    <w:rsid w:val="00E920A2"/>
    <w:rsid w:val="00E924B0"/>
    <w:rsid w:val="00E93478"/>
    <w:rsid w:val="00E93528"/>
    <w:rsid w:val="00E93D88"/>
    <w:rsid w:val="00E93FCB"/>
    <w:rsid w:val="00E9429A"/>
    <w:rsid w:val="00E947F7"/>
    <w:rsid w:val="00E95AC2"/>
    <w:rsid w:val="00E963AD"/>
    <w:rsid w:val="00E97167"/>
    <w:rsid w:val="00E97DBB"/>
    <w:rsid w:val="00EA0169"/>
    <w:rsid w:val="00EA093A"/>
    <w:rsid w:val="00EA3781"/>
    <w:rsid w:val="00EA3F71"/>
    <w:rsid w:val="00EA5023"/>
    <w:rsid w:val="00EA7061"/>
    <w:rsid w:val="00EB13FE"/>
    <w:rsid w:val="00EB1D94"/>
    <w:rsid w:val="00EB254B"/>
    <w:rsid w:val="00EB39F1"/>
    <w:rsid w:val="00EB460F"/>
    <w:rsid w:val="00EB472E"/>
    <w:rsid w:val="00EB5434"/>
    <w:rsid w:val="00EB5548"/>
    <w:rsid w:val="00EB5C64"/>
    <w:rsid w:val="00EB5D6C"/>
    <w:rsid w:val="00EB6A9B"/>
    <w:rsid w:val="00EB6CBB"/>
    <w:rsid w:val="00EB76D6"/>
    <w:rsid w:val="00EC0178"/>
    <w:rsid w:val="00EC049F"/>
    <w:rsid w:val="00EC059E"/>
    <w:rsid w:val="00EC24F3"/>
    <w:rsid w:val="00EC427E"/>
    <w:rsid w:val="00EC755E"/>
    <w:rsid w:val="00EC7A58"/>
    <w:rsid w:val="00ED024E"/>
    <w:rsid w:val="00ED025D"/>
    <w:rsid w:val="00ED0973"/>
    <w:rsid w:val="00ED0EC7"/>
    <w:rsid w:val="00ED0F93"/>
    <w:rsid w:val="00ED194C"/>
    <w:rsid w:val="00ED2C26"/>
    <w:rsid w:val="00ED2EDE"/>
    <w:rsid w:val="00ED3898"/>
    <w:rsid w:val="00ED3C53"/>
    <w:rsid w:val="00ED4300"/>
    <w:rsid w:val="00ED5E32"/>
    <w:rsid w:val="00ED5EC2"/>
    <w:rsid w:val="00EE0089"/>
    <w:rsid w:val="00EE0DF2"/>
    <w:rsid w:val="00EE1124"/>
    <w:rsid w:val="00EE21DD"/>
    <w:rsid w:val="00EE3411"/>
    <w:rsid w:val="00EE49D8"/>
    <w:rsid w:val="00EE56DF"/>
    <w:rsid w:val="00EE5ED7"/>
    <w:rsid w:val="00EE64CC"/>
    <w:rsid w:val="00EE682B"/>
    <w:rsid w:val="00EE6D6B"/>
    <w:rsid w:val="00EF1A24"/>
    <w:rsid w:val="00EF1BF1"/>
    <w:rsid w:val="00EF1E27"/>
    <w:rsid w:val="00EF407D"/>
    <w:rsid w:val="00EF58DD"/>
    <w:rsid w:val="00EF667A"/>
    <w:rsid w:val="00EF71E1"/>
    <w:rsid w:val="00F013AC"/>
    <w:rsid w:val="00F014D7"/>
    <w:rsid w:val="00F01985"/>
    <w:rsid w:val="00F01BD5"/>
    <w:rsid w:val="00F02038"/>
    <w:rsid w:val="00F0264E"/>
    <w:rsid w:val="00F0272C"/>
    <w:rsid w:val="00F0387D"/>
    <w:rsid w:val="00F03BAD"/>
    <w:rsid w:val="00F04AAA"/>
    <w:rsid w:val="00F05EAF"/>
    <w:rsid w:val="00F06421"/>
    <w:rsid w:val="00F06D7C"/>
    <w:rsid w:val="00F1049D"/>
    <w:rsid w:val="00F107C8"/>
    <w:rsid w:val="00F1167F"/>
    <w:rsid w:val="00F119F0"/>
    <w:rsid w:val="00F11CD9"/>
    <w:rsid w:val="00F13D68"/>
    <w:rsid w:val="00F147FD"/>
    <w:rsid w:val="00F15FC1"/>
    <w:rsid w:val="00F166CE"/>
    <w:rsid w:val="00F17762"/>
    <w:rsid w:val="00F17D3A"/>
    <w:rsid w:val="00F20D85"/>
    <w:rsid w:val="00F213FD"/>
    <w:rsid w:val="00F21E2B"/>
    <w:rsid w:val="00F23C5A"/>
    <w:rsid w:val="00F23E91"/>
    <w:rsid w:val="00F261BC"/>
    <w:rsid w:val="00F26C20"/>
    <w:rsid w:val="00F26D7B"/>
    <w:rsid w:val="00F277D4"/>
    <w:rsid w:val="00F31104"/>
    <w:rsid w:val="00F32970"/>
    <w:rsid w:val="00F33E65"/>
    <w:rsid w:val="00F34E93"/>
    <w:rsid w:val="00F3691C"/>
    <w:rsid w:val="00F3740E"/>
    <w:rsid w:val="00F44511"/>
    <w:rsid w:val="00F4474B"/>
    <w:rsid w:val="00F45C6F"/>
    <w:rsid w:val="00F5041E"/>
    <w:rsid w:val="00F5097D"/>
    <w:rsid w:val="00F513E5"/>
    <w:rsid w:val="00F5219B"/>
    <w:rsid w:val="00F52346"/>
    <w:rsid w:val="00F5308D"/>
    <w:rsid w:val="00F53138"/>
    <w:rsid w:val="00F534C0"/>
    <w:rsid w:val="00F54930"/>
    <w:rsid w:val="00F5523B"/>
    <w:rsid w:val="00F56A61"/>
    <w:rsid w:val="00F5777E"/>
    <w:rsid w:val="00F623B6"/>
    <w:rsid w:val="00F6280F"/>
    <w:rsid w:val="00F62819"/>
    <w:rsid w:val="00F633C5"/>
    <w:rsid w:val="00F6394B"/>
    <w:rsid w:val="00F65283"/>
    <w:rsid w:val="00F65682"/>
    <w:rsid w:val="00F6653B"/>
    <w:rsid w:val="00F706CF"/>
    <w:rsid w:val="00F7077E"/>
    <w:rsid w:val="00F708D9"/>
    <w:rsid w:val="00F720FB"/>
    <w:rsid w:val="00F721C2"/>
    <w:rsid w:val="00F731A7"/>
    <w:rsid w:val="00F74459"/>
    <w:rsid w:val="00F776C8"/>
    <w:rsid w:val="00F8055A"/>
    <w:rsid w:val="00F80602"/>
    <w:rsid w:val="00F81376"/>
    <w:rsid w:val="00F818AB"/>
    <w:rsid w:val="00F8281F"/>
    <w:rsid w:val="00F82A1F"/>
    <w:rsid w:val="00F84C20"/>
    <w:rsid w:val="00F903C9"/>
    <w:rsid w:val="00F90F5A"/>
    <w:rsid w:val="00F92112"/>
    <w:rsid w:val="00F9230A"/>
    <w:rsid w:val="00F92366"/>
    <w:rsid w:val="00F92753"/>
    <w:rsid w:val="00F92BE2"/>
    <w:rsid w:val="00F94A5F"/>
    <w:rsid w:val="00F955B6"/>
    <w:rsid w:val="00F9598E"/>
    <w:rsid w:val="00F967A9"/>
    <w:rsid w:val="00F96B32"/>
    <w:rsid w:val="00F9735A"/>
    <w:rsid w:val="00FA3907"/>
    <w:rsid w:val="00FA42F4"/>
    <w:rsid w:val="00FA6502"/>
    <w:rsid w:val="00FB0730"/>
    <w:rsid w:val="00FB0B2A"/>
    <w:rsid w:val="00FB0BC1"/>
    <w:rsid w:val="00FB14A0"/>
    <w:rsid w:val="00FB455A"/>
    <w:rsid w:val="00FB4E4A"/>
    <w:rsid w:val="00FB5A29"/>
    <w:rsid w:val="00FB5A83"/>
    <w:rsid w:val="00FB6D3A"/>
    <w:rsid w:val="00FB7924"/>
    <w:rsid w:val="00FB7F35"/>
    <w:rsid w:val="00FC048F"/>
    <w:rsid w:val="00FC11D6"/>
    <w:rsid w:val="00FC1B6C"/>
    <w:rsid w:val="00FC2E57"/>
    <w:rsid w:val="00FC34B5"/>
    <w:rsid w:val="00FC4142"/>
    <w:rsid w:val="00FC48DD"/>
    <w:rsid w:val="00FC569E"/>
    <w:rsid w:val="00FC6639"/>
    <w:rsid w:val="00FC67E5"/>
    <w:rsid w:val="00FC6BFF"/>
    <w:rsid w:val="00FC7872"/>
    <w:rsid w:val="00FC7B5F"/>
    <w:rsid w:val="00FD00E6"/>
    <w:rsid w:val="00FD024C"/>
    <w:rsid w:val="00FD04EB"/>
    <w:rsid w:val="00FD0533"/>
    <w:rsid w:val="00FD1036"/>
    <w:rsid w:val="00FD131D"/>
    <w:rsid w:val="00FD14CD"/>
    <w:rsid w:val="00FD2DED"/>
    <w:rsid w:val="00FD2EE4"/>
    <w:rsid w:val="00FD5177"/>
    <w:rsid w:val="00FD76F9"/>
    <w:rsid w:val="00FD7F51"/>
    <w:rsid w:val="00FE113D"/>
    <w:rsid w:val="00FE1E27"/>
    <w:rsid w:val="00FE23B9"/>
    <w:rsid w:val="00FE35E1"/>
    <w:rsid w:val="00FE3AFC"/>
    <w:rsid w:val="00FE45EE"/>
    <w:rsid w:val="00FE57F8"/>
    <w:rsid w:val="00FE6D86"/>
    <w:rsid w:val="00FE75F8"/>
    <w:rsid w:val="00FF0DA7"/>
    <w:rsid w:val="00FF18D0"/>
    <w:rsid w:val="00FF3276"/>
    <w:rsid w:val="00FF49EE"/>
    <w:rsid w:val="00FF5B26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8D29A00"/>
  <w15:docId w15:val="{D85ACFD4-0392-43D4-8305-12C39807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locked="1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 w:qFormat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99" w:unhideWhenUsed="1"/>
    <w:lsdException w:name="FollowedHyperlink" w:semiHidden="1" w:uiPriority="99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D9153B"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9153B"/>
    <w:pPr>
      <w:keepNext/>
      <w:widowControl w:val="0"/>
      <w:suppressAutoHyphens/>
      <w:outlineLvl w:val="0"/>
    </w:pPr>
    <w:rPr>
      <w:rFonts w:ascii="Courier" w:hAnsi="Courier"/>
      <w:b/>
      <w:spacing w:val="-3"/>
      <w:sz w:val="28"/>
    </w:rPr>
  </w:style>
  <w:style w:type="paragraph" w:styleId="Heading2">
    <w:name w:val="heading 2"/>
    <w:basedOn w:val="Normal"/>
    <w:next w:val="Normal"/>
    <w:qFormat/>
    <w:rsid w:val="00D9153B"/>
    <w:pPr>
      <w:keepNext/>
      <w:jc w:val="center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link w:val="Heading3Char"/>
    <w:locked/>
    <w:rsid w:val="00524A44"/>
    <w:pPr>
      <w:keepNext/>
      <w:keepLines/>
      <w:spacing w:before="320" w:after="80" w:line="276" w:lineRule="auto"/>
      <w:contextualSpacing/>
      <w:outlineLvl w:val="2"/>
    </w:pPr>
    <w:rPr>
      <w:rFonts w:ascii="Arial" w:eastAsia="Arial" w:hAnsi="Arial" w:cs="Arial"/>
      <w:color w:val="434343"/>
      <w:sz w:val="28"/>
      <w:szCs w:val="28"/>
      <w:lang w:val="en-GB" w:eastAsia="en-GB"/>
    </w:rPr>
  </w:style>
  <w:style w:type="paragraph" w:styleId="Heading4">
    <w:name w:val="heading 4"/>
    <w:basedOn w:val="Normal"/>
    <w:next w:val="Normal"/>
    <w:qFormat/>
    <w:rsid w:val="00D9153B"/>
    <w:pPr>
      <w:keepNext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link w:val="Heading5Char"/>
    <w:locked/>
    <w:rsid w:val="00524A44"/>
    <w:pPr>
      <w:keepNext/>
      <w:keepLines/>
      <w:spacing w:before="240" w:after="80" w:line="276" w:lineRule="auto"/>
      <w:contextualSpacing/>
      <w:outlineLvl w:val="4"/>
    </w:pPr>
    <w:rPr>
      <w:rFonts w:ascii="Arial" w:eastAsia="Arial" w:hAnsi="Arial" w:cs="Arial"/>
      <w:color w:val="666666"/>
      <w:sz w:val="22"/>
      <w:szCs w:val="22"/>
      <w:lang w:val="en-GB" w:eastAsia="en-GB"/>
    </w:rPr>
  </w:style>
  <w:style w:type="paragraph" w:styleId="Heading6">
    <w:name w:val="heading 6"/>
    <w:basedOn w:val="Normal"/>
    <w:next w:val="Normal"/>
    <w:link w:val="Heading6Char"/>
    <w:locked/>
    <w:rsid w:val="00524A44"/>
    <w:pPr>
      <w:keepNext/>
      <w:keepLines/>
      <w:spacing w:before="240" w:after="80" w:line="276" w:lineRule="auto"/>
      <w:contextualSpacing/>
      <w:outlineLvl w:val="5"/>
    </w:pPr>
    <w:rPr>
      <w:rFonts w:ascii="Arial" w:eastAsia="Arial" w:hAnsi="Arial" w:cs="Arial"/>
      <w:i/>
      <w:color w:val="666666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9153B"/>
    <w:pPr>
      <w:widowControl w:val="0"/>
      <w:tabs>
        <w:tab w:val="center" w:pos="4320"/>
        <w:tab w:val="right" w:pos="8640"/>
      </w:tabs>
    </w:pPr>
    <w:rPr>
      <w:rFonts w:ascii="Courier" w:hAnsi="Courier"/>
      <w:sz w:val="22"/>
    </w:rPr>
  </w:style>
  <w:style w:type="paragraph" w:styleId="FootnoteText">
    <w:name w:val="footnote text"/>
    <w:aliases w:val="Char,Footnote Text Quote,5_G,Footnote Text Char Char Char Char Char,Footnote Text Char Char Char Char,Footnote reference,FA Fu,Footnote Text Char Char Char,Fußnote,Footnote Text_1,ft,Footnote Text Char Char,Footnote Text Char1 Char,f"/>
    <w:basedOn w:val="Normal"/>
    <w:link w:val="FootnoteTextChar"/>
    <w:uiPriority w:val="99"/>
    <w:rsid w:val="0073089F"/>
    <w:pPr>
      <w:widowControl w:val="0"/>
    </w:pPr>
  </w:style>
  <w:style w:type="paragraph" w:styleId="Subtitle">
    <w:name w:val="Subtitle"/>
    <w:basedOn w:val="Normal"/>
    <w:link w:val="SubtitleChar"/>
    <w:qFormat/>
    <w:rsid w:val="00D9153B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styleId="FootnoteReference">
    <w:name w:val="footnote reference"/>
    <w:aliases w:val="сноска,16 Point,Superscript 6 Point,ftref,Footnote Reference Char Char Char,Carattere Char Carattere Carattere Char Carattere Char Carattere Char Char Char1 Char,Carattere Carattere Char Char Char Carattere Char,16 Poin,Ref,ftr"/>
    <w:link w:val="4G"/>
    <w:uiPriority w:val="99"/>
    <w:qFormat/>
    <w:rsid w:val="00D9153B"/>
    <w:rPr>
      <w:rFonts w:cs="Times New Roman"/>
      <w:vertAlign w:val="superscript"/>
    </w:rPr>
  </w:style>
  <w:style w:type="paragraph" w:styleId="Footer">
    <w:name w:val="footer"/>
    <w:basedOn w:val="Normal"/>
    <w:link w:val="FooterChar"/>
    <w:uiPriority w:val="99"/>
    <w:rsid w:val="00D9153B"/>
    <w:pPr>
      <w:tabs>
        <w:tab w:val="center" w:pos="4320"/>
        <w:tab w:val="right" w:pos="8640"/>
      </w:tabs>
    </w:pPr>
  </w:style>
  <w:style w:type="paragraph" w:customStyle="1" w:styleId="HCh">
    <w:name w:val="_ H _Ch"/>
    <w:basedOn w:val="Normal"/>
    <w:next w:val="Normal"/>
    <w:rsid w:val="00D9153B"/>
    <w:pPr>
      <w:keepNext/>
      <w:keepLines/>
      <w:suppressAutoHyphens/>
      <w:spacing w:line="300" w:lineRule="exact"/>
      <w:outlineLvl w:val="0"/>
    </w:pPr>
    <w:rPr>
      <w:b/>
      <w:spacing w:val="-2"/>
      <w:w w:val="103"/>
      <w:kern w:val="14"/>
      <w:sz w:val="28"/>
      <w:lang w:val="en-GB"/>
    </w:rPr>
  </w:style>
  <w:style w:type="paragraph" w:customStyle="1" w:styleId="SingleTxt">
    <w:name w:val="__Single Txt"/>
    <w:basedOn w:val="Normal"/>
    <w:rsid w:val="00D9153B"/>
    <w:pPr>
      <w:tabs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uppressAutoHyphens/>
      <w:spacing w:after="120" w:line="240" w:lineRule="exact"/>
      <w:ind w:left="1267" w:right="1267"/>
      <w:jc w:val="both"/>
    </w:pPr>
    <w:rPr>
      <w:spacing w:val="4"/>
      <w:w w:val="103"/>
      <w:kern w:val="14"/>
      <w:lang w:val="en-GB"/>
    </w:rPr>
  </w:style>
  <w:style w:type="paragraph" w:customStyle="1" w:styleId="XLarge">
    <w:name w:val="XLarge"/>
    <w:basedOn w:val="Normal"/>
    <w:rsid w:val="00D9153B"/>
    <w:pPr>
      <w:keepNext/>
      <w:keepLines/>
      <w:tabs>
        <w:tab w:val="right" w:leader="dot" w:pos="360"/>
      </w:tabs>
      <w:suppressAutoHyphens/>
      <w:spacing w:line="390" w:lineRule="exact"/>
      <w:outlineLvl w:val="0"/>
    </w:pPr>
    <w:rPr>
      <w:b/>
      <w:spacing w:val="-4"/>
      <w:w w:val="98"/>
      <w:kern w:val="14"/>
      <w:sz w:val="4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5D408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79421C"/>
    <w:rPr>
      <w:rFonts w:cs="Times New Roman"/>
      <w:color w:val="336699"/>
      <w:u w:val="none"/>
      <w:effect w:val="none"/>
    </w:rPr>
  </w:style>
  <w:style w:type="paragraph" w:styleId="ListParagraph">
    <w:name w:val="List Paragraph"/>
    <w:aliases w:val="List Paragraph (numbered (a))"/>
    <w:basedOn w:val="Normal"/>
    <w:link w:val="ListParagraphChar"/>
    <w:uiPriority w:val="34"/>
    <w:qFormat/>
    <w:rsid w:val="00896815"/>
    <w:pPr>
      <w:ind w:left="720"/>
    </w:pPr>
  </w:style>
  <w:style w:type="paragraph" w:styleId="DocumentMap">
    <w:name w:val="Document Map"/>
    <w:basedOn w:val="Normal"/>
    <w:link w:val="DocumentMapChar"/>
    <w:semiHidden/>
    <w:rsid w:val="00993912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locked/>
    <w:rsid w:val="00993912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400E4A"/>
    <w:rPr>
      <w:rFonts w:cs="Times New Roman"/>
      <w:sz w:val="6"/>
      <w:szCs w:val="6"/>
    </w:rPr>
  </w:style>
  <w:style w:type="character" w:customStyle="1" w:styleId="FooterChar">
    <w:name w:val="Footer Char"/>
    <w:link w:val="Footer"/>
    <w:uiPriority w:val="99"/>
    <w:locked/>
    <w:rsid w:val="005841A3"/>
    <w:rPr>
      <w:rFonts w:cs="Times New Roman"/>
    </w:rPr>
  </w:style>
  <w:style w:type="paragraph" w:styleId="CommentText">
    <w:name w:val="annotation text"/>
    <w:basedOn w:val="Normal"/>
    <w:link w:val="CommentTextChar"/>
    <w:uiPriority w:val="99"/>
    <w:rsid w:val="008543F5"/>
  </w:style>
  <w:style w:type="character" w:customStyle="1" w:styleId="CommentTextChar">
    <w:name w:val="Comment Text Char"/>
    <w:basedOn w:val="DefaultParagraphFont"/>
    <w:link w:val="CommentText"/>
    <w:uiPriority w:val="99"/>
    <w:rsid w:val="008543F5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8543F5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8543F5"/>
    <w:rPr>
      <w:b/>
      <w:bCs/>
    </w:rPr>
  </w:style>
  <w:style w:type="character" w:customStyle="1" w:styleId="Heading1Char">
    <w:name w:val="Heading 1 Char"/>
    <w:link w:val="Heading1"/>
    <w:rsid w:val="001D42D1"/>
    <w:rPr>
      <w:rFonts w:ascii="Courier" w:hAnsi="Courier"/>
      <w:b/>
      <w:spacing w:val="-3"/>
      <w:sz w:val="28"/>
    </w:rPr>
  </w:style>
  <w:style w:type="character" w:customStyle="1" w:styleId="HeaderChar">
    <w:name w:val="Header Char"/>
    <w:link w:val="Header"/>
    <w:uiPriority w:val="99"/>
    <w:rsid w:val="00852876"/>
    <w:rPr>
      <w:rFonts w:ascii="Courier" w:hAnsi="Courier"/>
      <w:sz w:val="22"/>
    </w:rPr>
  </w:style>
  <w:style w:type="character" w:styleId="PageNumber">
    <w:name w:val="page number"/>
    <w:basedOn w:val="DefaultParagraphFont"/>
    <w:semiHidden/>
    <w:rsid w:val="00D6679C"/>
  </w:style>
  <w:style w:type="character" w:customStyle="1" w:styleId="SubtitleChar">
    <w:name w:val="Subtitle Char"/>
    <w:basedOn w:val="DefaultParagraphFont"/>
    <w:link w:val="Subtitle"/>
    <w:rsid w:val="00D6679C"/>
    <w:rPr>
      <w:rFonts w:ascii="Arial" w:hAnsi="Arial" w:cs="Arial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semiHidden/>
    <w:rsid w:val="00D6679C"/>
    <w:rPr>
      <w:b/>
      <w:bCs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D6679C"/>
    <w:rPr>
      <w:b/>
      <w:bCs/>
      <w:sz w:val="24"/>
      <w:lang w:val="en-US" w:eastAsia="en-US"/>
    </w:rPr>
  </w:style>
  <w:style w:type="paragraph" w:styleId="BodyText2">
    <w:name w:val="Body Text 2"/>
    <w:basedOn w:val="Normal"/>
    <w:link w:val="BodyText2Char"/>
    <w:semiHidden/>
    <w:rsid w:val="00D6679C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D6679C"/>
    <w:rPr>
      <w:sz w:val="24"/>
      <w:lang w:val="en-US" w:eastAsia="en-US"/>
    </w:rPr>
  </w:style>
  <w:style w:type="paragraph" w:styleId="BodyText3">
    <w:name w:val="Body Text 3"/>
    <w:basedOn w:val="Normal"/>
    <w:link w:val="BodyText3Char"/>
    <w:semiHidden/>
    <w:rsid w:val="00D6679C"/>
    <w:pPr>
      <w:tabs>
        <w:tab w:val="left" w:pos="-720"/>
        <w:tab w:val="left" w:pos="0"/>
        <w:tab w:val="left" w:pos="607"/>
        <w:tab w:val="left" w:pos="1180"/>
        <w:tab w:val="left" w:pos="1411"/>
        <w:tab w:val="left" w:pos="2116"/>
        <w:tab w:val="left" w:pos="2822"/>
        <w:tab w:val="left" w:pos="3528"/>
        <w:tab w:val="left" w:pos="4233"/>
        <w:tab w:val="left" w:pos="4939"/>
        <w:tab w:val="left" w:pos="5762"/>
        <w:tab w:val="left" w:pos="6468"/>
        <w:tab w:val="left" w:pos="7173"/>
        <w:tab w:val="left" w:pos="7879"/>
        <w:tab w:val="left" w:pos="8584"/>
        <w:tab w:val="left" w:pos="9290"/>
        <w:tab w:val="left" w:pos="9996"/>
        <w:tab w:val="left" w:pos="10701"/>
        <w:tab w:val="left" w:pos="11407"/>
      </w:tabs>
      <w:suppressAutoHyphens/>
      <w:jc w:val="both"/>
    </w:pPr>
    <w:rPr>
      <w:sz w:val="24"/>
    </w:rPr>
  </w:style>
  <w:style w:type="character" w:customStyle="1" w:styleId="BodyText3Char">
    <w:name w:val="Body Text 3 Char"/>
    <w:basedOn w:val="DefaultParagraphFont"/>
    <w:link w:val="BodyText3"/>
    <w:semiHidden/>
    <w:rsid w:val="00D6679C"/>
    <w:rPr>
      <w:sz w:val="24"/>
      <w:lang w:val="en-US" w:eastAsia="en-US"/>
    </w:rPr>
  </w:style>
  <w:style w:type="character" w:customStyle="1" w:styleId="FootnoteTextChar">
    <w:name w:val="Footnote Text Char"/>
    <w:aliases w:val="Char Char,Footnote Text Quote Char,5_G Char,Footnote Text Char Char Char Char Char Char,Footnote Text Char Char Char Char Char1,Footnote reference Char,FA Fu Char,Footnote Text Char Char Char Char1,Fußnote Char,Footnote Text_1 Char"/>
    <w:basedOn w:val="DefaultParagraphFont"/>
    <w:link w:val="FootnoteText"/>
    <w:uiPriority w:val="99"/>
    <w:rsid w:val="0073089F"/>
    <w:rPr>
      <w:lang w:val="en-US" w:eastAsia="en-US"/>
    </w:rPr>
  </w:style>
  <w:style w:type="character" w:customStyle="1" w:styleId="ListParagraphChar">
    <w:name w:val="List Paragraph Char"/>
    <w:aliases w:val="List Paragraph (numbered (a)) Char"/>
    <w:link w:val="ListParagraph"/>
    <w:locked/>
    <w:rsid w:val="009A4543"/>
    <w:rPr>
      <w:lang w:val="en-US" w:eastAsia="en-US"/>
    </w:rPr>
  </w:style>
  <w:style w:type="paragraph" w:styleId="Revision">
    <w:name w:val="Revision"/>
    <w:hidden/>
    <w:uiPriority w:val="99"/>
    <w:semiHidden/>
    <w:rsid w:val="0050228C"/>
    <w:rPr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04095"/>
    <w:rPr>
      <w:color w:val="800080" w:themeColor="followedHyperlink"/>
      <w:u w:val="single"/>
    </w:rPr>
  </w:style>
  <w:style w:type="paragraph" w:customStyle="1" w:styleId="Normal1">
    <w:name w:val="Normal1"/>
    <w:rsid w:val="00886F7D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US" w:eastAsia="en-US"/>
    </w:rPr>
  </w:style>
  <w:style w:type="paragraph" w:customStyle="1" w:styleId="4G">
    <w:name w:val="4_G"/>
    <w:basedOn w:val="Normal"/>
    <w:link w:val="FootnoteReference"/>
    <w:uiPriority w:val="99"/>
    <w:rsid w:val="00F13D68"/>
    <w:pPr>
      <w:jc w:val="both"/>
    </w:pPr>
    <w:rPr>
      <w:vertAlign w:val="superscript"/>
      <w:lang w:val="en-GB" w:eastAsia="en-GB"/>
    </w:rPr>
  </w:style>
  <w:style w:type="paragraph" w:styleId="EndnoteText">
    <w:name w:val="endnote text"/>
    <w:basedOn w:val="Normal"/>
    <w:link w:val="EndnoteTextChar"/>
    <w:semiHidden/>
    <w:unhideWhenUsed/>
    <w:rsid w:val="00F17D3A"/>
  </w:style>
  <w:style w:type="character" w:customStyle="1" w:styleId="EndnoteTextChar">
    <w:name w:val="Endnote Text Char"/>
    <w:basedOn w:val="DefaultParagraphFont"/>
    <w:link w:val="EndnoteText"/>
    <w:semiHidden/>
    <w:rsid w:val="00F17D3A"/>
    <w:rPr>
      <w:lang w:val="en-US" w:eastAsia="en-US"/>
    </w:rPr>
  </w:style>
  <w:style w:type="character" w:styleId="EndnoteReference">
    <w:name w:val="endnote reference"/>
    <w:basedOn w:val="DefaultParagraphFont"/>
    <w:semiHidden/>
    <w:unhideWhenUsed/>
    <w:rsid w:val="00F17D3A"/>
    <w:rPr>
      <w:vertAlign w:val="superscript"/>
    </w:rPr>
  </w:style>
  <w:style w:type="character" w:customStyle="1" w:styleId="apple-converted-space">
    <w:name w:val="apple-converted-space"/>
    <w:basedOn w:val="DefaultParagraphFont"/>
    <w:rsid w:val="00F04AAA"/>
  </w:style>
  <w:style w:type="character" w:customStyle="1" w:styleId="Heading3Char">
    <w:name w:val="Heading 3 Char"/>
    <w:basedOn w:val="DefaultParagraphFont"/>
    <w:link w:val="Heading3"/>
    <w:rsid w:val="00524A44"/>
    <w:rPr>
      <w:rFonts w:ascii="Arial" w:eastAsia="Arial" w:hAnsi="Arial" w:cs="Arial"/>
      <w:color w:val="434343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524A44"/>
    <w:rPr>
      <w:rFonts w:ascii="Arial" w:eastAsia="Arial" w:hAnsi="Arial" w:cs="Arial"/>
      <w:color w:val="666666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524A44"/>
    <w:rPr>
      <w:rFonts w:ascii="Arial" w:eastAsia="Arial" w:hAnsi="Arial" w:cs="Arial"/>
      <w:i/>
      <w:color w:val="666666"/>
      <w:sz w:val="22"/>
      <w:szCs w:val="22"/>
    </w:rPr>
  </w:style>
  <w:style w:type="paragraph" w:styleId="Title">
    <w:name w:val="Title"/>
    <w:basedOn w:val="Normal"/>
    <w:next w:val="Normal"/>
    <w:link w:val="TitleChar"/>
    <w:locked/>
    <w:rsid w:val="00524A44"/>
    <w:pPr>
      <w:keepNext/>
      <w:keepLines/>
      <w:spacing w:after="60" w:line="276" w:lineRule="auto"/>
      <w:contextualSpacing/>
    </w:pPr>
    <w:rPr>
      <w:rFonts w:ascii="Arial" w:eastAsia="Arial" w:hAnsi="Arial" w:cs="Arial"/>
      <w:color w:val="000000"/>
      <w:sz w:val="52"/>
      <w:szCs w:val="52"/>
      <w:lang w:val="en-GB" w:eastAsia="en-GB"/>
    </w:rPr>
  </w:style>
  <w:style w:type="character" w:customStyle="1" w:styleId="TitleChar">
    <w:name w:val="Title Char"/>
    <w:basedOn w:val="DefaultParagraphFont"/>
    <w:link w:val="Title"/>
    <w:rsid w:val="00524A44"/>
    <w:rPr>
      <w:rFonts w:ascii="Arial" w:eastAsia="Arial" w:hAnsi="Arial" w:cs="Arial"/>
      <w:color w:val="000000"/>
      <w:sz w:val="52"/>
      <w:szCs w:val="5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A44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39"/>
    <w:rsid w:val="00524A44"/>
    <w:rPr>
      <w:rFonts w:ascii="Arial" w:eastAsia="Arial" w:hAnsi="Arial" w:cs="Arial"/>
      <w:color w:val="00000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9F2FD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16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1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58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27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74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customXml" Target="../customXml/item5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worldbank.org/en/country/ukraine/publication/ukraine-economic-update-fall-2016" TargetMode="External"/><Relationship Id="rId2" Type="http://schemas.openxmlformats.org/officeDocument/2006/relationships/hyperlink" Target="http://www.pewresearch.org/fact-tank/2015/10/29/the-most-and-least-energy-intensive-nations/" TargetMode="External"/><Relationship Id="rId1" Type="http://schemas.openxmlformats.org/officeDocument/2006/relationships/hyperlink" Target="http://data.worldbank.org/country/ukraine" TargetMode="External"/><Relationship Id="rId5" Type="http://schemas.openxmlformats.org/officeDocument/2006/relationships/hyperlink" Target="http://un.org.ua/images/V1-RPA_Eng_Vol1.pdf" TargetMode="External"/><Relationship Id="rId4" Type="http://schemas.openxmlformats.org/officeDocument/2006/relationships/hyperlink" Target="http://reforms.in.ua/sites/default/files/imce/2020booklet21_11engpreview.pdf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s xmlns="2d5f716b-b52a-4ee0-a811-6b2cc631bd0b">2018-2022</Years>
    <_dlc_DocId xmlns="05e84800-ff9a-43bb-bb7e-6161dfe90000">KKKATZMDSDUY-96-288</_dlc_DocId>
    <_dlc_DocIdUrl xmlns="05e84800-ff9a-43bb-bb7e-6161dfe90000">
      <Url>https://intranet.undp.org/unit/bpps/DI/CPDs/_layouts/15/DocIdRedir.aspx?ID=KKKATZMDSDUY-96-288</Url>
      <Description>KKKATZMDSDUY-96-288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71905AED9CB45BA4149E3D72A32E2" ma:contentTypeVersion="1" ma:contentTypeDescription="Create a new document." ma:contentTypeScope="" ma:versionID="f9a99f5d4d551b70a107d01b16d9f4da">
  <xsd:schema xmlns:xsd="http://www.w3.org/2001/XMLSchema" xmlns:xs="http://www.w3.org/2001/XMLSchema" xmlns:p="http://schemas.microsoft.com/office/2006/metadata/properties" xmlns:ns2="2d5f716b-b52a-4ee0-a811-6b2cc631bd0b" xmlns:ns3="05e84800-ff9a-43bb-bb7e-6161dfe90000" targetNamespace="http://schemas.microsoft.com/office/2006/metadata/properties" ma:root="true" ma:fieldsID="ec99c671dc2aa336c1ae248f85e86fd8" ns2:_="" ns3:_="">
    <xsd:import namespace="2d5f716b-b52a-4ee0-a811-6b2cc631bd0b"/>
    <xsd:import namespace="05e84800-ff9a-43bb-bb7e-6161dfe90000"/>
    <xsd:element name="properties">
      <xsd:complexType>
        <xsd:sequence>
          <xsd:element name="documentManagement">
            <xsd:complexType>
              <xsd:all>
                <xsd:element ref="ns2:Year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f716b-b52a-4ee0-a811-6b2cc631bd0b" elementFormDefault="qualified">
    <xsd:import namespace="http://schemas.microsoft.com/office/2006/documentManagement/types"/>
    <xsd:import namespace="http://schemas.microsoft.com/office/infopath/2007/PartnerControls"/>
    <xsd:element name="Years" ma:index="8" nillable="true" ma:displayName="Years" ma:internalName="Year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84800-ff9a-43bb-bb7e-6161dfe90000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Country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6D07CD-88FF-4828-B2CD-93A42E9B0E99}"/>
</file>

<file path=customXml/itemProps2.xml><?xml version="1.0" encoding="utf-8"?>
<ds:datastoreItem xmlns:ds="http://schemas.openxmlformats.org/officeDocument/2006/customXml" ds:itemID="{3D1B8F7B-BA39-44ED-8DCD-42BF9FAEB5EA}"/>
</file>

<file path=customXml/itemProps3.xml><?xml version="1.0" encoding="utf-8"?>
<ds:datastoreItem xmlns:ds="http://schemas.openxmlformats.org/officeDocument/2006/customXml" ds:itemID="{A163C48D-7F62-4D2D-8219-0D81AFFED2D0}"/>
</file>

<file path=customXml/itemProps4.xml><?xml version="1.0" encoding="utf-8"?>
<ds:datastoreItem xmlns:ds="http://schemas.openxmlformats.org/officeDocument/2006/customXml" ds:itemID="{064C56ED-3B66-49E1-960E-F90A19F42BCF}"/>
</file>

<file path=customXml/itemProps5.xml><?xml version="1.0" encoding="utf-8"?>
<ds:datastoreItem xmlns:ds="http://schemas.openxmlformats.org/officeDocument/2006/customXml" ds:itemID="{DA3CA578-C985-417D-A511-51A6EF5591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6320</Words>
  <Characters>36030</Characters>
  <Application>Microsoft Office Word</Application>
  <DocSecurity>0</DocSecurity>
  <Lines>300</Lines>
  <Paragraphs>84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Second/First/Annual session of (year)</vt:lpstr>
      <vt:lpstr>Second/First/Annual session of (year)</vt:lpstr>
    </vt:vector>
  </TitlesOfParts>
  <Company>Microsoft</Company>
  <LinksUpToDate>false</LinksUpToDate>
  <CharactersWithSpaces>42266</CharactersWithSpaces>
  <SharedDoc>false</SharedDoc>
  <HLinks>
    <vt:vector size="12" baseType="variant">
      <vt:variant>
        <vt:i4>18</vt:i4>
      </vt:variant>
      <vt:variant>
        <vt:i4>3</vt:i4>
      </vt:variant>
      <vt:variant>
        <vt:i4>0</vt:i4>
      </vt:variant>
      <vt:variant>
        <vt:i4>5</vt:i4>
      </vt:variant>
      <vt:variant>
        <vt:lpwstr>http://www.un.org/sc/committees/1267/aq_sanctions_list.shtml</vt:lpwstr>
      </vt:variant>
      <vt:variant>
        <vt:lpwstr/>
      </vt:variant>
      <vt:variant>
        <vt:i4>18</vt:i4>
      </vt:variant>
      <vt:variant>
        <vt:i4>0</vt:i4>
      </vt:variant>
      <vt:variant>
        <vt:i4>0</vt:i4>
      </vt:variant>
      <vt:variant>
        <vt:i4>5</vt:i4>
      </vt:variant>
      <vt:variant>
        <vt:lpwstr>http://www.un.org/sc/committees/1267/aq_sanctions_list.shtml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Ukraine</dc:title>
  <dc:creator>John Magoha</dc:creator>
  <cp:lastModifiedBy>UNDP/DIG</cp:lastModifiedBy>
  <cp:revision>3</cp:revision>
  <cp:lastPrinted>2017-05-08T14:56:00Z</cp:lastPrinted>
  <dcterms:created xsi:type="dcterms:W3CDTF">2017-08-03T15:00:00Z</dcterms:created>
  <dcterms:modified xsi:type="dcterms:W3CDTF">2017-08-03T15:00:00Z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0x0101006B071905AED9CB45BA4149E3D72A32E2</vt:lpwstr>
  </property>
  <property fmtid="{D5CDD505-2E9C-101B-9397-08002B2CF9AE}" pid="3" name="_dlc_DocIdItemGuid">
    <vt:lpwstr>1f9c4995-c790-4769-8bcf-d3748bde67e3</vt:lpwstr>
  </property>
</Properties>
</file>