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057" w:rsidRDefault="001C4057" w:rsidP="001C4057">
      <w:pPr>
        <w:pStyle w:val="BodyTextIndent21"/>
        <w:jc w:val="center"/>
        <w:rPr>
          <w:b/>
        </w:rPr>
      </w:pPr>
      <w:r>
        <w:rPr>
          <w:b/>
        </w:rPr>
        <w:t>Schválený pořad 4. schůze Senátu</w:t>
      </w:r>
    </w:p>
    <w:p w:rsidR="001C4057" w:rsidRDefault="001C4057" w:rsidP="001C4057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Změna ve složení Komise Senátu pro Ústavu České republiky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Volba dalšího člena a dvou náhradníků Stálé delegace Parlamentu České republiky do Shromáždění Západoevropské unie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Zpráva Mandátového a imunitního výboru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Návrh zákona o podmínkách převodu zemědělských a lesních pozemků z  vlastnictví státu na jiné osoby a o změně zákona č. 569/1991 Sb., o Pozemkovém fondu České republiky, ve znění pozdějších předpisů, a zákona č. 357/1992 Sb., o dani dědické, dani darovací a dani z převodu nemovitostí, ve znění pozdějších předpisů  /senátní tisk č. 19/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Návrh zákona, kterým se mění zákon č. 42/1992 Sb., o úpravě majetkových vztahů a vypořádání majetkových nároků v družstvech, ve znění pozdějších předpisů, zákon č. 586/1992 Sb., o daních z příjmů, ve znění pozdějších předpisů, a zákon č. 569/1991 Sb., o Pozemkovém fondu České republiky, ve znění pozdějších předpisů  /senátní tisk č. 20/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Návrh zákona, kterým se mění zákon č. 334/1992 Sb., o ochraně zemědělského půdního fondu, ve znění zákona č. 10/1993 Sb.  /senátní tisk č. 21/</w:t>
      </w:r>
    </w:p>
    <w:p w:rsidR="001C4057" w:rsidRDefault="001C4057" w:rsidP="001C4057">
      <w:pPr>
        <w:pStyle w:val="vbor"/>
        <w:widowControl/>
        <w:numPr>
          <w:ilvl w:val="0"/>
          <w:numId w:val="1"/>
        </w:numPr>
        <w:spacing w:before="120" w:line="0" w:lineRule="atLeast"/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Návrh zákona, kterým se mění zákon č. 72/1994 Sb., kterým se upravují některé spoluvlastnické vztahy k budovám a některé vlastnické vztahy k bytům a nebytovým prostorům a doplňují některé zákony (zákon o vlastnictví bytů), ve znění pozdějších předpisů  /senátní tisk č. 22/</w:t>
      </w:r>
    </w:p>
    <w:p w:rsidR="001C4057" w:rsidRDefault="001C4057" w:rsidP="001C4057">
      <w:pPr>
        <w:numPr>
          <w:ilvl w:val="0"/>
          <w:numId w:val="1"/>
        </w:numPr>
        <w:spacing w:before="120" w:line="0" w:lineRule="atLeast"/>
        <w:ind w:left="0" w:firstLine="567"/>
        <w:jc w:val="both"/>
        <w:rPr>
          <w:sz w:val="24"/>
        </w:rPr>
      </w:pPr>
      <w:r>
        <w:rPr>
          <w:sz w:val="24"/>
        </w:rPr>
        <w:t>Návrh zákona, kterým se mění zákon č. 140/1961 Sb., trestní zákon, ve znění pozdějších předpisů /senátní tisk č. 18/</w:t>
      </w:r>
    </w:p>
    <w:p w:rsidR="001C4057" w:rsidRDefault="001C4057"/>
    <w:sectPr w:rsidR="001C405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1752E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8629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057"/>
    <w:rsid w:val="001C4057"/>
    <w:rsid w:val="004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FA865-8FEE-4DE9-A746-031DF508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57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1C4057"/>
    <w:pPr>
      <w:widowControl w:val="0"/>
      <w:ind w:firstLine="567"/>
      <w:jc w:val="both"/>
    </w:pPr>
    <w:rPr>
      <w:sz w:val="24"/>
    </w:rPr>
  </w:style>
  <w:style w:type="paragraph" w:customStyle="1" w:styleId="vbor">
    <w:name w:val="výbor"/>
    <w:basedOn w:val="Normal"/>
    <w:rsid w:val="001C4057"/>
    <w:pPr>
      <w:widowControl w:val="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