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3D2" w:rsidRDefault="00A633D2" w:rsidP="00A633D2">
      <w:pPr>
        <w:pStyle w:val="BodyTextIndent21"/>
        <w:jc w:val="center"/>
        <w:outlineLvl w:val="0"/>
        <w:rPr>
          <w:b/>
        </w:rPr>
      </w:pPr>
      <w:r>
        <w:rPr>
          <w:b/>
        </w:rPr>
        <w:t>Schválený pořad 15. schůze Senátu</w:t>
      </w:r>
    </w:p>
    <w:p w:rsidR="00A633D2" w:rsidRDefault="00A633D2" w:rsidP="00A633D2">
      <w:pPr>
        <w:pStyle w:val="BodyTextIndent21"/>
        <w:ind w:firstLine="627"/>
        <w:rPr>
          <w:b/>
          <w:u w:val="single"/>
        </w:rPr>
      </w:pPr>
    </w:p>
    <w:p w:rsidR="00A633D2" w:rsidRDefault="00A633D2" w:rsidP="00A633D2">
      <w:pPr>
        <w:pStyle w:val="Styl1"/>
        <w:numPr>
          <w:ilvl w:val="0"/>
          <w:numId w:val="1"/>
        </w:numPr>
        <w:spacing w:after="0"/>
      </w:pPr>
      <w:r>
        <w:t xml:space="preserve">Návrh zákona, kterým se mění zákon č. 29/1984 Sb., o soustavě základních škol, středních škol a vyšších odborných škol (školský zákon), ve znění pozdějších předpisů /senátní tisk č. 144/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některé zákony v souvislosti s přijetím zákona o veřejném ochránci práv /senátní tisk č. 147/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 99/1963 Sb., občanský soudní řád, ve znění pozdějších předpisů, a některé další zákony /senátní tisk č. 146/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 587/1992 Sb., o spotřebních daních, ve znění pozdějších předpisů, a některé další zákony /senátní tisk č. 149/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 o státním dluhopisovém programu na úhradu ztráty Konsolidační banky Praha, státního peněžního ústavu, za rok 1998 /senátní tisk č. 145/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zákona, kterým se mění zákon č. 588/1992 Sb., o dani z přidané hodnoty, ve znění pozdějších předpisů, a o změně zákona č. 586/1992 Sb., o daních z příjmů, ve znění pozdějších předpisů /senátní tisk č. 141/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Zpráva </w:t>
      </w:r>
      <w:r>
        <w:rPr>
          <w:snapToGrid w:val="0"/>
          <w:sz w:val="24"/>
        </w:rPr>
        <w:t>o peticích doručených Senátu Parlamentu České republiky, jeho orgánům a funkcionářům, o jejich obsahu a způsobu vyřízení za období od 1. 7. - 31. 12. 1999 /senátní tisk č. 151/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 500/1990 Sb., o působnosti orgánů České republiky ve věcech převodů vlastnictví státu k některým věcem na jiné právnické nebo fyzické osoby, ve znění pozdějších předpisů /senátní tisk č. 148/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 o poskytnutí jednorázové peněžní částky příslušníkům československých zahraničních armád v letech 1939 až 1945 /senátní tisk č. 143/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 o právech a povinnostech při vydávání periodického tisku a o změně některých dalších zákonů (tiskový zákon) /senátní tisk č. 140/ 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Žádost prezidenta republiky o vyslovení souhlasu Senátu Parlamentu České republiky se jmenováním soudce Ústavního soudu /senátní tisk č. 138/</w:t>
      </w:r>
    </w:p>
    <w:p w:rsidR="00A633D2" w:rsidRDefault="00A633D2" w:rsidP="00A633D2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senátního návrhu ústavního zákona Komise Senátu pro Ústavu České republiky, kterým se mění a doplňuje ústavní zákon č. 1/1993 Sb., Ústava České republiky, ve znění ústavního zákona č. 347/1997 Sb. /senátní tisk č. 84/</w:t>
      </w:r>
    </w:p>
    <w:p w:rsidR="00A633D2" w:rsidRDefault="00A633D2" w:rsidP="00A633D2">
      <w:pPr>
        <w:spacing w:after="120" w:line="0" w:lineRule="atLeast"/>
        <w:jc w:val="both"/>
        <w:rPr>
          <w:sz w:val="24"/>
        </w:rPr>
      </w:pPr>
    </w:p>
    <w:p w:rsidR="00A633D2" w:rsidRDefault="00A633D2"/>
    <w:sectPr w:rsidR="00A633D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124C8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2724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3D2"/>
    <w:rsid w:val="00A633D2"/>
    <w:rsid w:val="00CC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D224-CF1F-42C1-A641-00E4F161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D2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A633D2"/>
    <w:pPr>
      <w:widowControl w:val="0"/>
      <w:ind w:firstLine="567"/>
      <w:jc w:val="both"/>
    </w:pPr>
    <w:rPr>
      <w:sz w:val="24"/>
    </w:rPr>
  </w:style>
  <w:style w:type="paragraph" w:customStyle="1" w:styleId="Styl1">
    <w:name w:val="Styl1"/>
    <w:basedOn w:val="Normal"/>
    <w:rsid w:val="00A633D2"/>
    <w:pPr>
      <w:keepLines/>
      <w:spacing w:after="240"/>
      <w:ind w:left="680" w:hanging="68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2025-06-14T17:27:00Z</dcterms:created>
  <dcterms:modified xsi:type="dcterms:W3CDTF">2025-06-14T17:27:00Z</dcterms:modified>
</cp:coreProperties>
</file>