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2F2455" w14:textId="77777777" w:rsidR="0037437D" w:rsidRDefault="0037437D">
      <w:pPr>
        <w:pStyle w:val="z-TopofForm"/>
      </w:pPr>
      <w:r>
        <w:t>Top of Form</w:t>
      </w:r>
    </w:p>
    <w:p w14:paraId="2E91AC71" w14:textId="5E77FA26" w:rsidR="0037437D" w:rsidRDefault="0037437D">
      <w:pPr>
        <w:pStyle w:val="Heading5"/>
        <w:divId w:val="10758568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1991-11-18</w:t>
        </w:r>
      </w:hyperlink>
    </w:p>
    <w:p w14:paraId="2591438B" w14:textId="77777777" w:rsidR="0037437D" w:rsidRDefault="0037437D">
      <w:pPr>
        <w:rPr>
          <w:rFonts w:eastAsia="Times New Roman"/>
        </w:rPr>
      </w:pPr>
    </w:p>
    <w:p w14:paraId="50D8F2D4" w14:textId="77777777" w:rsidR="0037437D" w:rsidRDefault="0037437D">
      <w:pPr>
        <w:divId w:val="9422274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E885DC" w14:textId="77777777" w:rsidR="0037437D" w:rsidRDefault="0037437D">
      <w:pPr>
        <w:divId w:val="1882596022"/>
        <w:rPr>
          <w:rFonts w:eastAsia="Times New Roman"/>
        </w:rPr>
      </w:pPr>
      <w:r>
        <w:rPr>
          <w:rFonts w:eastAsia="Times New Roman"/>
        </w:rPr>
        <w:pict w14:anchorId="72E5C939"/>
      </w:r>
      <w:r>
        <w:rPr>
          <w:rFonts w:eastAsia="Times New Roman"/>
        </w:rPr>
        <w:pict w14:anchorId="746577C8"/>
      </w:r>
      <w:r>
        <w:rPr>
          <w:rFonts w:eastAsia="Times New Roman"/>
          <w:noProof/>
        </w:rPr>
        <w:drawing>
          <wp:inline distT="0" distB="0" distL="0" distR="0" wp14:anchorId="73B11908" wp14:editId="6C1A3EF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1067" w14:textId="77777777" w:rsidR="0037437D" w:rsidRDefault="003743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FA7FBB" w14:textId="77777777">
        <w:trPr>
          <w:tblCellSpacing w:w="0" w:type="dxa"/>
        </w:trPr>
        <w:tc>
          <w:tcPr>
            <w:tcW w:w="2500" w:type="pct"/>
            <w:hideMark/>
          </w:tcPr>
          <w:p w14:paraId="35D62433" w14:textId="77777777" w:rsidR="0037437D" w:rsidRDefault="003743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3503/91</w:t>
            </w:r>
          </w:p>
        </w:tc>
        <w:tc>
          <w:tcPr>
            <w:tcW w:w="2500" w:type="pct"/>
            <w:hideMark/>
          </w:tcPr>
          <w:p w14:paraId="733777C4" w14:textId="77777777" w:rsidR="0037437D" w:rsidRDefault="0037437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listopadu 1991</w:t>
            </w:r>
          </w:p>
        </w:tc>
      </w:tr>
    </w:tbl>
    <w:p w14:paraId="72030791" w14:textId="77777777" w:rsidR="0037437D" w:rsidRDefault="003743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9462F52" w14:textId="77777777" w:rsidR="0037437D" w:rsidRDefault="003743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492617D" w14:textId="77777777" w:rsidR="0037437D" w:rsidRDefault="0037437D">
      <w:pPr>
        <w:pStyle w:val="NormalWeb"/>
      </w:pPr>
      <w:r>
        <w:rPr>
          <w:rFonts w:ascii="Times New Roman CE" w:hAnsi="Times New Roman CE" w:cs="Times New Roman CE"/>
        </w:rPr>
        <w:t>Informace o možných variantách sestavení státního rozpočtu České republiky na rok 1992</w:t>
      </w:r>
      <w:r>
        <w:t xml:space="preserve"> </w:t>
      </w:r>
    </w:p>
    <w:p w14:paraId="4EB2C643" w14:textId="77777777" w:rsidR="0037437D" w:rsidRDefault="003743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6CC79D" w14:textId="77777777" w:rsidR="0037437D" w:rsidRDefault="0037437D">
      <w:pPr>
        <w:pStyle w:val="NormalWeb"/>
      </w:pPr>
      <w:r>
        <w:rPr>
          <w:rFonts w:ascii="Times New Roman CE" w:hAnsi="Times New Roman CE" w:cs="Times New Roman CE"/>
        </w:rPr>
        <w:t>V l á d a projednala informaci ministra financí a sjednotila se na dalším postupu přípravy návrhu státního rozpočtu České republiky na rok 1992.</w:t>
      </w:r>
      <w:r>
        <w:t xml:space="preserve"> </w:t>
      </w:r>
    </w:p>
    <w:p w14:paraId="5732B29E" w14:textId="77777777" w:rsidR="0037437D" w:rsidRDefault="0037437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EFB3668" w14:textId="77777777" w:rsidR="0037437D" w:rsidRDefault="0037437D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66319E9" w14:textId="77777777" w:rsidR="0037437D" w:rsidRDefault="003743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D"/>
    <w:rsid w:val="0037437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888A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22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>Profinit EU s.r.o.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