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A2D7B8E" w14:textId="77777777" w:rsidR="00767033" w:rsidRDefault="00767033">
      <w:pPr>
        <w:pStyle w:val="z-TopofForm"/>
      </w:pPr>
      <w:r>
        <w:t>Top of Form</w:t>
      </w:r>
    </w:p>
    <w:p w14:paraId="5DE9AD0F" w14:textId="3343DF45" w:rsidR="00767033" w:rsidRDefault="00767033">
      <w:pPr>
        <w:pStyle w:val="Heading5"/>
        <w:divId w:val="21427723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1991-11-29</w:t>
        </w:r>
      </w:hyperlink>
    </w:p>
    <w:p w14:paraId="68A0F44F" w14:textId="77777777" w:rsidR="00767033" w:rsidRDefault="00767033">
      <w:pPr>
        <w:rPr>
          <w:rFonts w:eastAsia="Times New Roman"/>
        </w:rPr>
      </w:pPr>
    </w:p>
    <w:p w14:paraId="01C96F11" w14:textId="77777777" w:rsidR="00767033" w:rsidRDefault="00767033">
      <w:pPr>
        <w:divId w:val="194996353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7B69606" w14:textId="77777777" w:rsidR="00767033" w:rsidRDefault="00767033">
      <w:pPr>
        <w:divId w:val="944072433"/>
        <w:rPr>
          <w:rFonts w:eastAsia="Times New Roman"/>
        </w:rPr>
      </w:pPr>
      <w:r>
        <w:rPr>
          <w:rFonts w:eastAsia="Times New Roman"/>
        </w:rPr>
        <w:pict w14:anchorId="16E35FD9"/>
      </w:r>
      <w:r>
        <w:rPr>
          <w:rFonts w:eastAsia="Times New Roman"/>
        </w:rPr>
        <w:pict w14:anchorId="2BE0C86C"/>
      </w:r>
      <w:r>
        <w:rPr>
          <w:rFonts w:eastAsia="Times New Roman"/>
          <w:noProof/>
        </w:rPr>
        <w:drawing>
          <wp:inline distT="0" distB="0" distL="0" distR="0" wp14:anchorId="6975A0BD" wp14:editId="60A453C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3C86" w14:textId="77777777" w:rsidR="00767033" w:rsidRDefault="0076703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A7A1214" w14:textId="77777777">
        <w:trPr>
          <w:tblCellSpacing w:w="0" w:type="dxa"/>
        </w:trPr>
        <w:tc>
          <w:tcPr>
            <w:tcW w:w="2500" w:type="pct"/>
            <w:hideMark/>
          </w:tcPr>
          <w:p w14:paraId="5E6CB114" w14:textId="77777777" w:rsidR="00767033" w:rsidRDefault="0076703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35056/91</w:t>
            </w:r>
          </w:p>
        </w:tc>
        <w:tc>
          <w:tcPr>
            <w:tcW w:w="2500" w:type="pct"/>
            <w:hideMark/>
          </w:tcPr>
          <w:p w14:paraId="0AD22249" w14:textId="77777777" w:rsidR="00767033" w:rsidRDefault="0076703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listopadu 1991</w:t>
            </w:r>
          </w:p>
        </w:tc>
      </w:tr>
    </w:tbl>
    <w:p w14:paraId="78144EA5" w14:textId="77777777" w:rsidR="00767033" w:rsidRDefault="0076703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29. listopadu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E1A17C9" w14:textId="77777777" w:rsidR="00767033" w:rsidRDefault="0076703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Stráský.</w:t>
      </w:r>
      <w:r>
        <w:rPr>
          <w:rFonts w:eastAsia="Times New Roman"/>
        </w:rPr>
        <w:t xml:space="preserve"> </w:t>
      </w:r>
    </w:p>
    <w:p w14:paraId="0A0F6000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1. Návrh státního rozpočtu České republiky na rok 1992</w:t>
      </w:r>
      <w:r>
        <w:t xml:space="preserve"> </w:t>
      </w:r>
    </w:p>
    <w:p w14:paraId="0AE29BA6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3279D2E6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V l á d a dne 29. listopadu 1991 projednávala návrh státního rozpočtu na rok 1992 předložený ministrem financí.</w:t>
      </w:r>
      <w:r>
        <w:t xml:space="preserve"> </w:t>
      </w:r>
    </w:p>
    <w:p w14:paraId="069C7FC0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a) k o n s t a t o v a l a , že ne všechny potřeby resortů jsou zajištěny v nezbytně nutné výši a z toho důvodu provedla úpravy ve prospěch potřeb zdravotnictví, školství, policie a zdrojů pitné vody; za tím účelem navrhla dělení společných rozpočtových příjmů ve stejné výši na 1 obyvatele ČR a SR (tj. 35 % ve prospěch ČSFR, 43 % ČR a 22 % SR) a převod části daně z příjmů z ČR do SR ve výši 1,5 mld Kčs.</w:t>
      </w:r>
      <w:r>
        <w:t xml:space="preserve"> </w:t>
      </w:r>
    </w:p>
    <w:p w14:paraId="3CDD9316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Při hlasování o takto upraveném návrhu ze 13 přítomných členů vlády jej 9 členů vlády schválilo; čtyři, a to místopředseda vlády A. Baudyš, ministři školství, mládeže a tělovýchovy, zemědělství a životního prostředí byli proti.</w:t>
      </w:r>
      <w:r>
        <w:t xml:space="preserve"> </w:t>
      </w:r>
    </w:p>
    <w:p w14:paraId="1B607E86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Návrh rozpočtu byl schválen</w:t>
      </w:r>
    </w:p>
    <w:p w14:paraId="5FE291C0" w14:textId="77777777" w:rsidR="00767033" w:rsidRDefault="0076703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m č. 500,</w:t>
      </w:r>
    </w:p>
    <w:p w14:paraId="11FE6000" w14:textId="77777777" w:rsidR="00767033" w:rsidRDefault="0076703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s o u h l a s i l a s předloženým návrhem zákona a d o p o r u č i l a , aby při jeho zpracování bylo přihlédnuto k připomínkám z jednání vlády.</w:t>
      </w:r>
      <w:r>
        <w:rPr>
          <w:rFonts w:eastAsia="Times New Roman"/>
        </w:rPr>
        <w:t xml:space="preserve"> </w:t>
      </w:r>
    </w:p>
    <w:p w14:paraId="66B58D08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lastRenderedPageBreak/>
        <w:t>2. Informace o projednávání zákona o státní kontrole ČR</w:t>
      </w:r>
      <w:r>
        <w:t xml:space="preserve"> </w:t>
      </w:r>
    </w:p>
    <w:p w14:paraId="5DF04C1D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66A4D710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CDB7B8B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 xml:space="preserve">a) v z a l a n a v ě d o m í informaci ministra </w:t>
      </w:r>
      <w:r>
        <w:rPr>
          <w:rFonts w:ascii="Times New Roman CE" w:hAnsi="Times New Roman CE" w:cs="Times New Roman CE"/>
        </w:rPr>
        <w:t>státní kontroly ČR a poslance České národní rady p. Svobody o projednávání předloženého návrhu zákona,</w:t>
      </w:r>
      <w:r>
        <w:t xml:space="preserve"> </w:t>
      </w:r>
    </w:p>
    <w:p w14:paraId="6B1F7190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b) k o n s t a t o v a l a , že není důvod k tomu, aby návrh zákona předložený České národní radě byl změněn,</w:t>
      </w:r>
      <w:r>
        <w:t xml:space="preserve"> </w:t>
      </w:r>
    </w:p>
    <w:p w14:paraId="30549AFF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c) s o u h l a s i l a s poslaneckým návrhem, aby byl v zákoně vymezen vztah ministerstva státní kontroly k České národní radě,</w:t>
      </w:r>
      <w:r>
        <w:t xml:space="preserve"> </w:t>
      </w:r>
    </w:p>
    <w:p w14:paraId="38CB01E1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d) d o p o r u č i l a České národní radě, aby návrh zákona o státní kontrole projednala na nejbližším zasedání.</w:t>
      </w:r>
      <w:r>
        <w:t xml:space="preserve"> </w:t>
      </w:r>
    </w:p>
    <w:p w14:paraId="5F13D506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3. Udělování výjimek ze zákona č. 229/1991 Sb., o úpravě vlast- nických vztahů k půdě a jinému zemědělskému majetku</w:t>
      </w:r>
      <w:r>
        <w:t xml:space="preserve"> </w:t>
      </w:r>
    </w:p>
    <w:p w14:paraId="16E0418A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3F165D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V l á d a v souladu s Jednacím řádem vlády České republiky z m o c n i l a předsednictvo vlády, aby o výjimkách ze zákona č. 229/1991 Sb., o úpravě vlastnických vztahů k půdě a jinému zemědělskému majetku, rozhodovalo samo. Předložené návrhy musí předkladatel doložit vyjádřením Hospodářské rady vlády ČR.</w:t>
      </w:r>
      <w:r>
        <w:t xml:space="preserve"> </w:t>
      </w:r>
    </w:p>
    <w:p w14:paraId="7349AF58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6CD8C0B2" w14:textId="77777777" w:rsidR="00767033" w:rsidRDefault="00767033">
      <w:pPr>
        <w:pStyle w:val="NormalWeb"/>
      </w:pPr>
      <w:r>
        <w:rPr>
          <w:rFonts w:ascii="Times New Roman CE" w:hAnsi="Times New Roman CE" w:cs="Times New Roman CE"/>
        </w:rPr>
        <w:t>PhDr. Jan S t r á s k ý v. r.</w:t>
      </w:r>
      <w:r>
        <w:t xml:space="preserve"> </w:t>
      </w:r>
    </w:p>
    <w:p w14:paraId="52656513" w14:textId="77777777" w:rsidR="00767033" w:rsidRDefault="0076703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33"/>
    <w:rsid w:val="0076703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FDDF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7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1-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2398</Characters>
  <Application>Microsoft Office Word</Application>
  <DocSecurity>0</DocSecurity>
  <Lines>19</Lines>
  <Paragraphs>5</Paragraphs>
  <ScaleCrop>false</ScaleCrop>
  <Company>Profinit EU s.r.o.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