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35212B" w14:textId="77777777" w:rsidR="00A33809" w:rsidRDefault="00A33809">
      <w:pPr>
        <w:pStyle w:val="z-TopofForm"/>
      </w:pPr>
      <w:r>
        <w:t>Top of Form</w:t>
      </w:r>
    </w:p>
    <w:p w14:paraId="07466144" w14:textId="488CDEF4" w:rsidR="00A33809" w:rsidRDefault="00A33809">
      <w:pPr>
        <w:pStyle w:val="Heading5"/>
        <w:divId w:val="4501302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1992-01-20</w:t>
        </w:r>
      </w:hyperlink>
    </w:p>
    <w:p w14:paraId="320E1DE2" w14:textId="77777777" w:rsidR="00A33809" w:rsidRDefault="00A33809">
      <w:pPr>
        <w:rPr>
          <w:rFonts w:eastAsia="Times New Roman"/>
        </w:rPr>
      </w:pPr>
    </w:p>
    <w:p w14:paraId="629D3912" w14:textId="77777777" w:rsidR="00A33809" w:rsidRDefault="00A33809">
      <w:pPr>
        <w:divId w:val="20324095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4A35CCD" w14:textId="77777777" w:rsidR="00A33809" w:rsidRDefault="00A33809">
      <w:pPr>
        <w:divId w:val="687828398"/>
        <w:rPr>
          <w:rFonts w:eastAsia="Times New Roman"/>
        </w:rPr>
      </w:pPr>
      <w:r>
        <w:rPr>
          <w:rFonts w:eastAsia="Times New Roman"/>
        </w:rPr>
        <w:pict w14:anchorId="350F2B7E"/>
      </w:r>
      <w:r>
        <w:rPr>
          <w:rFonts w:eastAsia="Times New Roman"/>
        </w:rPr>
        <w:pict w14:anchorId="22044962"/>
      </w:r>
      <w:r>
        <w:rPr>
          <w:rFonts w:eastAsia="Times New Roman"/>
          <w:noProof/>
        </w:rPr>
        <w:drawing>
          <wp:inline distT="0" distB="0" distL="0" distR="0" wp14:anchorId="197FE874" wp14:editId="5B05784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0894" w14:textId="77777777" w:rsidR="00A33809" w:rsidRDefault="00A338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7E9EF1" w14:textId="77777777">
        <w:trPr>
          <w:tblCellSpacing w:w="0" w:type="dxa"/>
        </w:trPr>
        <w:tc>
          <w:tcPr>
            <w:tcW w:w="2500" w:type="pct"/>
            <w:hideMark/>
          </w:tcPr>
          <w:p w14:paraId="1651E305" w14:textId="77777777" w:rsidR="00A33809" w:rsidRDefault="00A3380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2072/92</w:t>
            </w:r>
          </w:p>
        </w:tc>
        <w:tc>
          <w:tcPr>
            <w:tcW w:w="2500" w:type="pct"/>
            <w:hideMark/>
          </w:tcPr>
          <w:p w14:paraId="5E7EF4B5" w14:textId="77777777" w:rsidR="00A33809" w:rsidRDefault="00A3380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ledna 1992</w:t>
            </w:r>
          </w:p>
        </w:tc>
      </w:tr>
    </w:tbl>
    <w:p w14:paraId="5FA45F90" w14:textId="77777777" w:rsidR="00A33809" w:rsidRDefault="00A3380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ledna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FF2F340" w14:textId="77777777" w:rsidR="00A33809" w:rsidRDefault="00A338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66AB337" w14:textId="77777777" w:rsidR="00A33809" w:rsidRDefault="00A33809">
      <w:pPr>
        <w:pStyle w:val="NormalWeb"/>
      </w:pPr>
      <w:r>
        <w:rPr>
          <w:rFonts w:ascii="Times New Roman CE" w:hAnsi="Times New Roman CE" w:cs="Times New Roman CE"/>
        </w:rPr>
        <w:t>Vláda se mimo jiné zabývala průběhem procesu kupónové privatizace a v této souvislosti p o ž á d a l a generálního prokurátora České republiky, aby ve spolupráci s ministrem pro správu národního majetku a jeho privatizaci provedl vzhledem k zamýšleným cílům privatizace do 28. ledna 1992 analýzu legislativních a jiných opatření upravujících přípravu a zahájení kupónové privatizace.</w:t>
      </w:r>
      <w:r>
        <w:t xml:space="preserve"> </w:t>
      </w:r>
    </w:p>
    <w:p w14:paraId="266A446F" w14:textId="77777777" w:rsidR="00A33809" w:rsidRDefault="00A3380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5D02F0A" w14:textId="77777777" w:rsidR="00A33809" w:rsidRDefault="00A33809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2EA96EDF" w14:textId="77777777" w:rsidR="00A33809" w:rsidRDefault="00A3380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09"/>
    <w:rsid w:val="00A3380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EADE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3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1-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>Profinit EU s.r.o.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