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3217EA8" w14:textId="77777777" w:rsidR="003D1AEC" w:rsidRDefault="003D1AEC">
      <w:pPr>
        <w:pStyle w:val="z-TopofForm"/>
      </w:pPr>
      <w:r>
        <w:t>Top of Form</w:t>
      </w:r>
    </w:p>
    <w:p w14:paraId="0704ADEE" w14:textId="3947F0E7" w:rsidR="003D1AEC" w:rsidRDefault="003D1AEC">
      <w:pPr>
        <w:pStyle w:val="Heading5"/>
        <w:divId w:val="142995991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1992-06-17</w:t>
        </w:r>
      </w:hyperlink>
    </w:p>
    <w:p w14:paraId="59912E18" w14:textId="77777777" w:rsidR="003D1AEC" w:rsidRDefault="003D1AEC">
      <w:pPr>
        <w:rPr>
          <w:rFonts w:eastAsia="Times New Roman"/>
        </w:rPr>
      </w:pPr>
    </w:p>
    <w:p w14:paraId="31A2361F" w14:textId="77777777" w:rsidR="003D1AEC" w:rsidRDefault="003D1AEC">
      <w:pPr>
        <w:divId w:val="134277962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7031037" w14:textId="77777777" w:rsidR="003D1AEC" w:rsidRDefault="003D1AEC">
      <w:pPr>
        <w:divId w:val="75249182"/>
        <w:rPr>
          <w:rFonts w:eastAsia="Times New Roman"/>
        </w:rPr>
      </w:pPr>
      <w:r>
        <w:rPr>
          <w:rFonts w:eastAsia="Times New Roman"/>
        </w:rPr>
        <w:pict w14:anchorId="338118C3"/>
      </w:r>
      <w:r>
        <w:rPr>
          <w:rFonts w:eastAsia="Times New Roman"/>
        </w:rPr>
        <w:pict w14:anchorId="7A9FADD4"/>
      </w:r>
      <w:r>
        <w:rPr>
          <w:rFonts w:eastAsia="Times New Roman"/>
          <w:noProof/>
        </w:rPr>
        <w:drawing>
          <wp:inline distT="0" distB="0" distL="0" distR="0" wp14:anchorId="5ADC98AC" wp14:editId="5BD9E5A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D65D" w14:textId="77777777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6C3D374" w14:textId="77777777">
        <w:trPr>
          <w:tblCellSpacing w:w="0" w:type="dxa"/>
        </w:trPr>
        <w:tc>
          <w:tcPr>
            <w:tcW w:w="2500" w:type="pct"/>
            <w:hideMark/>
          </w:tcPr>
          <w:p w14:paraId="74D97317" w14:textId="77777777" w:rsidR="003D1AEC" w:rsidRDefault="003D1AE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2762/92</w:t>
            </w:r>
          </w:p>
        </w:tc>
        <w:tc>
          <w:tcPr>
            <w:tcW w:w="2500" w:type="pct"/>
            <w:hideMark/>
          </w:tcPr>
          <w:p w14:paraId="55213A3B" w14:textId="77777777" w:rsidR="003D1AEC" w:rsidRDefault="003D1AE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června 1992</w:t>
            </w:r>
          </w:p>
        </w:tc>
      </w:tr>
    </w:tbl>
    <w:p w14:paraId="51940A2B" w14:textId="77777777" w:rsidR="003D1AEC" w:rsidRDefault="003D1AE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června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3756E55E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BAA2782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69BA7054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0743902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vlády J. Šabaty o jednání schůze vlády České a Slovenské Federativní Republiky ze dne 11. června 1992; ministr vlády J. Šabata informoval zejména o projednávání zprávy z oboru působnosti FBIS a o projednávání analýzy vývoje ekonomiky za rok 199l.</w:t>
      </w:r>
      <w:r>
        <w:t xml:space="preserve"> </w:t>
      </w:r>
    </w:p>
    <w:p w14:paraId="75BBCA2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15. června 1992</w:t>
      </w:r>
      <w:r>
        <w:t xml:space="preserve"> </w:t>
      </w:r>
    </w:p>
    <w:p w14:paraId="4048395A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CD083D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Tento bod odpadl, neboť jednání schůze předsednictva vlády se dne 15. června 1992 nekonalo.</w:t>
      </w:r>
      <w:r>
        <w:t xml:space="preserve"> </w:t>
      </w:r>
    </w:p>
    <w:p w14:paraId="2DC1DE22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3. Zpráva o stavu přechodu čs. technických norem na technické předpisy a normy ES a návrh na vytváření systémových podmínek k jejich další harmonizaci</w:t>
      </w:r>
      <w:r>
        <w:t xml:space="preserve"> </w:t>
      </w:r>
    </w:p>
    <w:p w14:paraId="01738D41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2695/92</w:t>
      </w:r>
      <w:r>
        <w:t xml:space="preserve"> </w:t>
      </w:r>
    </w:p>
    <w:p w14:paraId="48FEB45B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E59D44F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pro hospodářskou politiku a rozvoj a přijala</w:t>
      </w:r>
    </w:p>
    <w:p w14:paraId="0732CA6C" w14:textId="00CBEAB9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432.</w:t>
        </w:r>
      </w:hyperlink>
    </w:p>
    <w:p w14:paraId="428C3E1E" w14:textId="77777777" w:rsidR="003D1AEC" w:rsidRDefault="003D1AEC">
      <w:pPr>
        <w:rPr>
          <w:rFonts w:eastAsia="Times New Roman"/>
        </w:rPr>
      </w:pPr>
    </w:p>
    <w:p w14:paraId="1937D72C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4. Poznatky z kontroly činnosti vybraných okresních úřadů a pověřených obecních úřadů</w:t>
      </w:r>
      <w:r>
        <w:t xml:space="preserve"> </w:t>
      </w:r>
    </w:p>
    <w:p w14:paraId="0E467766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2693/92</w:t>
      </w:r>
      <w:r>
        <w:t xml:space="preserve"> </w:t>
      </w:r>
    </w:p>
    <w:p w14:paraId="405F3150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F398D1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vnitra u l o ž i l a ministru vnitra doplnit předkládanou zprávu o připomínky přednesené ministryní obchodu a cestovního ruchu a ministry životního prostředí a kultury a takto upravenou zprávu předložit vládě na jednání schůze vlády dne 1. července 1992.</w:t>
      </w:r>
      <w:r>
        <w:t xml:space="preserve"> </w:t>
      </w:r>
    </w:p>
    <w:p w14:paraId="023A39BC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5. Zpráva o kontrole převzetí knihovny bývalého Ústavu marxismu-leninismu ÚV KSČ podle ústavního zákona č. 496/1990 Sb.</w:t>
      </w:r>
      <w:r>
        <w:t xml:space="preserve"> </w:t>
      </w:r>
    </w:p>
    <w:p w14:paraId="0EC5906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2686/92</w:t>
      </w:r>
      <w:r>
        <w:t xml:space="preserve"> </w:t>
      </w:r>
    </w:p>
    <w:p w14:paraId="4C42891B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F92A3A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A. Baudyšem p o v ě ř i l a ministry pro hospodářskou politiku a rozvoj, kultury a státní kontroly, aby vyjasnili otázku převzetí knihovny bývalého Ústavu marxismu-leninismu ÚV KSČ a aby při jednání s rektorem Univerzity Karlovy trvali na zachování knihovny jako jednotného funkčního celku.</w:t>
      </w:r>
      <w:r>
        <w:t xml:space="preserve"> </w:t>
      </w:r>
    </w:p>
    <w:p w14:paraId="279E2001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6. Návrh na vyjmutí státního podniku Technický a zkušební ústav stavební Praha z 2. vlny privatizace</w:t>
      </w:r>
      <w:r>
        <w:t xml:space="preserve"> </w:t>
      </w:r>
    </w:p>
    <w:p w14:paraId="783E9F60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2683/92</w:t>
      </w:r>
      <w:r>
        <w:t xml:space="preserve"> </w:t>
      </w:r>
    </w:p>
    <w:p w14:paraId="15751DFD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0C2CFB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návrh ministra průmyslu a přijala</w:t>
      </w:r>
    </w:p>
    <w:p w14:paraId="73266A41" w14:textId="1D4E6802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433.</w:t>
        </w:r>
      </w:hyperlink>
    </w:p>
    <w:p w14:paraId="23C72DFC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Zpráva o plnění úkolů uložených vládou České republiky za květen 1992</w:t>
      </w:r>
      <w:r>
        <w:rPr>
          <w:rFonts w:eastAsia="Times New Roman"/>
        </w:rPr>
        <w:t xml:space="preserve"> </w:t>
      </w:r>
    </w:p>
    <w:p w14:paraId="2B3BE574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2735/92</w:t>
      </w:r>
      <w:r>
        <w:t xml:space="preserve"> </w:t>
      </w:r>
    </w:p>
    <w:p w14:paraId="33DE62D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839C50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vedoucím Úřadu vlády ČR přijala</w:t>
      </w:r>
    </w:p>
    <w:p w14:paraId="551095B5" w14:textId="7D0B8BAE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434.</w:t>
        </w:r>
      </w:hyperlink>
    </w:p>
    <w:p w14:paraId="784C2947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Navrácení vlastnických práv k nemovitému a movitému majetku protiprávně zabranému v minulosti orgány SSM, resp. ČSM, organizacím Seskupení dětských a mládežnických organizací (Junák, YMCA, YWCA, Česká tábornická unie, Liga lesní moudrosti) a poskytnutí náhrad za zabraný nemovitý a movitý majetek, který už neexistuje nebo byl zcizen třetím osobám</w:t>
      </w:r>
      <w:r>
        <w:rPr>
          <w:rFonts w:eastAsia="Times New Roman"/>
        </w:rPr>
        <w:t xml:space="preserve"> </w:t>
      </w:r>
    </w:p>
    <w:p w14:paraId="1CD8718C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2724/92</w:t>
      </w:r>
      <w:r>
        <w:t xml:space="preserve"> </w:t>
      </w:r>
    </w:p>
    <w:p w14:paraId="3688B8F0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62BA80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materiál předložený předsedou vlády neprojednávala.</w:t>
      </w:r>
      <w:r>
        <w:t xml:space="preserve"> </w:t>
      </w:r>
    </w:p>
    <w:p w14:paraId="43DAE4E5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9. Ná</w:t>
      </w:r>
      <w:r>
        <w:rPr>
          <w:rFonts w:ascii="Times New Roman CE" w:hAnsi="Times New Roman CE" w:cs="Times New Roman CE"/>
        </w:rPr>
        <w:t>vrh na revokaci usnesení vlády České republiky č. 438 ze dne 30. 10. 1991 k převodu systemizovaných míst z okresních úřadů na Správy národních parků v souvislosti se změnami kompetencí dle zákona ČNR č. 114 z 19. února 1992 o ochraně přírody a krajiny</w:t>
      </w:r>
      <w:r>
        <w:t xml:space="preserve"> </w:t>
      </w:r>
    </w:p>
    <w:p w14:paraId="3F8C0DCB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2728/92</w:t>
      </w:r>
      <w:r>
        <w:t xml:space="preserve"> </w:t>
      </w:r>
    </w:p>
    <w:p w14:paraId="7AF9EE19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302E9D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 přijala</w:t>
      </w:r>
    </w:p>
    <w:p w14:paraId="10792EDB" w14:textId="7D7D8DF0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435.</w:t>
        </w:r>
      </w:hyperlink>
    </w:p>
    <w:p w14:paraId="140737AA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Krytí finančních rizik a garance vlády ČR obchodního případu elektrárna 4 x 64 MW - Iranshahr</w:t>
      </w:r>
      <w:r>
        <w:rPr>
          <w:rFonts w:eastAsia="Times New Roman"/>
        </w:rPr>
        <w:t xml:space="preserve"> </w:t>
      </w:r>
    </w:p>
    <w:p w14:paraId="73EF3FC2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2658/92</w:t>
      </w:r>
      <w:r>
        <w:t xml:space="preserve"> </w:t>
      </w:r>
    </w:p>
    <w:p w14:paraId="3C6DEEDC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7151A6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přijala</w:t>
      </w:r>
    </w:p>
    <w:p w14:paraId="76564470" w14:textId="18FE7E0C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436.</w:t>
        </w:r>
      </w:hyperlink>
    </w:p>
    <w:p w14:paraId="668C758B" w14:textId="77777777" w:rsidR="003D1AEC" w:rsidRDefault="003D1AEC">
      <w:pPr>
        <w:rPr>
          <w:rFonts w:eastAsia="Times New Roman"/>
        </w:rPr>
      </w:pPr>
    </w:p>
    <w:p w14:paraId="35865540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11. Harmonogram zavádění systému všeobecného zdravotního pojištění</w:t>
      </w:r>
      <w:r>
        <w:t xml:space="preserve"> </w:t>
      </w:r>
    </w:p>
    <w:p w14:paraId="7D814679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2742/92</w:t>
      </w:r>
      <w:r>
        <w:t xml:space="preserve"> </w:t>
      </w:r>
    </w:p>
    <w:p w14:paraId="63798212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77FDEF4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0F991E7F" w14:textId="4128C8D5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437.</w:t>
        </w:r>
      </w:hyperlink>
    </w:p>
    <w:p w14:paraId="0033982D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Rozporování rozhodnutí Hospodářské rady vlády ČR ve vládě ČR - privatizace s.p. Vysočina, masný průmysl, s.p. Hodice Třešť</w:t>
      </w:r>
      <w:r>
        <w:rPr>
          <w:rFonts w:eastAsia="Times New Roman"/>
        </w:rPr>
        <w:t xml:space="preserve"> </w:t>
      </w:r>
    </w:p>
    <w:p w14:paraId="5661A600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2743/92</w:t>
      </w:r>
      <w:r>
        <w:t xml:space="preserve"> </w:t>
      </w:r>
    </w:p>
    <w:p w14:paraId="7B2A3BEB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E49A082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zemědělství přijala</w:t>
      </w:r>
    </w:p>
    <w:p w14:paraId="099F51B4" w14:textId="629CCF94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438.</w:t>
        </w:r>
      </w:hyperlink>
    </w:p>
    <w:p w14:paraId="400E1BE4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Zpráva o výsledku kontroly plnění opatření uložených vládou ČR na základě prověrky odstraňování technických překážek obchodu se zeměmi Evropského společenství</w:t>
      </w:r>
      <w:r>
        <w:rPr>
          <w:rFonts w:eastAsia="Times New Roman"/>
        </w:rPr>
        <w:t xml:space="preserve"> </w:t>
      </w:r>
    </w:p>
    <w:p w14:paraId="7850C7D3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2680/92</w:t>
      </w:r>
      <w:r>
        <w:t xml:space="preserve"> </w:t>
      </w:r>
    </w:p>
    <w:p w14:paraId="4E0EED3A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DAFA26A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zprávu ministra státní kontroly a přijala</w:t>
      </w:r>
    </w:p>
    <w:p w14:paraId="45F675E7" w14:textId="59A9108F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439.</w:t>
        </w:r>
      </w:hyperlink>
    </w:p>
    <w:p w14:paraId="1B15FE01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Zpráva o vývoji rozpočtového hospodaření v roce 1992 a o jeho otevřených problémech</w:t>
      </w:r>
      <w:r>
        <w:rPr>
          <w:rFonts w:eastAsia="Times New Roman"/>
        </w:rPr>
        <w:t xml:space="preserve"> </w:t>
      </w:r>
    </w:p>
    <w:p w14:paraId="35BE3319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2738/92</w:t>
      </w:r>
      <w:r>
        <w:t xml:space="preserve"> </w:t>
      </w:r>
    </w:p>
    <w:p w14:paraId="5CBB0B8A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B69596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D9556EA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a) k o n s t a t o v a l a , že vývoj plnění státního rozpočtu České republiky v počátečním období roku 1992 je zatím vyrovnaný, existují však signály, že by mohlo dojít k ohrožení vyrovnanosti v dalším průběhu roku vzhledem k nenaplňování rozpočtovaných příjmů,</w:t>
      </w:r>
      <w:r>
        <w:t xml:space="preserve"> </w:t>
      </w:r>
    </w:p>
    <w:p w14:paraId="3534040F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b) v z a l a n a v ě d o m í</w:t>
      </w:r>
      <w:r>
        <w:t xml:space="preserve"> </w:t>
      </w:r>
    </w:p>
    <w:p w14:paraId="278C7E01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ba) výsledky plnění státního rozpočtu České republiky za I. čtvrtletí a měsíc duben 1992,</w:t>
      </w:r>
      <w:r>
        <w:t xml:space="preserve"> </w:t>
      </w:r>
    </w:p>
    <w:p w14:paraId="53CABBF0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bb) že ministr financí bude pokračovat v regulaci plnění státního rozpočtu České republiky i ve II. pololetí 1992 podle zákona o rozpočtových pravidlech republiky.</w:t>
      </w:r>
      <w:r>
        <w:t xml:space="preserve"> </w:t>
      </w:r>
    </w:p>
    <w:p w14:paraId="2398BC48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15. Návrh na odvolání přednostů Okresních úřadů Brno-město, Plzeň-město a Ostrava-město z funkce</w:t>
      </w:r>
      <w:r>
        <w:t xml:space="preserve"> </w:t>
      </w:r>
    </w:p>
    <w:p w14:paraId="357BE4AF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2741/92</w:t>
      </w:r>
      <w:r>
        <w:t xml:space="preserve"> </w:t>
      </w:r>
    </w:p>
    <w:p w14:paraId="6D00CED6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0BC999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návrhu předloženého ministrem vnitra přijala</w:t>
      </w:r>
    </w:p>
    <w:p w14:paraId="0641D51E" w14:textId="6819DD2D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440.</w:t>
        </w:r>
      </w:hyperlink>
    </w:p>
    <w:p w14:paraId="26998DE8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věcných podmínek k zabezpečení trvalého pobytu osob českého původu z oblasti postižené vojenským konfliktem v Moldávii na území České republiky</w:t>
      </w:r>
      <w:r>
        <w:rPr>
          <w:rFonts w:eastAsia="Times New Roman"/>
        </w:rPr>
        <w:t xml:space="preserve"> </w:t>
      </w:r>
    </w:p>
    <w:p w14:paraId="6BE5C4FC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2737/92</w:t>
      </w:r>
      <w:r>
        <w:t xml:space="preserve"> </w:t>
      </w:r>
    </w:p>
    <w:p w14:paraId="68C2F13A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9AD3DAD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návrh předložený zmocněncem vlády České republiky pro řešení problematiky spojené s přesídlením osob českého původu z Ukrajiny a Běloruska do ČSFR a přijala</w:t>
      </w:r>
    </w:p>
    <w:p w14:paraId="2623D623" w14:textId="25FE0FF4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441.</w:t>
        </w:r>
      </w:hyperlink>
    </w:p>
    <w:p w14:paraId="47DAD0B6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Schválení privatizačního projektu státní hospodářské organizace Filmové studio Barrandov, Kříženeckého náměstí č. 322, Praha 5 a Filmových laboratoří Barrandov-závod Praha, Kříženeckého náměstí č. 322, Praha 5</w:t>
      </w:r>
      <w:r>
        <w:rPr>
          <w:rFonts w:eastAsia="Times New Roman"/>
        </w:rPr>
        <w:t xml:space="preserve"> </w:t>
      </w:r>
    </w:p>
    <w:p w14:paraId="3085A159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2750/92</w:t>
      </w:r>
      <w:r>
        <w:t xml:space="preserve"> </w:t>
      </w:r>
    </w:p>
    <w:p w14:paraId="118B94E6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DBEC8F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 o v ě ř i l a ministryni obchodu a cestovního ruchu soustředit námitky proti předloženému privatizačnímu projektu tak, aby jejich písemné vyhotovení obdrželi členové vlády do 22. června 1992 a vláda se jimi mohla zabývat na jednání schůze vlády dne 24. června 1992.</w:t>
      </w:r>
      <w:r>
        <w:t xml:space="preserve"> </w:t>
      </w:r>
    </w:p>
    <w:p w14:paraId="3A0EFBD9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18. Žádost o změnu usnesení Hospodářské rady vlády České republiky č. 24 z 28. 5. 1992 týkající se privatizace hotelu Alessandria Hradec Králové, který je součástí s.p. Interhotel Labe Pardubice</w:t>
      </w:r>
      <w:r>
        <w:t xml:space="preserve"> </w:t>
      </w:r>
    </w:p>
    <w:p w14:paraId="6BE07BC3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2758/92</w:t>
      </w:r>
      <w:r>
        <w:t xml:space="preserve"> </w:t>
      </w:r>
    </w:p>
    <w:p w14:paraId="1DF8D011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52E920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žádost ministryně obchodu a cestovního ruchu a přijala</w:t>
      </w:r>
    </w:p>
    <w:p w14:paraId="20C65F5F" w14:textId="1E1664C5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442.</w:t>
        </w:r>
      </w:hyperlink>
    </w:p>
    <w:p w14:paraId="754584F8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Návrhy na členy představenstva a.s. Moravské typografie a jejich charakteristiky</w:t>
      </w:r>
      <w:r>
        <w:rPr>
          <w:rFonts w:eastAsia="Times New Roman"/>
        </w:rPr>
        <w:t xml:space="preserve"> </w:t>
      </w:r>
    </w:p>
    <w:p w14:paraId="070B068C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06E46D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v z a l a n a v ě d o m í předběžné návrhy členů představenstva a.s. Moravská typografie předložené dle úkolu ze záznamu z jednání schůze vlády z 10. června 1992, bod 32, s tím, že konečné návrhy předloží ministr pro hospodářskou politiku a rozvoj tak, aby mohly být projednány na jednání schůze vlády dne 24. června 1992.</w:t>
      </w:r>
      <w:r>
        <w:t xml:space="preserve"> </w:t>
      </w:r>
    </w:p>
    <w:p w14:paraId="1C7612F3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20. Jmenování členů Správní rady a Dozorčí rady Všeobecné zdravotní pojišťovny</w:t>
      </w:r>
      <w:r>
        <w:t xml:space="preserve"> </w:t>
      </w:r>
    </w:p>
    <w:p w14:paraId="78C1B696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2757/92</w:t>
      </w:r>
      <w:r>
        <w:t xml:space="preserve"> </w:t>
      </w:r>
    </w:p>
    <w:p w14:paraId="3A868F2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2FA6C2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přijala</w:t>
      </w:r>
    </w:p>
    <w:p w14:paraId="5A1D5284" w14:textId="322521F8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443.</w:t>
        </w:r>
      </w:hyperlink>
    </w:p>
    <w:p w14:paraId="31F37D54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Jmenování orgánů akciových společností</w:t>
      </w:r>
      <w:r>
        <w:rPr>
          <w:rFonts w:eastAsia="Times New Roman"/>
        </w:rPr>
        <w:t xml:space="preserve"> </w:t>
      </w:r>
    </w:p>
    <w:p w14:paraId="651BBE27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2751/92</w:t>
      </w:r>
      <w:r>
        <w:t xml:space="preserve"> </w:t>
      </w:r>
    </w:p>
    <w:p w14:paraId="745AD8AC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5C373E03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zemědělství s tím, že uvedenou problematikou se v širších souvislostech bude zabývat Hospodářská rada vlády ČR.</w:t>
      </w:r>
      <w:r>
        <w:t xml:space="preserve"> </w:t>
      </w:r>
    </w:p>
    <w:p w14:paraId="4E52D8EC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22. Návrh na jmenování zmocněnce vlády České republiky pro otázky uprchlíků a doplnění "Statutu zmocněnce"</w:t>
      </w:r>
      <w:r>
        <w:t xml:space="preserve"> </w:t>
      </w:r>
    </w:p>
    <w:p w14:paraId="5B58BBC9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2753/92</w:t>
      </w:r>
      <w:r>
        <w:t xml:space="preserve"> </w:t>
      </w:r>
    </w:p>
    <w:p w14:paraId="7628F6F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985A79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vnitra přijala</w:t>
      </w:r>
    </w:p>
    <w:p w14:paraId="1BD39286" w14:textId="66D0F9B9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444.</w:t>
        </w:r>
      </w:hyperlink>
    </w:p>
    <w:p w14:paraId="1EA8EBDC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Seznam privatizačních projektů navržených Hospodářskou radou vlády České republiky ke schválení</w:t>
      </w:r>
      <w:r>
        <w:rPr>
          <w:rFonts w:eastAsia="Times New Roman"/>
        </w:rPr>
        <w:t xml:space="preserve"> </w:t>
      </w:r>
    </w:p>
    <w:p w14:paraId="516D0DD8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2752/92</w:t>
      </w:r>
      <w:r>
        <w:t xml:space="preserve"> </w:t>
      </w:r>
    </w:p>
    <w:p w14:paraId="5FB8F6C7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5E00BE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J. Stráským a přijala</w:t>
      </w:r>
    </w:p>
    <w:p w14:paraId="0F3688EC" w14:textId="269D7926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445</w:t>
        </w:r>
      </w:hyperlink>
    </w:p>
    <w:p w14:paraId="3A2F88F2" w14:textId="77777777" w:rsidR="003D1AEC" w:rsidRDefault="003D1AE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24. června 1992, pokud žádný z členů vlády v uvedené lhůtě nevznese námitky.</w:t>
      </w:r>
      <w:r>
        <w:rPr>
          <w:rFonts w:eastAsia="Times New Roman"/>
        </w:rPr>
        <w:t xml:space="preserve"> </w:t>
      </w:r>
    </w:p>
    <w:p w14:paraId="4CA58321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24. Podklady pro přípravu upřesnění záznamu z jednání mimořádné schůze vlády, která se týkala informace o jaderné elektrárně Temelín a konala se 15. června 1992</w:t>
      </w:r>
      <w:r>
        <w:t xml:space="preserve"> </w:t>
      </w:r>
    </w:p>
    <w:p w14:paraId="04A47351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E8943D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v z a l a n a v ě d o m í návrh písemného upřesnění záznamu z jednání mimořádné schůze vlády týkající se jaderné elektrárny Temelín, která se konala 15. června 1992, s tím, že ministr životního prostředí soustředí případné připomínky členům vlády k tomuto návrhu tak, aby návrh upřesnění mohl být projednán na jednání schůze vlády dne 24. června 1992.</w:t>
      </w:r>
      <w:r>
        <w:t xml:space="preserve"> </w:t>
      </w:r>
    </w:p>
    <w:p w14:paraId="7C8BA945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 xml:space="preserve">25. Doplnění usnesení vlády z 29. dubna 1992 č. 322 a usnesení vlády z 10. června 1992 č. 426 týkajících se privatizačního projektu státního podniku Plzeňské pivovary Plzeň </w:t>
      </w:r>
    </w:p>
    <w:p w14:paraId="14E9B65A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055EF4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V l á d a projednala ústní žádost ministra pro správu národního majetku a jeho privatizaci a přijala</w:t>
      </w:r>
    </w:p>
    <w:p w14:paraId="1A18A2B1" w14:textId="1384F3B3" w:rsidR="003D1AEC" w:rsidRDefault="003D1AE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446.</w:t>
        </w:r>
      </w:hyperlink>
    </w:p>
    <w:p w14:paraId="3E2610EE" w14:textId="77777777" w:rsidR="003D1AEC" w:rsidRDefault="003D1AEC">
      <w:pPr>
        <w:rPr>
          <w:rFonts w:eastAsia="Times New Roman"/>
        </w:rPr>
      </w:pPr>
    </w:p>
    <w:p w14:paraId="55644FE1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04594747" w14:textId="77777777" w:rsidR="003D1AEC" w:rsidRDefault="003D1AE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0102EC7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1. Bezúplatný převod vlastnictví některých soudních budov mezi Českou republikou a Českou a Slovenskou Federativní Republikou</w:t>
      </w:r>
      <w:r>
        <w:t xml:space="preserve"> </w:t>
      </w:r>
    </w:p>
    <w:p w14:paraId="37DF8D24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2713/92</w:t>
      </w:r>
      <w:r>
        <w:t xml:space="preserve"> </w:t>
      </w:r>
    </w:p>
    <w:p w14:paraId="163679D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2. Zajištění výkonu státní správy na úseku živnostenského podnikání</w:t>
      </w:r>
      <w:r>
        <w:t xml:space="preserve"> </w:t>
      </w:r>
    </w:p>
    <w:p w14:paraId="42EE00AE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2677/92</w:t>
      </w:r>
      <w:r>
        <w:t xml:space="preserve"> </w:t>
      </w:r>
    </w:p>
    <w:p w14:paraId="3F9CF48B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3. Informace o vývoji obchodu a cestovního ruchu v I. čtvrtletí 1992</w:t>
      </w:r>
      <w:r>
        <w:t xml:space="preserve"> </w:t>
      </w:r>
    </w:p>
    <w:p w14:paraId="035E5077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č.j. 2676/92</w:t>
      </w:r>
      <w:r>
        <w:t xml:space="preserve"> </w:t>
      </w:r>
    </w:p>
    <w:p w14:paraId="5441A225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4F65921" w14:textId="77777777" w:rsidR="003D1AEC" w:rsidRDefault="003D1AEC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29C63236" w14:textId="77777777" w:rsidR="003D1AEC" w:rsidRDefault="003D1AE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EC"/>
    <w:rsid w:val="003D1AE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D0F4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9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6-17" TargetMode="External"/><Relationship Id="rId13" Type="http://schemas.openxmlformats.org/officeDocument/2006/relationships/hyperlink" Target="file:///c:\redir.nsf%3fRedirect&amp;To=\66bbfabee8e70f37c125642e0052aae5\8c1d84e8f646ff30c12564b500271e48%3fOpen&amp;Name=CN=Ghoul\O=ENV\C=CZ&amp;Id=C1256A62004E5036" TargetMode="External"/><Relationship Id="rId18" Type="http://schemas.openxmlformats.org/officeDocument/2006/relationships/hyperlink" Target="file:///c:\redir.nsf%3fRedirect&amp;To=\66bbfabee8e70f37c125642e0052aae5\b27350fd520482d8c12564b500271f99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dcc3d9a947b6c4cc12564b500271e3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337af0e6ae448fcdc12564b500271d90%3fOpen&amp;Name=CN=Ghoul\O=ENV\C=CZ&amp;Id=C1256A62004E5036" TargetMode="External"/><Relationship Id="rId17" Type="http://schemas.openxmlformats.org/officeDocument/2006/relationships/hyperlink" Target="file:///c:\redir.nsf%3fRedirect&amp;To=\66bbfabee8e70f37c125642e0052aae5\84a6d38df58a0121c12564b500271eec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3a91e646448fbe3c12564b500271dfa%3fOpen&amp;Name=CN=Ghoul\O=ENV\C=CZ&amp;Id=C1256A62004E5036" TargetMode="External"/><Relationship Id="rId20" Type="http://schemas.openxmlformats.org/officeDocument/2006/relationships/hyperlink" Target="file:///c:\redir.nsf%3fRedirect&amp;To=\66bbfabee8e70f37c125642e0052aae5\4796f6febb41c221c12564b500271d5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e24ba3d12a8b9a8c12564b500271eaf%3fOpen&amp;Name=CN=Ghoul\O=ENV\C=CZ&amp;Id=C1256A62004E5036" TargetMode="External"/><Relationship Id="rId24" Type="http://schemas.openxmlformats.org/officeDocument/2006/relationships/hyperlink" Target="file:///c:\redir.nsf%3fRedirect&amp;To=\66bbfabee8e70f37c125642e0052aae5\007091bc459d9a05c12564b500271ec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52d6e9624b9f710c12564b500272030%3fOpen&amp;Name=CN=Ghoul\O=ENV\C=CZ&amp;Id=C1256A62004E5036" TargetMode="External"/><Relationship Id="rId23" Type="http://schemas.openxmlformats.org/officeDocument/2006/relationships/hyperlink" Target="file:///c:\redir.nsf%3fRedirect&amp;To=\66bbfabee8e70f37c125642e0052aae5\95d36950883b6c89c12564b500271de8%3fOpen&amp;Name=CN=Ghoul\O=ENV\C=CZ&amp;Id=C1256A62004E5036" TargetMode="External"/><Relationship Id="rId10" Type="http://schemas.openxmlformats.org/officeDocument/2006/relationships/hyperlink" Target="file:///c:\redir.nsf%3fRedirect&amp;To=\66bbfabee8e70f37c125642e0052aae5\bdf98e0c4ef27f0ac12564b500271fb9%3fOpen&amp;Name=CN=Ghoul\O=ENV\C=CZ&amp;Id=C1256A62004E5036" TargetMode="External"/><Relationship Id="rId19" Type="http://schemas.openxmlformats.org/officeDocument/2006/relationships/hyperlink" Target="file:///c:\redir.nsf%3fRedirect&amp;To=\66bbfabee8e70f37c125642e0052aae5\c54c96f994303349c12564b500271f3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45728ed3ca8e937c12564b500271dcf%3fOpen&amp;Name=CN=Ghoul\O=ENV\C=CZ&amp;Id=C1256A62004E5036" TargetMode="External"/><Relationship Id="rId22" Type="http://schemas.openxmlformats.org/officeDocument/2006/relationships/hyperlink" Target="file:///c:\redir.nsf%3fRedirect&amp;To=\66bbfabee8e70f37c125642e0052aae5\992289ed4d9ea45cc12564b500271f26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1993</Words>
  <Characters>11362</Characters>
  <Application>Microsoft Office Word</Application>
  <DocSecurity>0</DocSecurity>
  <Lines>94</Lines>
  <Paragraphs>26</Paragraphs>
  <ScaleCrop>false</ScaleCrop>
  <Company>Profinit EU s.r.o.</Company>
  <LinksUpToDate>false</LinksUpToDate>
  <CharactersWithSpaces>13329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