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C30AA5" w14:textId="77777777" w:rsidR="00C95352" w:rsidRDefault="00C95352">
      <w:pPr>
        <w:pStyle w:val="z-TopofForm"/>
      </w:pPr>
      <w:r>
        <w:t>Top of Form</w:t>
      </w:r>
    </w:p>
    <w:p w14:paraId="3A7C2AC4" w14:textId="2DDD00AA" w:rsidR="00C95352" w:rsidRDefault="00C95352">
      <w:pPr>
        <w:pStyle w:val="Heading5"/>
        <w:divId w:val="207017990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1994-03-16</w:t>
        </w:r>
      </w:hyperlink>
    </w:p>
    <w:p w14:paraId="48817E57" w14:textId="77777777" w:rsidR="00C95352" w:rsidRDefault="00C95352">
      <w:pPr>
        <w:rPr>
          <w:rFonts w:eastAsia="Times New Roman"/>
        </w:rPr>
      </w:pPr>
    </w:p>
    <w:p w14:paraId="2AD8A0FB" w14:textId="77777777" w:rsidR="00C95352" w:rsidRDefault="00C95352">
      <w:pPr>
        <w:divId w:val="86471385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A47AB3" w14:textId="77777777" w:rsidR="00C95352" w:rsidRDefault="00C95352">
      <w:pPr>
        <w:divId w:val="747922287"/>
        <w:rPr>
          <w:rFonts w:eastAsia="Times New Roman"/>
        </w:rPr>
      </w:pPr>
      <w:r>
        <w:rPr>
          <w:rFonts w:eastAsia="Times New Roman"/>
        </w:rPr>
        <w:pict w14:anchorId="58B24FED"/>
      </w:r>
      <w:r>
        <w:rPr>
          <w:rFonts w:eastAsia="Times New Roman"/>
        </w:rPr>
        <w:pict w14:anchorId="4BB10A31"/>
      </w:r>
      <w:r>
        <w:rPr>
          <w:rFonts w:eastAsia="Times New Roman"/>
          <w:noProof/>
        </w:rPr>
        <w:drawing>
          <wp:inline distT="0" distB="0" distL="0" distR="0" wp14:anchorId="61E0E47F" wp14:editId="0BAACF2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03BC" w14:textId="77777777" w:rsidR="00C95352" w:rsidRDefault="00C953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CB90344" w14:textId="77777777">
        <w:trPr>
          <w:tblCellSpacing w:w="0" w:type="dxa"/>
        </w:trPr>
        <w:tc>
          <w:tcPr>
            <w:tcW w:w="2500" w:type="pct"/>
            <w:hideMark/>
          </w:tcPr>
          <w:p w14:paraId="7D1033E9" w14:textId="77777777" w:rsidR="00C95352" w:rsidRDefault="00C9535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2021/94</w:t>
            </w:r>
          </w:p>
        </w:tc>
        <w:tc>
          <w:tcPr>
            <w:tcW w:w="2500" w:type="pct"/>
            <w:hideMark/>
          </w:tcPr>
          <w:p w14:paraId="71A47212" w14:textId="77777777" w:rsidR="00C95352" w:rsidRDefault="00C9535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března 1994</w:t>
            </w:r>
          </w:p>
        </w:tc>
      </w:tr>
    </w:tbl>
    <w:p w14:paraId="70BF22BD" w14:textId="77777777" w:rsidR="00C95352" w:rsidRDefault="00C9535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16. března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6FA4A119" w14:textId="77777777" w:rsidR="00C95352" w:rsidRDefault="00C953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9C5206A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1. Návrh zásad ústavního zákona o vytvoření vyšších územních samosprávných celků a jejich samostatné působnosti (tisk č. 842)</w:t>
      </w:r>
      <w:r>
        <w:t xml:space="preserve"> </w:t>
      </w:r>
    </w:p>
    <w:p w14:paraId="3A793E60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141/94</w:t>
      </w:r>
      <w:r>
        <w:t xml:space="preserve"> </w:t>
      </w:r>
    </w:p>
    <w:p w14:paraId="585AC7BC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AD4F7D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CCF403B" w14:textId="03C4C320" w:rsidR="00C95352" w:rsidRDefault="00C953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139.</w:t>
        </w:r>
      </w:hyperlink>
    </w:p>
    <w:p w14:paraId="65DFFEC2" w14:textId="77777777" w:rsidR="00C95352" w:rsidRDefault="00C953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zásad zákona o přenesené působnosti vyšších územně samosprávných celků (tisk č. 849)</w:t>
      </w:r>
      <w:r>
        <w:rPr>
          <w:rFonts w:eastAsia="Times New Roman"/>
        </w:rPr>
        <w:t xml:space="preserve"> </w:t>
      </w:r>
    </w:p>
    <w:p w14:paraId="5D3D44E5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142/93</w:t>
      </w:r>
      <w:r>
        <w:t xml:space="preserve"> </w:t>
      </w:r>
    </w:p>
    <w:p w14:paraId="1288FF07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AC705C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E5F3177" w14:textId="7C7E0E15" w:rsidR="00C95352" w:rsidRDefault="00C953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140.</w:t>
        </w:r>
      </w:hyperlink>
    </w:p>
    <w:p w14:paraId="54F99D56" w14:textId="77777777" w:rsidR="00C95352" w:rsidRDefault="00C9535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3. Návrh nařízení vlády, kterým se stanoví zásady pro nakládání se státními hmotnými rezervami a pro finanční hospodaření Správy státních hmotných rezerv</w:t>
      </w:r>
      <w:r>
        <w:rPr>
          <w:rFonts w:eastAsia="Times New Roman"/>
        </w:rPr>
        <w:t xml:space="preserve"> </w:t>
      </w:r>
    </w:p>
    <w:p w14:paraId="0715D6DE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117/94</w:t>
      </w:r>
      <w:r>
        <w:t xml:space="preserve"> </w:t>
      </w:r>
    </w:p>
    <w:p w14:paraId="6BE0C854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723BDF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Návrh předložený ministrem hospodářství a ing. D. Štrauchem, CSc., pověřeným řízením Správy státních hmotných rezerv, byl stažen z programu jednání.</w:t>
      </w:r>
      <w:r>
        <w:t xml:space="preserve"> </w:t>
      </w:r>
    </w:p>
    <w:p w14:paraId="1E6FAF82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4. Návrh statutu Správy státních hmotných rezerv č.j. 1093/93</w:t>
      </w:r>
      <w:r>
        <w:t xml:space="preserve"> </w:t>
      </w:r>
    </w:p>
    <w:p w14:paraId="3DACCB5E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2902B762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Návrh předložený ministrem hospodářství a ing. D. Štrauchem, CSc., pověřeným řízením Správy státních hmotných rezerv, byl stažen z programu jednání.</w:t>
      </w:r>
      <w:r>
        <w:t xml:space="preserve"> </w:t>
      </w:r>
    </w:p>
    <w:p w14:paraId="6841E318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5. Návrh zákona o opatřeních ve vztahu k Libyi</w:t>
      </w:r>
      <w:r>
        <w:t xml:space="preserve"> </w:t>
      </w:r>
    </w:p>
    <w:p w14:paraId="42B20E46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168/94</w:t>
      </w:r>
      <w:r>
        <w:t xml:space="preserve"> </w:t>
      </w:r>
    </w:p>
    <w:p w14:paraId="43DA6540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2C6B2F94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270D06C0" w14:textId="66CE6B7F" w:rsidR="00C95352" w:rsidRDefault="00C953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141</w:t>
        </w:r>
      </w:hyperlink>
    </w:p>
    <w:p w14:paraId="39C8C041" w14:textId="77777777" w:rsidR="00C95352" w:rsidRDefault="00C953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 důvodové zprávy návrhu zákona (posledního odstavce obecné části) bude vypuštěna věta o tom, že přijetí navrhovaného zákona nebude mít přímý dopad na státní rozpočet.</w:t>
      </w:r>
      <w:r>
        <w:rPr>
          <w:rFonts w:eastAsia="Times New Roman"/>
        </w:rPr>
        <w:t xml:space="preserve"> </w:t>
      </w:r>
    </w:p>
    <w:p w14:paraId="6584428C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6. Návrh opatření k řešení situace v okresech s nejvyšší mírou nezaměstnanosti</w:t>
      </w:r>
      <w:r>
        <w:t xml:space="preserve"> </w:t>
      </w:r>
    </w:p>
    <w:p w14:paraId="1DF9D2E6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206/94</w:t>
      </w:r>
      <w:r>
        <w:t xml:space="preserve"> </w:t>
      </w:r>
    </w:p>
    <w:p w14:paraId="141C7376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86284C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Návrh předložený ministry hospodářství a práce a sociálních věcí byl stažen z programu jednání s tím, že bude dopracován podle zadání vlády (doplněna předpokládaná výše finančních prostředků a jejich zdroje, upraven bod 8 části A přílohy návrhu usnesení vlády, doplněna důvodová zpráva) a projednán na jednání schůze vlády dne 23. března 1994.</w:t>
      </w:r>
      <w:r>
        <w:t xml:space="preserve"> </w:t>
      </w:r>
    </w:p>
    <w:p w14:paraId="0FC4A874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7. Návrh na návratnou finanční výpomoc ze státního rozpočtu, pro pokrytí příhraničních oblastí ČR sousedících se SR signálem programu České televize</w:t>
      </w:r>
      <w:r>
        <w:t xml:space="preserve"> </w:t>
      </w:r>
    </w:p>
    <w:p w14:paraId="067F3081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lastRenderedPageBreak/>
        <w:t>č.j. 187/94</w:t>
      </w:r>
      <w:r>
        <w:t xml:space="preserve"> </w:t>
      </w:r>
    </w:p>
    <w:p w14:paraId="5874677B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B2B061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s návrhem předloženým ministrem hospodářství n e s o u h l a s i l a a d o p o r u č i l a ministru hospodářství řešit finanční zabezpečení pokrytí příhraničních oblastí České republiky sousedících se Slovenskou republikou signálem programu České televize z vlastních finančních zdrojů akciové společnosti České radiokomunikace.</w:t>
      </w:r>
      <w:r>
        <w:t xml:space="preserve"> </w:t>
      </w:r>
    </w:p>
    <w:p w14:paraId="562532C8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8. Informace o průběhu plnění usnesení vlády č. 727 ze dne 22. 12. 1993 o harmonogramu úkonů k uskutečnění převodu majetku v bývalých VÚ Ralsko a Mladá</w:t>
      </w:r>
      <w:r>
        <w:t xml:space="preserve"> </w:t>
      </w:r>
    </w:p>
    <w:p w14:paraId="6C1A0FAD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197/94</w:t>
      </w:r>
      <w:r>
        <w:t xml:space="preserve"> </w:t>
      </w:r>
    </w:p>
    <w:p w14:paraId="3ED844B4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D073C0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informaci předloženou ministrem hospodářství</w:t>
      </w:r>
      <w:r>
        <w:t xml:space="preserve"> </w:t>
      </w:r>
    </w:p>
    <w:p w14:paraId="1CF555BC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a) v z a l a n a v ě d o m í ,</w:t>
      </w:r>
      <w:r>
        <w:t xml:space="preserve"> </w:t>
      </w:r>
    </w:p>
    <w:p w14:paraId="0AE6BDA1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b) u l o ž i l a členům vlády důsledně a průběžně plnit úkoly a termíny vyplývající z Harmonogramu úkonů k uskutečnění převodu majetku v bývalých vojenských újezdech Ralsko a Mladá přijatého usnesením vlády z 22. prosince 1993 č. 727, o harmonogramu úkonů k uskutečnění převodu majetku v bývalých vojenských újezdech Ralsko a Mladá a dalších opatřeních, a neprodleně splnit úkoly vyplývající z předložené informace.</w:t>
      </w:r>
      <w:r>
        <w:t xml:space="preserve"> </w:t>
      </w:r>
    </w:p>
    <w:p w14:paraId="51058308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9. Návrh na sjednání Obchodní dohody mezi vládou České republiky a vládou Libanonské republiky</w:t>
      </w:r>
      <w:r>
        <w:t xml:space="preserve"> </w:t>
      </w:r>
    </w:p>
    <w:p w14:paraId="5B80B6ED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195/94</w:t>
      </w:r>
      <w:r>
        <w:t xml:space="preserve"> </w:t>
      </w:r>
    </w:p>
    <w:p w14:paraId="73F686F3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A404D9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565ADA50" w14:textId="0D07B40A" w:rsidR="00C95352" w:rsidRDefault="00C953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142.</w:t>
        </w:r>
      </w:hyperlink>
    </w:p>
    <w:p w14:paraId="767614F6" w14:textId="77777777" w:rsidR="00C95352" w:rsidRDefault="00C953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sjednání Dohody mezi vládou České republiky a vládou Ruské federace o spolupráci v oblasti veterinární péče</w:t>
      </w:r>
      <w:r>
        <w:rPr>
          <w:rFonts w:eastAsia="Times New Roman"/>
        </w:rPr>
        <w:t xml:space="preserve"> </w:t>
      </w:r>
    </w:p>
    <w:p w14:paraId="2B0F22C5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183/94</w:t>
      </w:r>
      <w:r>
        <w:t xml:space="preserve"> </w:t>
      </w:r>
    </w:p>
    <w:p w14:paraId="7EB5ADB7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D630A1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261460BD" w14:textId="72BCAEC8" w:rsidR="00C95352" w:rsidRDefault="00C953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143.</w:t>
        </w:r>
      </w:hyperlink>
    </w:p>
    <w:p w14:paraId="76CFFABD" w14:textId="77777777" w:rsidR="00C95352" w:rsidRDefault="00C953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sjednání Dohody mezi vládou České republiky a vládou Ruské federace o spolupráci na úseku karantény a ochrany rostlin</w:t>
      </w:r>
      <w:r>
        <w:rPr>
          <w:rFonts w:eastAsia="Times New Roman"/>
        </w:rPr>
        <w:t xml:space="preserve"> </w:t>
      </w:r>
    </w:p>
    <w:p w14:paraId="23D31AD3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184/94</w:t>
      </w:r>
      <w:r>
        <w:t xml:space="preserve"> </w:t>
      </w:r>
    </w:p>
    <w:p w14:paraId="74B8D55C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DE19EA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70950AA2" w14:textId="23AC7811" w:rsidR="00C95352" w:rsidRDefault="00C953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144.</w:t>
        </w:r>
      </w:hyperlink>
    </w:p>
    <w:p w14:paraId="20C5E6F5" w14:textId="77777777" w:rsidR="00C95352" w:rsidRDefault="00C953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sjednání Dohody mezi vládou České republiky a vládou Spolkové republiky Německo o malém pohraničním styku na turistických stezkách a v turistických zónách a o překračování státních hranic ve zvláštních případech</w:t>
      </w:r>
      <w:r>
        <w:rPr>
          <w:rFonts w:eastAsia="Times New Roman"/>
        </w:rPr>
        <w:t xml:space="preserve"> </w:t>
      </w:r>
    </w:p>
    <w:p w14:paraId="633A1374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192/94</w:t>
      </w:r>
      <w:r>
        <w:t xml:space="preserve"> </w:t>
      </w:r>
    </w:p>
    <w:p w14:paraId="460929CC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955D16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vnitra a zahraničních věcí</w:t>
      </w:r>
      <w:r>
        <w:t xml:space="preserve"> </w:t>
      </w:r>
    </w:p>
    <w:p w14:paraId="4520F700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a) k o n s t a t o v a l a svůj zájem na uzavření dohody o malém pohraničním styku na turistických stezkách a v turistických zónách,</w:t>
      </w:r>
      <w:r>
        <w:t xml:space="preserve"> </w:t>
      </w:r>
    </w:p>
    <w:p w14:paraId="1CB084F5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b) n e s o u h l a s i l a se způsobem vymezení pohraničního pásma okresy přilehlými ke společným státním hranicím.</w:t>
      </w:r>
      <w:r>
        <w:t xml:space="preserve"> </w:t>
      </w:r>
    </w:p>
    <w:p w14:paraId="3AE96932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13. Rozhodnutí o privatizaci podle § 10, odst. 1 zákona č. 92/1991 Sb., o podmínkách převodu majetku státu na jiné osoby, ve znění pozdějších předpisů (materiál č. 30)</w:t>
      </w:r>
      <w:r>
        <w:t xml:space="preserve"> </w:t>
      </w:r>
    </w:p>
    <w:p w14:paraId="277573DD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198/94</w:t>
      </w:r>
      <w:r>
        <w:t xml:space="preserve"> </w:t>
      </w:r>
    </w:p>
    <w:p w14:paraId="5FEAB0D0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8DF8FF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6963BE1" w14:textId="69EF3B86" w:rsidR="00C95352" w:rsidRDefault="00C953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145.</w:t>
        </w:r>
      </w:hyperlink>
    </w:p>
    <w:p w14:paraId="2C842080" w14:textId="77777777" w:rsidR="00C95352" w:rsidRDefault="00C953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Zpráva o plnění úkolů uložených vládou České republiky za únor 1994</w:t>
      </w:r>
      <w:r>
        <w:rPr>
          <w:rFonts w:eastAsia="Times New Roman"/>
        </w:rPr>
        <w:t xml:space="preserve"> </w:t>
      </w:r>
    </w:p>
    <w:p w14:paraId="63DF8858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194/94</w:t>
      </w:r>
      <w:r>
        <w:t xml:space="preserve"> </w:t>
      </w:r>
    </w:p>
    <w:p w14:paraId="117E7A81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C2E54DF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vlády a vedoucím Úřadu vlády I. Němcem a přijala</w:t>
      </w:r>
    </w:p>
    <w:p w14:paraId="587AB6B8" w14:textId="2C952B98" w:rsidR="00C95352" w:rsidRDefault="00C953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146.</w:t>
        </w:r>
      </w:hyperlink>
    </w:p>
    <w:p w14:paraId="76C08429" w14:textId="77777777" w:rsidR="00C95352" w:rsidRDefault="00C95352">
      <w:pPr>
        <w:rPr>
          <w:rFonts w:eastAsia="Times New Roman"/>
        </w:rPr>
      </w:pPr>
    </w:p>
    <w:p w14:paraId="529B187F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15. Účetní závěrka za rok 1993 Fondu dětí a mládeže</w:t>
      </w:r>
      <w:r>
        <w:t xml:space="preserve"> </w:t>
      </w:r>
    </w:p>
    <w:p w14:paraId="2307A6DE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189/94</w:t>
      </w:r>
      <w:r>
        <w:t xml:space="preserve"> </w:t>
      </w:r>
    </w:p>
    <w:p w14:paraId="7799473F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4E4F295B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</w:t>
      </w:r>
      <w:r>
        <w:t xml:space="preserve"> </w:t>
      </w:r>
    </w:p>
    <w:p w14:paraId="4DF2706F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8D02D23" w14:textId="6246ABAA" w:rsidR="00C95352" w:rsidRDefault="00C953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147,</w:t>
        </w:r>
      </w:hyperlink>
    </w:p>
    <w:p w14:paraId="15607740" w14:textId="77777777" w:rsidR="00C95352" w:rsidRDefault="00C953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 o ž á d a l a předsedu výboru Fondu dětí a mládeže, aby ve spolupráci s ministrem školství mládeže a tělovýchovy předložil vládě současně se zprávou o činnosti Fondu dětí a mládeže za rok 1993 plán dalších aktivit a záměrů Fondu dětí a mládeže pro rok 1994,</w:t>
      </w:r>
      <w:r>
        <w:rPr>
          <w:rFonts w:eastAsia="Times New Roman"/>
        </w:rPr>
        <w:t xml:space="preserve"> </w:t>
      </w:r>
    </w:p>
    <w:p w14:paraId="30CB9C6E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c) u l o ž i l a ministru školství, mládeže a tělovýchovy zvážit možnosti a navrhnout novelu zákona č. 113/1993 Sb., o Fondu dětí a mládeže, nakolik to umožňují předchozí ústavní zákony.</w:t>
      </w:r>
      <w:r>
        <w:t xml:space="preserve"> </w:t>
      </w:r>
    </w:p>
    <w:p w14:paraId="0E3CFB0F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16. Informace o postupu MPO ve věci kontrolních nálezů NKÚ</w:t>
      </w:r>
      <w:r>
        <w:t xml:space="preserve"> </w:t>
      </w:r>
    </w:p>
    <w:p w14:paraId="547832C8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199/94</w:t>
      </w:r>
      <w:r>
        <w:t xml:space="preserve"> </w:t>
      </w:r>
    </w:p>
    <w:p w14:paraId="224115AC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35E93A5B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průmyslu a obchodu ve věci kontrolních nálezů Nejvyššího kontrolního úřadu při</w:t>
      </w:r>
      <w:r>
        <w:t xml:space="preserve"> </w:t>
      </w:r>
    </w:p>
    <w:p w14:paraId="4F708ADA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a) hospodaření se státním majetkem vloženým do akciové společnosti IH Ambassador - Zlatá Husa,</w:t>
      </w:r>
      <w:r>
        <w:t xml:space="preserve"> </w:t>
      </w:r>
    </w:p>
    <w:p w14:paraId="2B8BA636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b) dodržování podmínek uzavřených při poskytování účelových dotací určených ke hrazení nákladů, které souvisejí se zvláštním příspěvkem horníkům v souvislosti s útlumovým programem v akciové společnosti OKD v Ostravě.</w:t>
      </w:r>
      <w:r>
        <w:t xml:space="preserve"> </w:t>
      </w:r>
    </w:p>
    <w:p w14:paraId="2774375E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17. Základní věcné cíle a úkoly činnosti resortů pro rok 1994 j) č.j. 66/94 o) č.j. 52/94</w:t>
      </w:r>
      <w:r>
        <w:t xml:space="preserve"> </w:t>
      </w:r>
    </w:p>
    <w:p w14:paraId="307CCB25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k) č.j. 46/94 p) č.j. 63/94</w:t>
      </w:r>
      <w:r>
        <w:t xml:space="preserve"> </w:t>
      </w:r>
    </w:p>
    <w:p w14:paraId="3E8A148C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l) č.j. 40/94 q) č.j. 55/94</w:t>
      </w:r>
      <w:r>
        <w:t xml:space="preserve"> </w:t>
      </w:r>
    </w:p>
    <w:p w14:paraId="52430AFC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m) č.j. 56/94 r) č.j. 38/94</w:t>
      </w:r>
      <w:r>
        <w:t xml:space="preserve"> </w:t>
      </w:r>
    </w:p>
    <w:p w14:paraId="7109545D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n) č.j. 72/94</w:t>
      </w:r>
      <w:r>
        <w:t xml:space="preserve"> </w:t>
      </w:r>
    </w:p>
    <w:p w14:paraId="0DF6666E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0C43A24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materiály předložené ministry vnitra (17j), průmyslu a obchodu (17k), pro hospodářskou soutěž (17l),, místopředsedou vlády a ministrem zemědělství (17m), ministry obrany (17n), životního prostředí (17o), dopravy (17p), místopředsedou vlády pověřeným řízením Úřadu pro legislativu a veřejnou správu (17q) a předsedou Českého statistického úřadu (17r) n e p r o j e d n á v a l a .</w:t>
      </w:r>
      <w:r>
        <w:t xml:space="preserve"> </w:t>
      </w:r>
    </w:p>
    <w:p w14:paraId="42F7490D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18. Návrh zákona, kterým se mění a doplňuje zákon č. 87/1991 Sb.,</w:t>
      </w:r>
      <w:r>
        <w:t xml:space="preserve"> </w:t>
      </w:r>
    </w:p>
    <w:p w14:paraId="23BA46A0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o mimosoudních rehabilitacích, ve znění pozdějších předpisů, a zákon č. 229/1991 Sb., o úpravě vlastnických vztahů k půdě a jinému zemědělskému majetku ve znění pozdějších předpisů</w:t>
      </w:r>
      <w:r>
        <w:t xml:space="preserve"> </w:t>
      </w:r>
    </w:p>
    <w:p w14:paraId="3C3425DE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218/94</w:t>
      </w:r>
      <w:r>
        <w:t xml:space="preserve"> </w:t>
      </w:r>
    </w:p>
    <w:p w14:paraId="379D82E6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B395CF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4870162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 xml:space="preserve">a) </w:t>
      </w:r>
      <w:r>
        <w:rPr>
          <w:rFonts w:ascii="Times New Roman CE" w:hAnsi="Times New Roman CE" w:cs="Times New Roman CE"/>
        </w:rPr>
        <w:t>k o n s t a t o v a l a , že návrh předložený ministrem spravedlnosti projedná na jednání schůze vlády dne 23. března 1994,</w:t>
      </w:r>
      <w:r>
        <w:t xml:space="preserve"> </w:t>
      </w:r>
    </w:p>
    <w:p w14:paraId="7A4D0EF9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b) u l o ž i l a členům vlády předložit předsedovi vlády do 23. března 1994 informaci o prováděných převodech majetku státu na příslušnou židovskou náboženskou obec ve smyslu bodu I/1 usnesení vlády z 9. března 1994 č. 138, o dalším postupu vlády při úpravě některých majetkových vztahů Federace židovských obcí v České republice a zmírňování následků některých majetkových křivd některých fyzických osob, na které se nevztahují restituční zákony.</w:t>
      </w:r>
      <w:r>
        <w:t xml:space="preserve"> </w:t>
      </w:r>
    </w:p>
    <w:p w14:paraId="794468C1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19. Ústní informace ministrů zahraničních věcí a vnitra k neoficiální návštěvě předsedy Ruské liberálně demokratické strany V. Žirinovského v České republice</w:t>
      </w:r>
      <w:r>
        <w:t xml:space="preserve"> </w:t>
      </w:r>
    </w:p>
    <w:p w14:paraId="5073AF85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216174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informace ministrů zahraničních věcí a vnitra a v diskusi posoudila okolnosti a další postup v souvislosti s neoficiální návštěvou V. Žirinovského v České republice.</w:t>
      </w:r>
      <w:r>
        <w:t xml:space="preserve"> </w:t>
      </w:r>
    </w:p>
    <w:p w14:paraId="78A45456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20. Ústní informace ministra zdravotnictví o současné situaci v průběhu privatizace Nemocnice na Homolce</w:t>
      </w:r>
      <w:r>
        <w:t xml:space="preserve"> </w:t>
      </w:r>
    </w:p>
    <w:p w14:paraId="53446619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20DA008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zdravotnictví o současné situaci v průběhu postupu privatizace Nemocnice na Homolce schváleného usnesením vlády z 1. prosince 1993 č. 686, o udělení výjimky podle § 45 odst. 1 a 2 zákona č. 92/1991 Sb., o podmínkách převodu majetku státu na jiné osoby, ve znění pozdějších předpisů.</w:t>
      </w:r>
      <w:r>
        <w:t xml:space="preserve"> </w:t>
      </w:r>
    </w:p>
    <w:p w14:paraId="5FC1094D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21. Ústní informace ministra hospodářství a místopředsedy vlády a ministra financí o průběhu projednávání vládního návrhu zákona, kterým se upravují některé vlastnické vztahy k bytům a nebytovým prostorům (kondominium) a o doplnění některých zákonů, ve výborech Poslanecké sněmovny Parlamentu České republiky</w:t>
      </w:r>
      <w:r>
        <w:t xml:space="preserve"> </w:t>
      </w:r>
    </w:p>
    <w:p w14:paraId="0B8ECA3C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F1228E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informace ministra hospodářství a místopředsedy vlády a ministra financí o průběhu projednávání vládního návrhu zákona schváleného usnesením vlády z 13. října 1993 č. 570, o schválení návrhu zákona, kterým se upravují některé vlastnické vztahy k bytům a nebytovým prostorům (kondominium) a o doplnění některých zákonů, ve výborech Poslanecké sněmovny Parlamentu České republiky.</w:t>
      </w:r>
      <w:r>
        <w:t xml:space="preserve"> </w:t>
      </w:r>
    </w:p>
    <w:p w14:paraId="60C79BB8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4ADBEAE" w14:textId="77777777" w:rsidR="00C95352" w:rsidRDefault="00C95352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878F512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1. Výroční zpráva Nejvyššího kontrolního úřadu za rok 1993 (předložil ministr vlády a vedoucí Úřadu vlády I. Němec)</w:t>
      </w:r>
      <w:r>
        <w:t xml:space="preserve"> </w:t>
      </w:r>
    </w:p>
    <w:p w14:paraId="535EA7E7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č.j. 164/94</w:t>
      </w:r>
      <w:r>
        <w:t xml:space="preserve"> </w:t>
      </w:r>
    </w:p>
    <w:p w14:paraId="715C2633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2. Poznatky o variaci počtu voličů ve volebních obvodech některých zemí s většinovým systémem (předložil předseda Českého statistického úřadu)</w:t>
      </w:r>
      <w:r>
        <w:t xml:space="preserve"> </w:t>
      </w:r>
    </w:p>
    <w:p w14:paraId="77327832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63A182A" w14:textId="77777777" w:rsidR="00C95352" w:rsidRDefault="00C95352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DBDE2CA" w14:textId="77777777" w:rsidR="00C95352" w:rsidRDefault="00C9535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52"/>
    <w:rsid w:val="00B3122F"/>
    <w:rsid w:val="00C9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521C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92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3-16" TargetMode="External"/><Relationship Id="rId13" Type="http://schemas.openxmlformats.org/officeDocument/2006/relationships/hyperlink" Target="file:///c:\redir.nsf%3fRedirect&amp;To=\66bbfabee8e70f37c125642e0052aae5\ef6d10881616b01fc12564b50027b14b%3fOpen&amp;Name=CN=Ghoul\O=ENV\C=CZ&amp;Id=C1256A62004E5036" TargetMode="External"/><Relationship Id="rId18" Type="http://schemas.openxmlformats.org/officeDocument/2006/relationships/hyperlink" Target="file:///c:\redir.nsf%3fRedirect&amp;To=\66bbfabee8e70f37c125642e0052aae5\b785d7ac9b7eacdcc12564b50027b150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ce63132f6c67fb5ec12564b50027b14a%3fOpen&amp;Name=CN=Ghoul\O=ENV\C=CZ&amp;Id=C1256A62004E5036" TargetMode="External"/><Relationship Id="rId17" Type="http://schemas.openxmlformats.org/officeDocument/2006/relationships/hyperlink" Target="file:///c:\redir.nsf%3fRedirect&amp;To=\66bbfabee8e70f37c125642e0052aae5\e36f01a85ce3a7c3c12564b50027b14f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b88b8cbc7010d28c12564b50027b14e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9a5a6d8f6606291c12564b50027b14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a638c8b596e68d8c12564b50027b14d%3fOpen&amp;Name=CN=Ghoul\O=ENV\C=CZ&amp;Id=C1256A62004E5036" TargetMode="External"/><Relationship Id="rId10" Type="http://schemas.openxmlformats.org/officeDocument/2006/relationships/hyperlink" Target="file:///c:\redir.nsf%3fRedirect&amp;To=\66bbfabee8e70f37c125642e0052aae5\22cfed7d889fd870c12564b50027b148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3a365eee2553bd2c12564b50027b14c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1925</Words>
  <Characters>10978</Characters>
  <Application>Microsoft Office Word</Application>
  <DocSecurity>0</DocSecurity>
  <Lines>91</Lines>
  <Paragraphs>25</Paragraphs>
  <ScaleCrop>false</ScaleCrop>
  <Company>Profinit EU s.r.o.</Company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