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C412FF" w14:textId="77777777" w:rsidR="00AB1E2C" w:rsidRDefault="00AB1E2C">
      <w:pPr>
        <w:pStyle w:val="z-TopofForm"/>
      </w:pPr>
      <w:r>
        <w:t>Top of Form</w:t>
      </w:r>
    </w:p>
    <w:p w14:paraId="54199275" w14:textId="44422CFE" w:rsidR="00AB1E2C" w:rsidRDefault="00AB1E2C">
      <w:pPr>
        <w:pStyle w:val="Heading5"/>
        <w:divId w:val="13667104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1994-06-15</w:t>
        </w:r>
      </w:hyperlink>
    </w:p>
    <w:p w14:paraId="741479D4" w14:textId="77777777" w:rsidR="00AB1E2C" w:rsidRDefault="00AB1E2C">
      <w:pPr>
        <w:rPr>
          <w:rFonts w:eastAsia="Times New Roman"/>
        </w:rPr>
      </w:pPr>
    </w:p>
    <w:p w14:paraId="5092A65C" w14:textId="77777777" w:rsidR="00AB1E2C" w:rsidRDefault="00AB1E2C">
      <w:pPr>
        <w:divId w:val="2843888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050A70" w14:textId="77777777" w:rsidR="00AB1E2C" w:rsidRDefault="00AB1E2C">
      <w:pPr>
        <w:divId w:val="1710757063"/>
        <w:rPr>
          <w:rFonts w:eastAsia="Times New Roman"/>
        </w:rPr>
      </w:pPr>
      <w:r>
        <w:rPr>
          <w:rFonts w:eastAsia="Times New Roman"/>
        </w:rPr>
        <w:pict w14:anchorId="3A23594C"/>
      </w:r>
      <w:r>
        <w:rPr>
          <w:rFonts w:eastAsia="Times New Roman"/>
        </w:rPr>
        <w:pict w14:anchorId="79258FD3"/>
      </w:r>
      <w:r>
        <w:rPr>
          <w:rFonts w:eastAsia="Times New Roman"/>
          <w:noProof/>
        </w:rPr>
        <w:drawing>
          <wp:inline distT="0" distB="0" distL="0" distR="0" wp14:anchorId="310B7BFA" wp14:editId="209FF61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3D8F" w14:textId="77777777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69E762" w14:textId="77777777">
        <w:trPr>
          <w:tblCellSpacing w:w="0" w:type="dxa"/>
        </w:trPr>
        <w:tc>
          <w:tcPr>
            <w:tcW w:w="2500" w:type="pct"/>
            <w:hideMark/>
          </w:tcPr>
          <w:p w14:paraId="193C6CBF" w14:textId="77777777" w:rsidR="00AB1E2C" w:rsidRDefault="00AB1E2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2049/94</w:t>
            </w:r>
          </w:p>
        </w:tc>
        <w:tc>
          <w:tcPr>
            <w:tcW w:w="2500" w:type="pct"/>
            <w:hideMark/>
          </w:tcPr>
          <w:p w14:paraId="3E248E0A" w14:textId="77777777" w:rsidR="00AB1E2C" w:rsidRDefault="00AB1E2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června 1994</w:t>
            </w:r>
          </w:p>
        </w:tc>
      </w:tr>
    </w:tbl>
    <w:p w14:paraId="48DE5499" w14:textId="77777777" w:rsidR="00AB1E2C" w:rsidRDefault="00AB1E2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června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14603BB0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ADE9B1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1. Návrh zákona, kterým se mění zákon č. 21/1992 Sb., o bankách, ve znění pozdějších předpisů, a zákon č. 513/1991 Sb., obchodní zákoník, ve znění pozdějších předpisů</w:t>
      </w:r>
      <w:r>
        <w:t xml:space="preserve"> </w:t>
      </w:r>
    </w:p>
    <w:p w14:paraId="58EFA3A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491/94</w:t>
      </w:r>
      <w:r>
        <w:t xml:space="preserve"> </w:t>
      </w:r>
    </w:p>
    <w:p w14:paraId="7C654A2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D9AA6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guvernérem České národní banky a přijala</w:t>
      </w:r>
    </w:p>
    <w:p w14:paraId="3D6A35B6" w14:textId="330ACC41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328</w:t>
        </w:r>
      </w:hyperlink>
    </w:p>
    <w:p w14:paraId="2E9B653A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místopředseda vlády pověřený řízením Úřadu pro legislativu a veřejnou správu a guvernér České národní banky zpřesní připomínky obsažené ve stanovisku předsedy Legislativní rady vlády, které budou podle diskuse vlády zapracovány do návrhu a s tím, že budou zpřesněny §§ 26, 28 a 44 návrhu.</w:t>
      </w:r>
      <w:r>
        <w:rPr>
          <w:rFonts w:eastAsia="Times New Roman"/>
        </w:rPr>
        <w:t xml:space="preserve"> </w:t>
      </w:r>
    </w:p>
    <w:p w14:paraId="1A87414F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2. Návrhy zákona, kterým se zvyšuje státní vyrovnávací příspěvek nezaopatřeným dětem a některé další sociální dávky, a nařízení vlády o zvýšení rodičovského příspěvku a podpory při narození dítěte</w:t>
      </w:r>
      <w:r>
        <w:t xml:space="preserve"> </w:t>
      </w:r>
    </w:p>
    <w:p w14:paraId="51E1220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476/94</w:t>
      </w:r>
      <w:r>
        <w:t xml:space="preserve"> </w:t>
      </w:r>
    </w:p>
    <w:p w14:paraId="44E263F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20FDC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práce a sociálních věcí přijala</w:t>
      </w:r>
    </w:p>
    <w:p w14:paraId="58B3897D" w14:textId="25B20DB1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329</w:t>
        </w:r>
      </w:hyperlink>
    </w:p>
    <w:p w14:paraId="7AAE58F9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zpřesněna předkládací zpráva obsažená v části II předloženého materiálu.</w:t>
      </w:r>
      <w:r>
        <w:rPr>
          <w:rFonts w:eastAsia="Times New Roman"/>
        </w:rPr>
        <w:t xml:space="preserve"> </w:t>
      </w:r>
    </w:p>
    <w:p w14:paraId="0D983D2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3. Návrh zákona o zeměměřictví a o změně a doplnění zákona č. 455/1991 Sb., o živnostenském podnikání (živnostenský zákon), ve znění zákona č. 231/1992 Sb., zákona České národní rady č. 591/1992 Sb., zákona č. 600/1992 Sb., zákona č. 273/1993 Sb. a zákona č. 303/1993 Sb. a zákona České národní rady č. 359/1992 Sb., o zeměměřických a katastrálních orgánech, ve znění zákona č. .../1994 Sb. (zeměměřický zákon)</w:t>
      </w:r>
      <w:r>
        <w:t xml:space="preserve"> </w:t>
      </w:r>
    </w:p>
    <w:p w14:paraId="246DA10F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270/94</w:t>
      </w:r>
      <w:r>
        <w:t xml:space="preserve"> </w:t>
      </w:r>
    </w:p>
    <w:p w14:paraId="1CC88B47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93D99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za účasti místopředsedy Českého úřadu zeměměřického a katastrálního ing. Karla Večeře projednala návrh předložený místopředsedou vlády a ministrem zemědělství a přijala</w:t>
      </w:r>
    </w:p>
    <w:p w14:paraId="470E610C" w14:textId="45772932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330</w:t>
        </w:r>
      </w:hyperlink>
    </w:p>
    <w:p w14:paraId="0DADED3E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7 návrhu, číselné údaje v části šesté návrhu, zrušena povinnost skládat zkoušku zvláštní odborné způsobilosti (§ 16 odst. 1 písm. c/ a další související ustanovení návrhu) a s tím, že případná další upřesnění projedná vláda na jednání schůze vlády dne 22. června 1994.</w:t>
      </w:r>
      <w:r>
        <w:rPr>
          <w:rFonts w:eastAsia="Times New Roman"/>
        </w:rPr>
        <w:t xml:space="preserve"> </w:t>
      </w:r>
    </w:p>
    <w:p w14:paraId="64731BDE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4. Návrh zásad zákona o odškodnění a zmírnění některých křivd způsobených obětem fašistického a nacistického režimu a zločinné sudetoněmecké ideologie (tisk č. 1005)</w:t>
      </w:r>
      <w:r>
        <w:t xml:space="preserve"> </w:t>
      </w:r>
    </w:p>
    <w:p w14:paraId="2F010444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445/94</w:t>
      </w:r>
      <w:r>
        <w:t xml:space="preserve"> </w:t>
      </w:r>
    </w:p>
    <w:p w14:paraId="550D7EC4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C50BC9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7F61C4AE" w14:textId="2FFF5775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331.</w:t>
        </w:r>
      </w:hyperlink>
    </w:p>
    <w:p w14:paraId="64C33CEC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skupiny poslanců na vydání zákona, kterým se mění a doplňuje zákon České národní rady č. 172/1991 Sb., o přechodu některých věcí z majetku České republiky do vlastnictví obcí (tisk č. 991)</w:t>
      </w:r>
      <w:r>
        <w:rPr>
          <w:rFonts w:eastAsia="Times New Roman"/>
        </w:rPr>
        <w:t xml:space="preserve"> </w:t>
      </w:r>
    </w:p>
    <w:p w14:paraId="3105284A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436/94</w:t>
      </w:r>
      <w:r>
        <w:t xml:space="preserve"> </w:t>
      </w:r>
    </w:p>
    <w:p w14:paraId="2DE770B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2DB90B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C4BA8D3" w14:textId="59072757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332</w:t>
        </w:r>
      </w:hyperlink>
    </w:p>
    <w:p w14:paraId="5D989984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členové vlády zajistí součinnost příslušných resortů s představiteli obcí při předávání majetku státu obcím.</w:t>
      </w:r>
      <w:r>
        <w:rPr>
          <w:rFonts w:eastAsia="Times New Roman"/>
        </w:rPr>
        <w:t xml:space="preserve"> </w:t>
      </w:r>
    </w:p>
    <w:p w14:paraId="4246484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6. Příprava návrhů zákonů upravujících postavení komor v oboru působnosti příslušných členů vlády</w:t>
      </w:r>
      <w:r>
        <w:t xml:space="preserve"> </w:t>
      </w:r>
    </w:p>
    <w:p w14:paraId="1D4E9D4A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483/94</w:t>
      </w:r>
      <w:r>
        <w:t xml:space="preserve"> </w:t>
      </w:r>
    </w:p>
    <w:p w14:paraId="6BF4D1C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20E4D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po podrobném projednání materiálu předloženého ministry hospodářství a pro hospodářskou soutěž přijala</w:t>
      </w:r>
    </w:p>
    <w:p w14:paraId="4AF6BC7B" w14:textId="0245D95B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333.</w:t>
        </w:r>
      </w:hyperlink>
    </w:p>
    <w:p w14:paraId="76A98802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Privatizace 51 % akcií akciové společnosti ČKD Praha Holding</w:t>
      </w:r>
      <w:r>
        <w:rPr>
          <w:rFonts w:eastAsia="Times New Roman"/>
        </w:rPr>
        <w:t xml:space="preserve"> </w:t>
      </w:r>
    </w:p>
    <w:p w14:paraId="60D39FF3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506/94</w:t>
      </w:r>
      <w:r>
        <w:t xml:space="preserve"> </w:t>
      </w:r>
    </w:p>
    <w:p w14:paraId="31AC046C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F32603A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3AA2655E" w14:textId="397999A5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334.</w:t>
        </w:r>
      </w:hyperlink>
    </w:p>
    <w:p w14:paraId="031787E4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8. Rozhodnutí o privatizaci podle § 10, odst. 1 zákona </w:t>
      </w:r>
      <w:r>
        <w:rPr>
          <w:rFonts w:ascii="Times New Roman CE" w:eastAsia="Times New Roman" w:hAnsi="Times New Roman CE" w:cs="Times New Roman CE"/>
        </w:rPr>
        <w:t>č. 92/1991 Sb., o podmínkách převodu majetku státu na jiné osoby, ve znění pozdějších předpisů (materiál č. 43)</w:t>
      </w:r>
      <w:r>
        <w:rPr>
          <w:rFonts w:eastAsia="Times New Roman"/>
        </w:rPr>
        <w:t xml:space="preserve"> </w:t>
      </w:r>
    </w:p>
    <w:p w14:paraId="38C4E6E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493/94</w:t>
      </w:r>
      <w:r>
        <w:t xml:space="preserve"> </w:t>
      </w:r>
    </w:p>
    <w:p w14:paraId="74DB2B2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132B9F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57D2BEE" w14:textId="24BA2F1D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335.</w:t>
        </w:r>
      </w:hyperlink>
    </w:p>
    <w:p w14:paraId="3E0B3A01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opatření k nápravě nedostatků v hospodaření s nemovitostmi v majetku státu a návrh doplnění složení Komise vlády pro umisťování státních orgánů</w:t>
      </w:r>
      <w:r>
        <w:rPr>
          <w:rFonts w:eastAsia="Times New Roman"/>
        </w:rPr>
        <w:t xml:space="preserve"> </w:t>
      </w:r>
    </w:p>
    <w:p w14:paraId="4FBD0B7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489/94</w:t>
      </w:r>
      <w:r>
        <w:t xml:space="preserve"> </w:t>
      </w:r>
    </w:p>
    <w:p w14:paraId="226D7234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C3018A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vlády a předsedou Komise vlády pro řešení umístění ústředních orgánů státní správy I. Němcem a přijala</w:t>
      </w:r>
    </w:p>
    <w:p w14:paraId="631F045D" w14:textId="61053F8D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336.</w:t>
        </w:r>
      </w:hyperlink>
    </w:p>
    <w:p w14:paraId="37F75FF1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návratnou finanční výpomoc ze státních finančních aktiv pro nadaci Film-festival Karlovy Vary</w:t>
      </w:r>
      <w:r>
        <w:rPr>
          <w:rFonts w:eastAsia="Times New Roman"/>
        </w:rPr>
        <w:t xml:space="preserve"> </w:t>
      </w:r>
    </w:p>
    <w:p w14:paraId="2828799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499/94</w:t>
      </w:r>
      <w:r>
        <w:t xml:space="preserve"> </w:t>
      </w:r>
    </w:p>
    <w:p w14:paraId="33CC816C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8DEC9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Návrh předložený ministrem kultury byl stažen z programu jednání.</w:t>
      </w:r>
      <w:r>
        <w:t xml:space="preserve"> </w:t>
      </w:r>
    </w:p>
    <w:p w14:paraId="2ABA4D53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11. Zpráva o plnění úkolů uložených vládou České republiky za květen 1994</w:t>
      </w:r>
      <w:r>
        <w:t xml:space="preserve"> </w:t>
      </w:r>
    </w:p>
    <w:p w14:paraId="4835354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492/94</w:t>
      </w:r>
      <w:r>
        <w:t xml:space="preserve"> </w:t>
      </w:r>
    </w:p>
    <w:p w14:paraId="3C49D39D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47FA4F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14:paraId="1F5AA575" w14:textId="136AF1F9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337.</w:t>
        </w:r>
      </w:hyperlink>
    </w:p>
    <w:p w14:paraId="738A3D9C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opatření vlády ČR k uplatnění rezolucí Rady bezpečnosti OSN č. 841 (1993) a 917 (1994) k situaci na Haiti</w:t>
      </w:r>
      <w:r>
        <w:rPr>
          <w:rFonts w:eastAsia="Times New Roman"/>
        </w:rPr>
        <w:t xml:space="preserve"> </w:t>
      </w:r>
    </w:p>
    <w:p w14:paraId="196A8E26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495/94</w:t>
      </w:r>
      <w:r>
        <w:t xml:space="preserve"> </w:t>
      </w:r>
    </w:p>
    <w:p w14:paraId="27DC00AD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12C184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096C888" w14:textId="72629736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338.</w:t>
        </w:r>
      </w:hyperlink>
    </w:p>
    <w:p w14:paraId="6397F29B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smluv mezi Českou republikou a Rakouskou republikou o dodatku k Evropským úmluvám o právní pomoci ve věcech trestních z 20. dubna 1959 a o vydávání ze 13. prosince 1957 a k usnadnění jejich uplatnění</w:t>
      </w:r>
      <w:r>
        <w:rPr>
          <w:rFonts w:eastAsia="Times New Roman"/>
        </w:rPr>
        <w:t xml:space="preserve"> </w:t>
      </w:r>
    </w:p>
    <w:p w14:paraId="5742FF0C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497/94</w:t>
      </w:r>
      <w:r>
        <w:t xml:space="preserve"> </w:t>
      </w:r>
    </w:p>
    <w:p w14:paraId="403F47ED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B71D66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spravedlnosti a zahraničních věcí přijala</w:t>
      </w:r>
    </w:p>
    <w:p w14:paraId="49EFA4C6" w14:textId="1C134AD6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339</w:t>
        </w:r>
      </w:hyperlink>
    </w:p>
    <w:p w14:paraId="09912E27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návrhy smluv budou před jejich podpisem posouzeny místopředsedou vlády a ministrem financí a posouzeny budou rovněž dílčí připomínky místopředsedy vlády pověřeného řízením Úřadu pro legislativu a veřejnou správu.</w:t>
      </w:r>
      <w:r>
        <w:rPr>
          <w:rFonts w:eastAsia="Times New Roman"/>
        </w:rPr>
        <w:t xml:space="preserve"> </w:t>
      </w:r>
    </w:p>
    <w:p w14:paraId="21A4491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14. Návrh na uskutečnění oficiální návštěvy předsedy vlády Albánské republiky Aleksandra Meksiho v České republice ve dnech 26. - 28. června 1994</w:t>
      </w:r>
      <w:r>
        <w:t xml:space="preserve"> </w:t>
      </w:r>
    </w:p>
    <w:p w14:paraId="3693BBD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494/94</w:t>
      </w:r>
      <w:r>
        <w:t xml:space="preserve"> </w:t>
      </w:r>
    </w:p>
    <w:p w14:paraId="5C98DB99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2D6FE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D2A92F0" w14:textId="46D377BD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340.</w:t>
        </w:r>
      </w:hyperlink>
    </w:p>
    <w:p w14:paraId="2553C6A6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Program sociální prevence a prevence kriminality - aktuální stav a východiska do roku 1996 (dopracovaná verze)</w:t>
      </w:r>
      <w:r>
        <w:rPr>
          <w:rFonts w:eastAsia="Times New Roman"/>
        </w:rPr>
        <w:t xml:space="preserve"> </w:t>
      </w:r>
    </w:p>
    <w:p w14:paraId="19F8906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507/94</w:t>
      </w:r>
      <w:r>
        <w:t xml:space="preserve"> </w:t>
      </w:r>
    </w:p>
    <w:p w14:paraId="6FC82E1B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9DC39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spravedlnosti, vnitra a práce a sociálních věcí přijala</w:t>
      </w:r>
    </w:p>
    <w:p w14:paraId="58651C0B" w14:textId="0766040C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341</w:t>
        </w:r>
      </w:hyperlink>
    </w:p>
    <w:p w14:paraId="39F1C802" w14:textId="77777777" w:rsidR="00AB1E2C" w:rsidRDefault="00AB1E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Program sociální prevence a prevence kriminality bude doplněn o předpokládaný finanční dopad a s tím, že ministr spravedlnosti vypracuje konečné znění Programu podle připomínek vlády.</w:t>
      </w:r>
      <w:r>
        <w:rPr>
          <w:rFonts w:eastAsia="Times New Roman"/>
        </w:rPr>
        <w:t xml:space="preserve"> </w:t>
      </w:r>
    </w:p>
    <w:p w14:paraId="0B92D1CB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16. Návrh na změnu rozhodnutí vlády České republiky č. 204 ze dne 13. dubna 1994 o privatizaci národního podniku Plzeňský Prazdroj</w:t>
      </w:r>
      <w:r>
        <w:t xml:space="preserve"> </w:t>
      </w:r>
    </w:p>
    <w:p w14:paraId="1A86FCCA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9C9305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CC10526" w14:textId="53108FB6" w:rsidR="00AB1E2C" w:rsidRDefault="00AB1E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342.</w:t>
        </w:r>
      </w:hyperlink>
    </w:p>
    <w:p w14:paraId="73EF76F1" w14:textId="77777777" w:rsidR="00AB1E2C" w:rsidRDefault="00AB1E2C">
      <w:pPr>
        <w:rPr>
          <w:rFonts w:eastAsia="Times New Roman"/>
        </w:rPr>
      </w:pPr>
    </w:p>
    <w:p w14:paraId="44B2EA3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ED04B2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7DEC9DE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1. Kontrolní závěr NKÚ z kontroly hospodaření a dodržování rozpočtových opatření kapitoly ministerstva pro správu národního majetku a jeho privatizaci (předložil ministr vlády a vedoucí Úřadu vlády I. Němec)</w:t>
      </w:r>
      <w:r>
        <w:t xml:space="preserve"> </w:t>
      </w:r>
    </w:p>
    <w:p w14:paraId="78F308CF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487/94</w:t>
      </w:r>
      <w:r>
        <w:t xml:space="preserve"> </w:t>
      </w:r>
    </w:p>
    <w:p w14:paraId="1EA5F220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2. Informace o průběhu a výsledcích 47. zasedání Světového zdravotnického shromáždění (předložil ministr zdravotnictví)</w:t>
      </w:r>
      <w:r>
        <w:t xml:space="preserve"> </w:t>
      </w:r>
    </w:p>
    <w:p w14:paraId="5F467217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480/94</w:t>
      </w:r>
      <w:r>
        <w:t xml:space="preserve"> </w:t>
      </w:r>
    </w:p>
    <w:p w14:paraId="2C93CC99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3. Výsledky návštěvy Polské republiky (předložil místopředseda vlády a ministr zemědělství)</w:t>
      </w:r>
      <w:r>
        <w:t xml:space="preserve"> </w:t>
      </w:r>
    </w:p>
    <w:p w14:paraId="3D1CE72B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474/94</w:t>
      </w:r>
      <w:r>
        <w:t xml:space="preserve"> </w:t>
      </w:r>
    </w:p>
    <w:p w14:paraId="18DD3171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4. Informace o oficiální návštěvě lucemburského velkovévody Jeana v ČR ve dnech 26. - 28. dubna 1994 (předložil ministr zahraničních věcí)</w:t>
      </w:r>
      <w:r>
        <w:t xml:space="preserve"> </w:t>
      </w:r>
    </w:p>
    <w:p w14:paraId="78BE8733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č.j. 496/94</w:t>
      </w:r>
      <w:r>
        <w:t xml:space="preserve"> </w:t>
      </w:r>
    </w:p>
    <w:p w14:paraId="4055B6D9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3547E78" w14:textId="77777777" w:rsidR="00AB1E2C" w:rsidRDefault="00AB1E2C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B84A10D" w14:textId="77777777" w:rsidR="00AB1E2C" w:rsidRDefault="00AB1E2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C"/>
    <w:rsid w:val="00AB1E2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5577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8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6-15" TargetMode="External"/><Relationship Id="rId13" Type="http://schemas.openxmlformats.org/officeDocument/2006/relationships/hyperlink" Target="file:///c:\redir.nsf%3fRedirect&amp;To=\66bbfabee8e70f37c125642e0052aae5\986ce9a18e670433c12564b50027b207%3fOpen&amp;Name=CN=Ghoul\O=ENV\C=CZ&amp;Id=C1256A62004E5036" TargetMode="External"/><Relationship Id="rId18" Type="http://schemas.openxmlformats.org/officeDocument/2006/relationships/hyperlink" Target="file:///c:\redir.nsf%3fRedirect&amp;To=\66bbfabee8e70f37c125642e0052aae5\9d6d9d404ba2d9f1c12564b50027b20c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094230d8f695c15c12564b50027b20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33700b0841b0df41c12564b50027b206%3fOpen&amp;Name=CN=Ghoul\O=ENV\C=CZ&amp;Id=C1256A62004E5036" TargetMode="External"/><Relationship Id="rId17" Type="http://schemas.openxmlformats.org/officeDocument/2006/relationships/hyperlink" Target="file:///c:\redir.nsf%3fRedirect&amp;To=\66bbfabee8e70f37c125642e0052aae5\a67d1b42b27fa587c12564b50027b20b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10e4eaad1d7903ec12564b50027b20a%3fOpen&amp;Name=CN=Ghoul\O=ENV\C=CZ&amp;Id=C1256A62004E5036" TargetMode="External"/><Relationship Id="rId20" Type="http://schemas.openxmlformats.org/officeDocument/2006/relationships/hyperlink" Target="file:///c:\redir.nsf%3fRedirect&amp;To=\66bbfabee8e70f37c125642e0052aae5\897bb74b599ba496c12564b50027b20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4e1917aae49d06cc12564b50027b205%3fOpen&amp;Name=CN=Ghoul\O=ENV\C=CZ&amp;Id=C1256A62004E5036" TargetMode="External"/><Relationship Id="rId24" Type="http://schemas.openxmlformats.org/officeDocument/2006/relationships/hyperlink" Target="file:///c:\redir.nsf%3fRedirect&amp;To=\66bbfabee8e70f37c125642e0052aae5\d391cdb98ae08731c12564b50027b21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bacae23e88022b5c12564b50027b209%3fOpen&amp;Name=CN=Ghoul\O=ENV\C=CZ&amp;Id=C1256A62004E5036" TargetMode="External"/><Relationship Id="rId23" Type="http://schemas.openxmlformats.org/officeDocument/2006/relationships/hyperlink" Target="file:///c:\redir.nsf%3fRedirect&amp;To=\66bbfabee8e70f37c125642e0052aae5\9111d6be7eedb421c12564b50027b211%3fOpen&amp;Name=CN=Ghoul\O=ENV\C=CZ&amp;Id=C1256A62004E5036" TargetMode="External"/><Relationship Id="rId10" Type="http://schemas.openxmlformats.org/officeDocument/2006/relationships/hyperlink" Target="file:///c:\redir.nsf%3fRedirect&amp;To=\66bbfabee8e70f37c125642e0052aae5\1fcc6d6e7189b466c12564b50027b204%3fOpen&amp;Name=CN=Ghoul\O=ENV\C=CZ&amp;Id=C1256A62004E5036" TargetMode="External"/><Relationship Id="rId19" Type="http://schemas.openxmlformats.org/officeDocument/2006/relationships/hyperlink" Target="file:///c:\redir.nsf%3fRedirect&amp;To=\66bbfabee8e70f37c125642e0052aae5\3c6544d4f8906830c12564b50027b20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a112a318199ab26c12564b50027b208%3fOpen&amp;Name=CN=Ghoul\O=ENV\C=CZ&amp;Id=C1256A62004E5036" TargetMode="External"/><Relationship Id="rId22" Type="http://schemas.openxmlformats.org/officeDocument/2006/relationships/hyperlink" Target="file:///c:\redir.nsf%3fRedirect&amp;To=\66bbfabee8e70f37c125642e0052aae5\02d86504fb2a8c48c12564b50027b21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1649</Words>
  <Characters>9405</Characters>
  <Application>Microsoft Office Word</Application>
  <DocSecurity>0</DocSecurity>
  <Lines>78</Lines>
  <Paragraphs>22</Paragraphs>
  <ScaleCrop>false</ScaleCrop>
  <Company>Profinit EU s.r.o.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