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65D80C" w14:textId="77777777" w:rsidR="001B2A58" w:rsidRDefault="001B2A58">
      <w:pPr>
        <w:pStyle w:val="z-TopofForm"/>
      </w:pPr>
      <w:r>
        <w:t>Top of Form</w:t>
      </w:r>
    </w:p>
    <w:p w14:paraId="141E009B" w14:textId="7659471B" w:rsidR="001B2A58" w:rsidRDefault="001B2A58">
      <w:pPr>
        <w:pStyle w:val="Heading5"/>
        <w:divId w:val="6827093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1994-12-19</w:t>
        </w:r>
      </w:hyperlink>
    </w:p>
    <w:p w14:paraId="5E09EF48" w14:textId="77777777" w:rsidR="001B2A58" w:rsidRDefault="001B2A58">
      <w:pPr>
        <w:rPr>
          <w:rFonts w:eastAsia="Times New Roman"/>
        </w:rPr>
      </w:pPr>
    </w:p>
    <w:p w14:paraId="3E2D871B" w14:textId="77777777" w:rsidR="001B2A58" w:rsidRDefault="001B2A58">
      <w:pPr>
        <w:divId w:val="12174691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A4EA80" w14:textId="77777777" w:rsidR="001B2A58" w:rsidRDefault="001B2A58">
      <w:pPr>
        <w:divId w:val="519011501"/>
        <w:rPr>
          <w:rFonts w:eastAsia="Times New Roman"/>
        </w:rPr>
      </w:pPr>
      <w:r>
        <w:rPr>
          <w:rFonts w:eastAsia="Times New Roman"/>
        </w:rPr>
        <w:pict w14:anchorId="163F6ECE"/>
      </w:r>
      <w:r>
        <w:rPr>
          <w:rFonts w:eastAsia="Times New Roman"/>
        </w:rPr>
        <w:pict w14:anchorId="1A8A925B"/>
      </w:r>
      <w:r>
        <w:rPr>
          <w:rFonts w:eastAsia="Times New Roman"/>
          <w:noProof/>
        </w:rPr>
        <w:drawing>
          <wp:inline distT="0" distB="0" distL="0" distR="0" wp14:anchorId="511D6567" wp14:editId="6FC8110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2C95" w14:textId="77777777" w:rsidR="001B2A58" w:rsidRDefault="001B2A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F0A93F7" w14:textId="77777777">
        <w:trPr>
          <w:tblCellSpacing w:w="0" w:type="dxa"/>
        </w:trPr>
        <w:tc>
          <w:tcPr>
            <w:tcW w:w="2500" w:type="pct"/>
            <w:hideMark/>
          </w:tcPr>
          <w:p w14:paraId="5F4C222C" w14:textId="77777777" w:rsidR="001B2A58" w:rsidRDefault="001B2A5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2099/94</w:t>
            </w:r>
          </w:p>
        </w:tc>
        <w:tc>
          <w:tcPr>
            <w:tcW w:w="2500" w:type="pct"/>
            <w:hideMark/>
          </w:tcPr>
          <w:p w14:paraId="06C7EE38" w14:textId="77777777" w:rsidR="001B2A58" w:rsidRDefault="001B2A5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prosince 1994</w:t>
            </w:r>
          </w:p>
        </w:tc>
      </w:tr>
    </w:tbl>
    <w:p w14:paraId="13DB385C" w14:textId="77777777" w:rsidR="001B2A58" w:rsidRDefault="001B2A5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prosince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(49. schůze)</w:t>
      </w:r>
    </w:p>
    <w:p w14:paraId="5C0DDBCA" w14:textId="77777777" w:rsidR="001B2A58" w:rsidRDefault="001B2A5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AB5C155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1. Návrh zákona o lesích</w:t>
      </w:r>
      <w:r>
        <w:t xml:space="preserve"> </w:t>
      </w:r>
    </w:p>
    <w:p w14:paraId="49C69167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č.j. 1021/94</w:t>
      </w:r>
      <w:r>
        <w:t xml:space="preserve"> </w:t>
      </w:r>
    </w:p>
    <w:p w14:paraId="61C4E6BF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t xml:space="preserve"> </w:t>
      </w:r>
    </w:p>
    <w:p w14:paraId="59D50E6B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životního prostředí a místopředsedou vlády a ministrem zemědělství a přijala</w:t>
      </w:r>
    </w:p>
    <w:p w14:paraId="5D970153" w14:textId="0F363DE0" w:rsidR="001B2A58" w:rsidRDefault="001B2A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719</w:t>
        </w:r>
      </w:hyperlink>
    </w:p>
    <w:p w14:paraId="051AC0EC" w14:textId="77777777" w:rsidR="001B2A58" w:rsidRDefault="001B2A5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§ 10, § 18 a § 45 návrhu a s tím, že přijetí návrhu zákona nevyvolá zvýšení požadavků na státní rozpočet.</w:t>
      </w:r>
      <w:r>
        <w:rPr>
          <w:rFonts w:eastAsia="Times New Roman"/>
        </w:rPr>
        <w:t xml:space="preserve"> </w:t>
      </w:r>
    </w:p>
    <w:p w14:paraId="6E67C332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2. Upravený návrh zásad zákona o vysokém školství č.j. 1029/94</w:t>
      </w:r>
      <w:r>
        <w:t xml:space="preserve"> </w:t>
      </w:r>
    </w:p>
    <w:p w14:paraId="1DB84E7A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42A754CB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projedná návrh předložený ministrem školství, mládeže a tělovýchovy na jednání své schůze dne 21. prosince 1994 po jeho předběžném posouzení na poradě vybraných členů vlády dne 20. prosince 1994.</w:t>
      </w:r>
      <w:r>
        <w:t xml:space="preserve"> </w:t>
      </w:r>
    </w:p>
    <w:p w14:paraId="286CCB9C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3. Návrh zákona o ochraně ozónové vrstvy Země č.j. 968/94</w:t>
      </w:r>
      <w:r>
        <w:t xml:space="preserve"> </w:t>
      </w:r>
    </w:p>
    <w:p w14:paraId="70CBEDAB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</w:t>
      </w:r>
      <w:r>
        <w:t xml:space="preserve"> </w:t>
      </w:r>
    </w:p>
    <w:p w14:paraId="5A69BCB2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 xml:space="preserve">V l á d a projedná návrh předložený ministrem životního </w:t>
      </w:r>
      <w:r>
        <w:rPr>
          <w:rFonts w:ascii="Times New Roman CE" w:hAnsi="Times New Roman CE" w:cs="Times New Roman CE"/>
        </w:rPr>
        <w:t>prostředí po dokončení připomínkového řízení a po zpracování připomínek obsažených ve stanovisku předsedy Legislativní rady vlády.</w:t>
      </w:r>
      <w:r>
        <w:t xml:space="preserve"> </w:t>
      </w:r>
    </w:p>
    <w:p w14:paraId="2578D102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4. Návrh zásad zákona o registraci a oznamování chemických látek a chemických přípravků</w:t>
      </w:r>
      <w:r>
        <w:t xml:space="preserve"> </w:t>
      </w:r>
    </w:p>
    <w:p w14:paraId="26F6F32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č.j. 227/94</w:t>
      </w:r>
      <w:r>
        <w:t xml:space="preserve"> </w:t>
      </w:r>
    </w:p>
    <w:p w14:paraId="6AD9CB58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5ADC11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78B93DA2" w14:textId="42FC23EA" w:rsidR="001B2A58" w:rsidRDefault="001B2A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720</w:t>
        </w:r>
      </w:hyperlink>
    </w:p>
    <w:p w14:paraId="757E584C" w14:textId="77777777" w:rsidR="001B2A58" w:rsidRDefault="001B2A5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zákon, jehož zásady vláda schválila, bude navržen jako slučitelná součást globální úpravy ochrany lidí a životního prostředí před škodlivými účinky chemických látek a chemických přípravků, s tím, že kompetenci pro provádění registrace chemických látek a chemických přípravků bude mít ministerstvo zdravotnictví, s tím, že předložený návrh nebude řešit otázku registrace krmiv a průmyslových hnojiv, s tím, že bude dořešeno ukládání pokut na základě zákona a v textu návrhu zákona pak způsob dozoru nad </w:t>
      </w:r>
      <w:r>
        <w:rPr>
          <w:rFonts w:ascii="Times New Roman CE" w:eastAsia="Times New Roman" w:hAnsi="Times New Roman CE" w:cs="Times New Roman CE"/>
        </w:rPr>
        <w:t>jeho prováděním, s tím že budou blíže stanoveny podmínky akreditace laboratoří zabývajících se zkoušením vlastností chemických látek a chemických přípravků pro hodnocení jejich účinku na zdraví a životní prostředí a dále s tím, že bude znovu posouzena a vyhodnocena slučitelnost navrhovaných zásad zákona s právem Evropské unie.</w:t>
      </w:r>
      <w:r>
        <w:rPr>
          <w:rFonts w:eastAsia="Times New Roman"/>
        </w:rPr>
        <w:t xml:space="preserve"> </w:t>
      </w:r>
    </w:p>
    <w:p w14:paraId="0B0E63E8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České národní rady č. 20/1987 Sb., o státní památkové péči, ve znění zákona České národní rady č. 425/1990 Sb. a zákona České národní rady č. 242/1992 Sb.</w:t>
      </w:r>
      <w:r>
        <w:t xml:space="preserve"> </w:t>
      </w:r>
    </w:p>
    <w:p w14:paraId="421B7E58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č.j. 727/94</w:t>
      </w:r>
      <w:r>
        <w:t xml:space="preserve"> </w:t>
      </w:r>
    </w:p>
    <w:p w14:paraId="33CABF4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17C675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kultury a u l o ž i l a ministru kultury předložit vládě k projednání základní teze zabývající se postavením a funkcí státní památkové péče (zejména posoudit v celkovém společenském kontextu význam památek, nutnou míru omezování jejich vlastníků při současném zachování jejich schopnosti optimálního provozování, uchovávání a zvelebování památek).</w:t>
      </w:r>
      <w:r>
        <w:t xml:space="preserve"> </w:t>
      </w:r>
    </w:p>
    <w:p w14:paraId="1F251F91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č. 96/1993 Sb., o stavebním spoření a státní podpoře stavebního spoření, a o doplnění zákona České národní rady č. 586/1992 Sb., o daních z příjmů, ve znění zákona České národní rady č. 35/1993 Sb.</w:t>
      </w:r>
      <w:r>
        <w:t xml:space="preserve"> </w:t>
      </w:r>
    </w:p>
    <w:p w14:paraId="6E38C5D4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č.j. 854/94</w:t>
      </w:r>
      <w:r>
        <w:t xml:space="preserve"> </w:t>
      </w:r>
    </w:p>
    <w:p w14:paraId="130A5326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0E249979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2D206111" w14:textId="07A36894" w:rsidR="001B2A58" w:rsidRDefault="001B2A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721.</w:t>
        </w:r>
      </w:hyperlink>
    </w:p>
    <w:p w14:paraId="4E38A629" w14:textId="77777777" w:rsidR="001B2A58" w:rsidRDefault="001B2A5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územního plánu velkého územního celku Ralsko č.j. 900/94</w:t>
      </w:r>
      <w:r>
        <w:rPr>
          <w:rFonts w:eastAsia="Times New Roman"/>
        </w:rPr>
        <w:t xml:space="preserve"> </w:t>
      </w:r>
    </w:p>
    <w:p w14:paraId="6E4B5CB1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5C2FDE6C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3374B345" w14:textId="1D9AD396" w:rsidR="001B2A58" w:rsidRDefault="001B2A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722.</w:t>
        </w:r>
      </w:hyperlink>
    </w:p>
    <w:p w14:paraId="1F0E3656" w14:textId="77777777" w:rsidR="001B2A58" w:rsidRDefault="001B2A58">
      <w:pPr>
        <w:rPr>
          <w:rFonts w:eastAsia="Times New Roman"/>
        </w:rPr>
      </w:pPr>
    </w:p>
    <w:p w14:paraId="7F4733AA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8. Návrh územního plánu velkého územního celku Mladá č.j. 914/94</w:t>
      </w:r>
      <w:r>
        <w:t xml:space="preserve"> </w:t>
      </w:r>
    </w:p>
    <w:p w14:paraId="69960A53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3C16FEE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593CA05B" w14:textId="0CB8D161" w:rsidR="001B2A58" w:rsidRDefault="001B2A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723.</w:t>
        </w:r>
      </w:hyperlink>
    </w:p>
    <w:p w14:paraId="05E099C1" w14:textId="77777777" w:rsidR="001B2A58" w:rsidRDefault="001B2A5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koncepce nové právní úpravy pracovněprávních vztahů č.j. 1007/94</w:t>
      </w:r>
      <w:r>
        <w:rPr>
          <w:rFonts w:eastAsia="Times New Roman"/>
        </w:rPr>
        <w:t xml:space="preserve"> </w:t>
      </w:r>
    </w:p>
    <w:p w14:paraId="14773AA9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D122C0D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posoudila návrh předložený ministrem práce a sociálních věcí a v diskusi u r č i l a základní směr koncepce nové právní úpravy pracovně-právních vztahů (zejména posilování individuálního prvku při uzavírání pracovních smluv za současného stanovení státem garantovaného minima úrovně těchto vztahů, stanovení role odborů a naznačení možné konkrétní legislativně-právní cesty pro realizaci uvedených tezí).</w:t>
      </w:r>
      <w:r>
        <w:t xml:space="preserve"> </w:t>
      </w:r>
    </w:p>
    <w:p w14:paraId="7D30D393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10. Problematika českých zoologických zahrad a návrh řešení č.j. 1025/94</w:t>
      </w:r>
      <w:r>
        <w:t xml:space="preserve"> </w:t>
      </w:r>
    </w:p>
    <w:p w14:paraId="55319AF9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6B1323F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projedná na jednání své schůze dne 21. prosince 1994.</w:t>
      </w:r>
      <w:r>
        <w:t xml:space="preserve"> </w:t>
      </w:r>
    </w:p>
    <w:p w14:paraId="58569417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11. Návrh rozhodnutí o privatizaci s.p. PETROF č.j. 1038/94</w:t>
      </w:r>
      <w:r>
        <w:t xml:space="preserve"> </w:t>
      </w:r>
    </w:p>
    <w:p w14:paraId="0C7C1166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0EB41DC5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po posouzení návrhu předloženého ministrem pro správu národního majetku a jeho privatizaci u l o ž i l a ministru pro správu národního majetku a jeho privatizaci předložit vládě na jednání její schůze dne 21. prosince 1994 návrh možných alternativních způsobů privatizace státního podniku Petrof upravených podle diskuse vlády (redukce privatizovaného majetku o rekreační, bytové a další vybrané objekty a vyhodnocení problematiky ochranných známek).</w:t>
      </w:r>
      <w:r>
        <w:t xml:space="preserve"> </w:t>
      </w:r>
    </w:p>
    <w:p w14:paraId="2EE6CC62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12. Informace o stavu finančních prostředků získaných z malé privatizace</w:t>
      </w:r>
      <w:r>
        <w:t xml:space="preserve"> </w:t>
      </w:r>
    </w:p>
    <w:p w14:paraId="673B9FD2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č.j. 1039/94</w:t>
      </w:r>
      <w:r>
        <w:t xml:space="preserve"> </w:t>
      </w:r>
    </w:p>
    <w:p w14:paraId="756F1B6B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7BD9CC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pro správu národního majetku a jeho privatizaci projedná na jednání své schůze dne 21. prosince 1994.</w:t>
      </w:r>
      <w:r>
        <w:t xml:space="preserve"> </w:t>
      </w:r>
    </w:p>
    <w:p w14:paraId="245F3FC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13. Program odpadového hospodářství České republiky č.j. 1009/94</w:t>
      </w:r>
      <w:r>
        <w:t xml:space="preserve"> </w:t>
      </w:r>
    </w:p>
    <w:p w14:paraId="751D7E04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0778546C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projedná na jednání své schůze dne 21. prosince 1994.</w:t>
      </w:r>
      <w:r>
        <w:t xml:space="preserve"> </w:t>
      </w:r>
    </w:p>
    <w:p w14:paraId="2E4B552E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14. Stav smluvního zabezpečení a čerpání finančních prostředků FNM ČR k řešení ekologických závazků při privatizaci</w:t>
      </w:r>
      <w:r>
        <w:t xml:space="preserve"> </w:t>
      </w:r>
    </w:p>
    <w:p w14:paraId="1B0F840E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č.j. 1013/94</w:t>
      </w:r>
      <w:r>
        <w:t xml:space="preserve"> </w:t>
      </w:r>
    </w:p>
    <w:p w14:paraId="3D49C55C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251DB5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pro správu národního majetku a jeho privatizaci projedná na jednání své schůze dne 21. prosince 1994.</w:t>
      </w:r>
      <w:r>
        <w:t xml:space="preserve"> </w:t>
      </w:r>
    </w:p>
    <w:p w14:paraId="74F186F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15. Informace o podprojektu řídící jednotky (PMU) grantu Fondu na ochranu životního prostředí Země (GEF) pro český projekt "Postupné vyloučení látek poškozujících ozonovou vrstvu", úkoly a rozpočet jednotky</w:t>
      </w:r>
      <w:r>
        <w:t xml:space="preserve"> </w:t>
      </w:r>
    </w:p>
    <w:p w14:paraId="70D28B63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č.j. 1026/94</w:t>
      </w:r>
      <w:r>
        <w:t xml:space="preserve"> </w:t>
      </w:r>
    </w:p>
    <w:p w14:paraId="583A4BE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7DB467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projedná na jednání své schůze dne 21. prosince 1994.</w:t>
      </w:r>
      <w:r>
        <w:t xml:space="preserve"> </w:t>
      </w:r>
    </w:p>
    <w:p w14:paraId="247EC011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16. Výsledky jednání o Dodatku k Transakčním dokumentům vztahujícím se k založení společného podniku Škoda, a.a.s. Mladá Boleslav</w:t>
      </w:r>
      <w:r>
        <w:t xml:space="preserve"> </w:t>
      </w:r>
    </w:p>
    <w:p w14:paraId="2D9B0E3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7C224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V l á d a zevrubně projednala materiál předložený ministrem průmyslu a obchodu a přijala</w:t>
      </w:r>
    </w:p>
    <w:p w14:paraId="253AD0C9" w14:textId="60A0F100" w:rsidR="001B2A58" w:rsidRDefault="001B2A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724</w:t>
        </w:r>
      </w:hyperlink>
    </w:p>
    <w:p w14:paraId="5C687932" w14:textId="77777777" w:rsidR="001B2A58" w:rsidRDefault="001B2A5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Preambule a článek 6.1 a 6.2 Ekologické smlouvy podle připomínek vlády.</w:t>
      </w:r>
      <w:r>
        <w:rPr>
          <w:rFonts w:eastAsia="Times New Roman"/>
        </w:rPr>
        <w:t xml:space="preserve"> </w:t>
      </w:r>
    </w:p>
    <w:p w14:paraId="2EFE6CA0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17. Rozhodnutí vlády o podmínkách pronájmu budovy bývalého Federálního shromáždění rozhlasové stanici Radio Svobodná Evropa</w:t>
      </w:r>
      <w:r>
        <w:t xml:space="preserve"> </w:t>
      </w:r>
    </w:p>
    <w:p w14:paraId="7199FA75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2A4D85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 xml:space="preserve">V l á d a z podnětu místopředsedy vlády a ministra financí s o u h l a s i l a s uzavřením smlouvy o pronájmu </w:t>
      </w:r>
      <w:r>
        <w:rPr>
          <w:rFonts w:ascii="Times New Roman CE" w:hAnsi="Times New Roman CE" w:cs="Times New Roman CE"/>
        </w:rPr>
        <w:t>budovy bývalého Federálního shromáždění rozhlasové stanici Radio Svobodná Evropa za symbolické nájemné (např. 1,- Kč) s tím, že součástí dalších ujednání bude úhrada provozních nákladů užívané budovy touto rozhlasovou stanicí po dobu trvání nájmu.</w:t>
      </w:r>
      <w:r>
        <w:t xml:space="preserve"> </w:t>
      </w:r>
    </w:p>
    <w:p w14:paraId="60ECBA43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4B27919" w14:textId="77777777" w:rsidR="001B2A58" w:rsidRDefault="001B2A58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DDCAF56" w14:textId="77777777" w:rsidR="001B2A58" w:rsidRDefault="001B2A5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58"/>
    <w:rsid w:val="001B2A5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C08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1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2-19" TargetMode="External"/><Relationship Id="rId13" Type="http://schemas.openxmlformats.org/officeDocument/2006/relationships/hyperlink" Target="file:///c:\redir.nsf%3fRedirect&amp;To=\66bbfabee8e70f37c125642e0052aae5\8343c0672d88eb30c12564b50027b389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ee123a63a5656558c12564b50027b388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c8f074d474d2e16c12564b50027b38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5e301e8c6c41974c12564b50027b38b%3fOpen&amp;Name=CN=Ghoul\O=ENV\C=CZ&amp;Id=C1256A62004E5036" TargetMode="External"/><Relationship Id="rId10" Type="http://schemas.openxmlformats.org/officeDocument/2006/relationships/hyperlink" Target="file:///c:\redir.nsf%3fRedirect&amp;To=\66bbfabee8e70f37c125642e0052aae5\0284f21b50645fc5c12564b50027b38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ca7ee9a2d64ba45c12564b50027b38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1328</Words>
  <Characters>7572</Characters>
  <Application>Microsoft Office Word</Application>
  <DocSecurity>0</DocSecurity>
  <Lines>63</Lines>
  <Paragraphs>17</Paragraphs>
  <ScaleCrop>false</ScaleCrop>
  <Company>Profinit EU s.r.o.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