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F058C5" w14:textId="77777777" w:rsidR="00BF53CB" w:rsidRDefault="00BF53CB">
      <w:pPr>
        <w:pStyle w:val="z-TopofForm"/>
      </w:pPr>
      <w:r>
        <w:t>Top of Form</w:t>
      </w:r>
    </w:p>
    <w:p w14:paraId="0B8A53F6" w14:textId="0810D342" w:rsidR="00BF53CB" w:rsidRDefault="00BF53CB">
      <w:pPr>
        <w:pStyle w:val="Heading5"/>
        <w:divId w:val="42927849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1995-01-18</w:t>
        </w:r>
      </w:hyperlink>
    </w:p>
    <w:p w14:paraId="54C3C867" w14:textId="77777777" w:rsidR="00BF53CB" w:rsidRDefault="00BF53CB">
      <w:pPr>
        <w:rPr>
          <w:rFonts w:eastAsia="Times New Roman"/>
        </w:rPr>
      </w:pPr>
    </w:p>
    <w:p w14:paraId="75EBEE8E" w14:textId="77777777" w:rsidR="00BF53CB" w:rsidRDefault="00BF53CB">
      <w:pPr>
        <w:divId w:val="10466358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2BC74D" w14:textId="77777777" w:rsidR="00BF53CB" w:rsidRDefault="00BF53CB">
      <w:pPr>
        <w:divId w:val="1628005950"/>
        <w:rPr>
          <w:rFonts w:eastAsia="Times New Roman"/>
        </w:rPr>
      </w:pPr>
      <w:r>
        <w:rPr>
          <w:rFonts w:eastAsia="Times New Roman"/>
        </w:rPr>
        <w:pict w14:anchorId="36322CF0"/>
      </w:r>
      <w:r>
        <w:rPr>
          <w:rFonts w:eastAsia="Times New Roman"/>
        </w:rPr>
        <w:pict w14:anchorId="3DF2D472"/>
      </w:r>
      <w:r>
        <w:rPr>
          <w:rFonts w:eastAsia="Times New Roman"/>
          <w:noProof/>
        </w:rPr>
        <w:drawing>
          <wp:inline distT="0" distB="0" distL="0" distR="0" wp14:anchorId="27CCEA6A" wp14:editId="7B49A58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CFC7" w14:textId="77777777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15068EB" w14:textId="77777777">
        <w:trPr>
          <w:tblCellSpacing w:w="0" w:type="dxa"/>
        </w:trPr>
        <w:tc>
          <w:tcPr>
            <w:tcW w:w="2500" w:type="pct"/>
            <w:hideMark/>
          </w:tcPr>
          <w:p w14:paraId="72F4FA67" w14:textId="77777777" w:rsidR="00BF53CB" w:rsidRDefault="00BF53C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2005/95</w:t>
            </w:r>
          </w:p>
        </w:tc>
        <w:tc>
          <w:tcPr>
            <w:tcW w:w="2500" w:type="pct"/>
            <w:hideMark/>
          </w:tcPr>
          <w:p w14:paraId="3B373DF3" w14:textId="77777777" w:rsidR="00BF53CB" w:rsidRDefault="00BF53C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ledna 1995</w:t>
            </w:r>
          </w:p>
        </w:tc>
      </w:tr>
    </w:tbl>
    <w:p w14:paraId="14D5F0D1" w14:textId="77777777" w:rsidR="00BF53CB" w:rsidRDefault="00BF53C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ledna 1995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6E84358D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10741D4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1. Návrh zákona o důchodovém pojištění č.j. 1046/94</w:t>
      </w:r>
      <w:r>
        <w:t xml:space="preserve"> </w:t>
      </w:r>
    </w:p>
    <w:p w14:paraId="6E755986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26F85F05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podrobně v diskusi posoudila návrh zákona o důchodovém pojištění a další podklady k tomuto návrhu, obojí předložené ministrem práce a sociálních věcí, a</w:t>
      </w:r>
      <w:r>
        <w:t xml:space="preserve"> </w:t>
      </w:r>
    </w:p>
    <w:p w14:paraId="216207AD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8CD4EEA" w14:textId="45448483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34,</w:t>
        </w:r>
      </w:hyperlink>
    </w:p>
    <w:p w14:paraId="07594366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práce a sociálních věcí a místopředsedovi vlády a ministru financí zpracovat a předložit na poradu vybraných členů vlády materiál zabývající se možností zvýšení úrovně reálné hodnoty vyplácených důchodů na úroveň dosaženou v roce 1989 a to pro variantně vymezené okruhy důchodců ve variantních časových lhůtách.</w:t>
      </w:r>
      <w:r>
        <w:rPr>
          <w:rFonts w:eastAsia="Times New Roman"/>
        </w:rPr>
        <w:t xml:space="preserve"> </w:t>
      </w:r>
    </w:p>
    <w:p w14:paraId="067B521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ČNR č. 238/1992 Sb., o některých opatřeních souvisejících s ochranou veřejného zájmu</w:t>
      </w:r>
      <w:r>
        <w:t xml:space="preserve"> </w:t>
      </w:r>
    </w:p>
    <w:p w14:paraId="4409BC89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41/95</w:t>
      </w:r>
      <w:r>
        <w:t xml:space="preserve"> </w:t>
      </w:r>
    </w:p>
    <w:p w14:paraId="4492AEB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462967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návrh předložený ministrem spravedlnosti a místopředsedou vlády pověřeným řízením Úřadu pro legislativu a veřejnou správu projedná na jednání své schůze dne 25. ledna 1995.</w:t>
      </w:r>
      <w:r>
        <w:t xml:space="preserve"> </w:t>
      </w:r>
    </w:p>
    <w:p w14:paraId="00AF3CB9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3. Návrh na sjednání Dohody mezi Českou republikou a Organizací pro ekonomickou spolupráci a rozvoj (OECD) o výsadách, imunitách a výhodách přiznaných OECD</w:t>
      </w:r>
      <w:r>
        <w:t xml:space="preserve"> </w:t>
      </w:r>
    </w:p>
    <w:p w14:paraId="5DB932B0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30/95</w:t>
      </w:r>
      <w:r>
        <w:t xml:space="preserve"> </w:t>
      </w:r>
    </w:p>
    <w:p w14:paraId="24DA6D98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AB357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52FCB03" w14:textId="3B804E92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35.</w:t>
        </w:r>
      </w:hyperlink>
    </w:p>
    <w:p w14:paraId="558BFA52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 změnu národního koordinátora mezinárodní organizace Eureka Audiovisuel</w:t>
      </w:r>
      <w:r>
        <w:rPr>
          <w:rFonts w:eastAsia="Times New Roman"/>
        </w:rPr>
        <w:t xml:space="preserve"> </w:t>
      </w:r>
    </w:p>
    <w:p w14:paraId="760EF985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29/95</w:t>
      </w:r>
      <w:r>
        <w:t xml:space="preserve"> </w:t>
      </w:r>
    </w:p>
    <w:p w14:paraId="37876C70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57C7BF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7F96DA07" w14:textId="74AFB766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36.</w:t>
        </w:r>
      </w:hyperlink>
    </w:p>
    <w:p w14:paraId="5937311B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Rozhodnutí o privatizaci podle § 10, odst. 1 zákona č. 92/1991 Sb., o podmínkách převodu majetku státu na jiné osoby, ve znění pozdějších předpisů (materiál č. 73)</w:t>
      </w:r>
      <w:r>
        <w:rPr>
          <w:rFonts w:eastAsia="Times New Roman"/>
        </w:rPr>
        <w:t xml:space="preserve"> </w:t>
      </w:r>
    </w:p>
    <w:p w14:paraId="3563CEA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37/95</w:t>
      </w:r>
      <w:r>
        <w:t xml:space="preserve"> </w:t>
      </w:r>
    </w:p>
    <w:p w14:paraId="50FC6B9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B91250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1D0094AE" w14:textId="73B258DE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37.</w:t>
        </w:r>
      </w:hyperlink>
    </w:p>
    <w:p w14:paraId="3A549660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Informace ke vstupním podmínkám občanů některých států na území České republiky</w:t>
      </w:r>
      <w:r>
        <w:rPr>
          <w:rFonts w:eastAsia="Times New Roman"/>
        </w:rPr>
        <w:t xml:space="preserve"> </w:t>
      </w:r>
    </w:p>
    <w:p w14:paraId="5A19BF6F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0133/95</w:t>
      </w:r>
      <w:r>
        <w:t xml:space="preserve"> </w:t>
      </w:r>
    </w:p>
    <w:p w14:paraId="28D1E802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BE50A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v z a l a n a v ě d o m í doplňující ústní informaci ministra vnitra s tím, že materiál předložený ministrem vnitra projedná na jednání své schůze dne 25. ledna 1995.</w:t>
      </w:r>
      <w:r>
        <w:t xml:space="preserve"> </w:t>
      </w:r>
    </w:p>
    <w:p w14:paraId="7B2995F2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7. Návrh na účast prezidenta České republiky na oslavách 50. výročí osvobození koncentračního tábora Osvětim v Polské republice ve dnech 26. a 27. ledna 1995</w:t>
      </w:r>
      <w:r>
        <w:t xml:space="preserve"> </w:t>
      </w:r>
    </w:p>
    <w:p w14:paraId="056A5F5A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D8ABAD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7F3EFD96" w14:textId="1A64C126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38.</w:t>
        </w:r>
      </w:hyperlink>
    </w:p>
    <w:p w14:paraId="2E93595B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Jmenování pracovní skupiny pro vypracování zprávy o činnosti Bezpečnostní informační služby ve vztahu k informacím předloženým místopředsedou vlády pověřeným řízením Úřadu pro legislativu a veřejnou správu</w:t>
      </w:r>
      <w:r>
        <w:rPr>
          <w:rFonts w:eastAsia="Times New Roman"/>
        </w:rPr>
        <w:t xml:space="preserve"> </w:t>
      </w:r>
    </w:p>
    <w:p w14:paraId="65D7C741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040898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 l á d a z podnětu místopředsedy vlády pověřeného řízením Úřadu pro legislativu a veřejnou správu přijala</w:t>
      </w:r>
    </w:p>
    <w:p w14:paraId="0FCA6BFD" w14:textId="0B6441A4" w:rsidR="00BF53CB" w:rsidRDefault="00BF53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39.</w:t>
        </w:r>
      </w:hyperlink>
    </w:p>
    <w:p w14:paraId="639D884C" w14:textId="77777777" w:rsidR="00BF53CB" w:rsidRDefault="00BF53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Otevřený dopis vlády k prohlášení představenstva České lékařské komory v souvislosti se schválením návrhu zásad zákona o podmínkách poskytování zdravotní péče vládou</w:t>
      </w:r>
      <w:r>
        <w:rPr>
          <w:rFonts w:eastAsia="Times New Roman"/>
        </w:rPr>
        <w:t xml:space="preserve"> </w:t>
      </w:r>
    </w:p>
    <w:p w14:paraId="2D82BF13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E91239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 xml:space="preserve">V l á d a p ř i j a l a z podnětu předsedy vlády </w:t>
      </w:r>
      <w:r>
        <w:rPr>
          <w:rFonts w:ascii="Times New Roman CE" w:hAnsi="Times New Roman CE" w:cs="Times New Roman CE"/>
        </w:rPr>
        <w:t>text otevřeného dopisu k prohlášení představenstva České lékařské komory v souvislosti se schválením návrhu zásad zákona o podmínkách poskytování zdravotní péče vládou (usnesení vlády z 11. ledna 1995 č. 18); text tohoto otevřeného dopisu je uveden v příloze tohoto záznamu.</w:t>
      </w:r>
      <w:r>
        <w:t xml:space="preserve"> </w:t>
      </w:r>
    </w:p>
    <w:p w14:paraId="076CD1C7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10. Kontrolní závěr NKÚ z kontroly hospodaření se státním majetkem ve správě AGM (Agentury mladých) Praha v období mezi převzetím do vlastnictví státu a mezi transformací na obchodní společnosti</w:t>
      </w:r>
      <w:r>
        <w:t xml:space="preserve"> </w:t>
      </w:r>
    </w:p>
    <w:p w14:paraId="74B87431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21/95</w:t>
      </w:r>
      <w:r>
        <w:t xml:space="preserve"> </w:t>
      </w:r>
    </w:p>
    <w:p w14:paraId="634E5EC7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96F68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a vedoucího Úřadu vlády I. Němce a doplňující ústní informaci ministra hospodářství.</w:t>
      </w:r>
      <w:r>
        <w:t xml:space="preserve"> </w:t>
      </w:r>
    </w:p>
    <w:p w14:paraId="4A7D352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06DAA6F" w14:textId="77777777" w:rsidR="00BF53CB" w:rsidRDefault="00BF53C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A3028CF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1. Informace o zasedání Rady Západoevropské unie na úrovni ministrů zahraničních věcí a obrany, Noordwijk, 14. 11. 1994 (předložil ministr zahraničních věcí)</w:t>
      </w:r>
      <w:r>
        <w:t xml:space="preserve"> </w:t>
      </w:r>
    </w:p>
    <w:p w14:paraId="349A67CA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31/95</w:t>
      </w:r>
      <w:r>
        <w:t xml:space="preserve"> </w:t>
      </w:r>
    </w:p>
    <w:p w14:paraId="228C7B03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2. Informace o průběhu a výsledcích zasedání ministrů zahraničních věcí Severoatlantické rady pro spolupráci 2. prosince 1994 v Bruselu (předložil ministr zahraničních věcí)</w:t>
      </w:r>
      <w:r>
        <w:t xml:space="preserve"> </w:t>
      </w:r>
    </w:p>
    <w:p w14:paraId="0257F8A3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32/95</w:t>
      </w:r>
      <w:r>
        <w:t xml:space="preserve"> </w:t>
      </w:r>
    </w:p>
    <w:p w14:paraId="03EA30D4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3. Informace o konečných počtech celníků na turistických stezkách se Spolkovou republikou Německo (předložil místopředseda vlády a ministr financí)</w:t>
      </w:r>
      <w:r>
        <w:t xml:space="preserve"> </w:t>
      </w:r>
    </w:p>
    <w:p w14:paraId="4A5FDD8E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27/95</w:t>
      </w:r>
      <w:r>
        <w:t xml:space="preserve"> </w:t>
      </w:r>
    </w:p>
    <w:p w14:paraId="5AC36552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4. Kontrolní závěr NKÚ z kontroly využití finančních prostředků poskytnutých v roce 1993 z Fondu národního majetku ČR a státního rozpočtu ČR Českomoravské záruční a rozvojové bance na podporu podnikání (předložil ministr vlády a vedoucí Úřadu vlády I. Němec)</w:t>
      </w:r>
      <w:r>
        <w:t xml:space="preserve"> </w:t>
      </w:r>
    </w:p>
    <w:p w14:paraId="1512D60E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20/95</w:t>
      </w:r>
      <w:r>
        <w:t xml:space="preserve"> </w:t>
      </w:r>
    </w:p>
    <w:p w14:paraId="0EAA93B5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5. Zpráva ze služební cesty ministra průmyslu a obchodu Ing. Vladimíra Dlouhého, CSc., do Kuvajtu, Spojených arabských emirátů, Bahrainu a Kataru ve dnech 21. 11. - 28. 11. 1994 (předložil ministr průmyslu a obchodu)</w:t>
      </w:r>
      <w:r>
        <w:t xml:space="preserve"> </w:t>
      </w:r>
    </w:p>
    <w:p w14:paraId="40F13835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č.j. 25/95</w:t>
      </w:r>
      <w:r>
        <w:t xml:space="preserve"> </w:t>
      </w:r>
    </w:p>
    <w:p w14:paraId="01061E9A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2D0A926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9F60147" w14:textId="77777777" w:rsidR="00BF53CB" w:rsidRDefault="00BF53CB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Příloha k bodu 9 záznamu z jednání schůze vlády konané dne 18. ledna 1995</w:t>
      </w:r>
      <w:r>
        <w:t xml:space="preserve"> </w:t>
      </w:r>
    </w:p>
    <w:p w14:paraId="6D9BEA5D" w14:textId="77777777" w:rsidR="00BF53CB" w:rsidRDefault="00BF53CB">
      <w:pPr>
        <w:pStyle w:val="NormalWeb"/>
      </w:pPr>
      <w:r>
        <w:rPr>
          <w:rFonts w:ascii="Times New Roman CE" w:hAnsi="Times New Roman CE" w:cs="Times New Roman CE"/>
          <w:b/>
          <w:bCs/>
        </w:rPr>
        <w:t>Otevřený dopis vlády k prohlášení představenstva České lékařské komory</w:t>
      </w:r>
      <w:r>
        <w:t xml:space="preserve"> </w:t>
      </w:r>
    </w:p>
    <w:p w14:paraId="117AEF71" w14:textId="77777777" w:rsidR="00BF53CB" w:rsidRDefault="00BF53CB">
      <w:pPr>
        <w:pStyle w:val="NormalWeb"/>
      </w:pPr>
      <w:r>
        <w:rPr>
          <w:rFonts w:ascii="Times New Roman CE" w:hAnsi="Times New Roman CE" w:cs="Times New Roman CE"/>
          <w:b/>
          <w:bCs/>
        </w:rPr>
        <w:t>________________________________________________</w:t>
      </w:r>
      <w:r>
        <w:t xml:space="preserve"> </w:t>
      </w:r>
    </w:p>
    <w:p w14:paraId="34408D0E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Způsob, jakým na nedávné rozhodnutí vlády reagují představitelé České lékařské komory považujeme za velmi nešťastný. Opakujeme, že šlo o systémové řešení prosazované zřetelně většinově vládou, nikoli o postoj ministra zdravotnictví. Obracet se se svou kritikou pouze na něho neodpovídá realitě.</w:t>
      </w:r>
      <w:r>
        <w:t xml:space="preserve"> </w:t>
      </w:r>
    </w:p>
    <w:p w14:paraId="2B70251C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Systém zdravotní péče v České republice se rychle mění a teprve v poslední době nastává jistá stabilizace. Proto je problematika zdravotnictví trvalým předmětem pozornosti vlády a vláda si je plně vědoma své ústavní povinnosti vytvořit nejen podmínky pro kvalitní zdravotní péči všem občanům, ale i pro pracovníky ve zdravotnictví.</w:t>
      </w:r>
      <w:r>
        <w:t xml:space="preserve"> </w:t>
      </w:r>
    </w:p>
    <w:p w14:paraId="084C608B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Vláda usiluje o změnu postavení profesních organizací včetně postavení vaší komory. Od tohoto svého záměru vláda ustoupit nechce a nemůže. Vychází z toho, že postavení a pravomoce profesních organizací a sdružení nelze hodnotit pouze a výlučně pod zorným úhlem té či oné skupiny, ale pod zorným úhlem všech občanů.</w:t>
      </w:r>
      <w:r>
        <w:t xml:space="preserve"> </w:t>
      </w:r>
    </w:p>
    <w:p w14:paraId="75205EE7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Dobrovolná profesní sdružení byla, jsou a budou váženým partnerem státní správy, a to na všech jejích úrovních. Vláda s nimi konzultovat bude a bude společně s nimi kontrolovat dodržování nejrůznějších odborných hledisek. Věříme, že návrh zásad zákona o podmínkách poskytování zdravotní péče, připravený ministrem zdravotnictví, cíle vlády, zájmy občanů i zdravotnických pracovníků odráží.</w:t>
      </w:r>
      <w:r>
        <w:t xml:space="preserve"> </w:t>
      </w:r>
    </w:p>
    <w:p w14:paraId="75E5BCC6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Nepovažujeme za ideální a k řešení přispívající přestřelky ve sdělovacích prostředcích. Rád se se zástupci České lékařské komory spolu s ministrem zdravotnictví urychleně setkám a věřím, že bude spor vysvětlen. Ostrý tón některých prohlášení lékařské komory považujeme za zbytečný a zcela neadekvátní.</w:t>
      </w:r>
      <w:r>
        <w:t xml:space="preserve"> </w:t>
      </w:r>
    </w:p>
    <w:p w14:paraId="0987F7B0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035C2E0" w14:textId="77777777" w:rsidR="00BF53CB" w:rsidRDefault="00BF53C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981DE18" w14:textId="77777777" w:rsidR="00BF53CB" w:rsidRDefault="00BF53C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CB"/>
    <w:rsid w:val="00B3122F"/>
    <w:rsid w:val="00B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E771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1-18" TargetMode="External"/><Relationship Id="rId13" Type="http://schemas.openxmlformats.org/officeDocument/2006/relationships/hyperlink" Target="file:///c:\redir.nsf%3fRedirect&amp;To=\66bbfabee8e70f37c125642e0052aae5\f4e7a9447564041bc12564c80037a8a4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75205adeedc846b4c12564c80037a3ff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2244b125035a205c12564c800379b8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0deabe98ba28c43c12564c8003b2908%3fOpen&amp;Name=CN=Ghoul\O=ENV\C=CZ&amp;Id=C1256A62004E5036" TargetMode="External"/><Relationship Id="rId10" Type="http://schemas.openxmlformats.org/officeDocument/2006/relationships/hyperlink" Target="file:///c:\redir.nsf%3fRedirect&amp;To=\66bbfabee8e70f37c125642e0052aae5\c3b10a5c6911df2ac12564c80035563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43a613733d3ba8bc12564c80037b0b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1290</Words>
  <Characters>7353</Characters>
  <Application>Microsoft Office Word</Application>
  <DocSecurity>0</DocSecurity>
  <Lines>61</Lines>
  <Paragraphs>17</Paragraphs>
  <ScaleCrop>false</ScaleCrop>
  <Company>Profinit EU s.r.o.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