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77AE26" w14:textId="77777777" w:rsidR="00B828E5" w:rsidRDefault="00B828E5">
      <w:pPr>
        <w:pStyle w:val="z-TopofForm"/>
      </w:pPr>
      <w:r>
        <w:t>Top of Form</w:t>
      </w:r>
    </w:p>
    <w:p w14:paraId="21609C2F" w14:textId="48FD4EE5" w:rsidR="00B828E5" w:rsidRDefault="00B828E5">
      <w:pPr>
        <w:pStyle w:val="Heading5"/>
        <w:divId w:val="18725811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1995-02-01</w:t>
        </w:r>
      </w:hyperlink>
    </w:p>
    <w:p w14:paraId="12546947" w14:textId="77777777" w:rsidR="00B828E5" w:rsidRDefault="00B828E5">
      <w:pPr>
        <w:rPr>
          <w:rFonts w:eastAsia="Times New Roman"/>
        </w:rPr>
      </w:pPr>
    </w:p>
    <w:p w14:paraId="4B579718" w14:textId="77777777" w:rsidR="00B828E5" w:rsidRDefault="00B828E5">
      <w:pPr>
        <w:divId w:val="212804185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4C4670" w14:textId="77777777" w:rsidR="00B828E5" w:rsidRDefault="00B828E5">
      <w:pPr>
        <w:divId w:val="636882088"/>
        <w:rPr>
          <w:rFonts w:eastAsia="Times New Roman"/>
        </w:rPr>
      </w:pPr>
      <w:r>
        <w:rPr>
          <w:rFonts w:eastAsia="Times New Roman"/>
        </w:rPr>
        <w:pict w14:anchorId="105D6E7E"/>
      </w:r>
      <w:r>
        <w:rPr>
          <w:rFonts w:eastAsia="Times New Roman"/>
        </w:rPr>
        <w:pict w14:anchorId="6B64A360"/>
      </w:r>
      <w:r>
        <w:rPr>
          <w:rFonts w:eastAsia="Times New Roman"/>
          <w:noProof/>
        </w:rPr>
        <w:drawing>
          <wp:inline distT="0" distB="0" distL="0" distR="0" wp14:anchorId="0EDC7E48" wp14:editId="3BE552E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24E8" w14:textId="77777777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CAA76F" w14:textId="77777777">
        <w:trPr>
          <w:tblCellSpacing w:w="0" w:type="dxa"/>
        </w:trPr>
        <w:tc>
          <w:tcPr>
            <w:tcW w:w="2500" w:type="pct"/>
            <w:hideMark/>
          </w:tcPr>
          <w:p w14:paraId="6D8FB99C" w14:textId="77777777" w:rsidR="00B828E5" w:rsidRDefault="00B828E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2009/95</w:t>
            </w:r>
          </w:p>
        </w:tc>
        <w:tc>
          <w:tcPr>
            <w:tcW w:w="2500" w:type="pct"/>
            <w:hideMark/>
          </w:tcPr>
          <w:p w14:paraId="3DD09400" w14:textId="77777777" w:rsidR="00B828E5" w:rsidRDefault="00B828E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února 1995</w:t>
            </w:r>
          </w:p>
        </w:tc>
      </w:tr>
    </w:tbl>
    <w:p w14:paraId="4A860239" w14:textId="77777777" w:rsidR="00B828E5" w:rsidRDefault="00B828E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února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121027B1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0CF62C2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1. Upravený návrh zásad zákona o vysokém školství č.j. 1029/94</w:t>
      </w:r>
      <w:r>
        <w:t xml:space="preserve"> </w:t>
      </w:r>
    </w:p>
    <w:p w14:paraId="7F0C5B7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181D6D13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podrobně v diskusi posoudila návrh a jeho dodatek, obojí předložené ministrem školství, mládeže a tělovýchovy, a přijala</w:t>
      </w:r>
    </w:p>
    <w:p w14:paraId="3BEE362A" w14:textId="1F0E70B7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</w:t>
        </w:r>
      </w:hyperlink>
    </w:p>
    <w:p w14:paraId="3CA0AEF1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předložený návrh bude přepracován podle závěrů vlády (zejména zásada č. 1, 4, 5, 9, 10, 18, 20, 21, 23, 24, 25, 29, 38, 51, 52, 55, 62, 64, 66 a 73, nově zpracovaná část dvanáctá návrhu a odůvodnění zásady č. 6, 7 a 68).</w:t>
      </w:r>
      <w:r>
        <w:rPr>
          <w:rFonts w:eastAsia="Times New Roman"/>
        </w:rPr>
        <w:t xml:space="preserve"> </w:t>
      </w:r>
    </w:p>
    <w:p w14:paraId="7B642A8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2. Návrh zákona o advokacii</w:t>
      </w:r>
      <w:r>
        <w:t xml:space="preserve"> </w:t>
      </w:r>
    </w:p>
    <w:p w14:paraId="4CC0EBE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876/94</w:t>
      </w:r>
      <w:r>
        <w:t xml:space="preserve"> </w:t>
      </w:r>
    </w:p>
    <w:p w14:paraId="20274C8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</w:t>
      </w:r>
      <w:r>
        <w:t xml:space="preserve"> </w:t>
      </w:r>
    </w:p>
    <w:p w14:paraId="1EB056D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materiál předložený ministrem spravedlnosti projedná na jednání své schůze dne 8. února 1995.</w:t>
      </w:r>
      <w:r>
        <w:t xml:space="preserve"> </w:t>
      </w:r>
    </w:p>
    <w:p w14:paraId="6E00A150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3. Návrh zákona o zvýšení vyplácených důchodů a důchodů přiznávaných v roce 1995</w:t>
      </w:r>
      <w:r>
        <w:t xml:space="preserve"> </w:t>
      </w:r>
    </w:p>
    <w:p w14:paraId="29397C2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lastRenderedPageBreak/>
        <w:t>č.j. 46/95</w:t>
      </w:r>
      <w:r>
        <w:t xml:space="preserve"> </w:t>
      </w:r>
    </w:p>
    <w:p w14:paraId="1D5C3125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D6178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545193FF" w14:textId="09C4B9CA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55.</w:t>
        </w:r>
      </w:hyperlink>
    </w:p>
    <w:p w14:paraId="58A78483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č. 455/1991 Sb., o živnostenském podnikání (živnostenský zákon), ve znění zákona č. 231/1992 Sb., zákona České národní rady č. 591/1992 Sb., zákona č. 273/1993 Sb., zákona č. 303/1991 Sb., zákona č. 38/1994 Sb., zákona č. 42/1994 Sb., zákona č. 136/1994 Sb. a zákona č. 200/1994 Sb. a mění a doplňuje zákon č. 570/1991 Sb., o živnostenských úřadech</w:t>
      </w:r>
      <w:r>
        <w:rPr>
          <w:rFonts w:eastAsia="Times New Roman"/>
        </w:rPr>
        <w:t xml:space="preserve"> </w:t>
      </w:r>
    </w:p>
    <w:p w14:paraId="2D937E7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17/95</w:t>
      </w:r>
      <w:r>
        <w:t xml:space="preserve"> </w:t>
      </w:r>
    </w:p>
    <w:p w14:paraId="0E6866A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366443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7FB15180" w14:textId="4C5C021B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</w:t>
        </w:r>
      </w:hyperlink>
    </w:p>
    <w:p w14:paraId="5090A2AC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3, § 17, § 68 a § 73 návrhu, že bude znovu posouzena úprava součinnosti zájmových profesních komor, že v platném znění zákona č. 455/1991 Sb. budou ponechány dražby mimo výkon rozhodnutí (§ 41), že bude zavedena služba soukromých detektivů a ostraha osob a majetku jako koncesovaná živnost a vedení účetnictví a činnost účetních poradců jako živnost vázaná, že bude zpřesněn text skupiny 207 řemeslných živností a text skupiny 302 koncesovaných živností bude převzat z návrhu zákona o s</w:t>
      </w:r>
      <w:r>
        <w:rPr>
          <w:rFonts w:ascii="Times New Roman CE" w:eastAsia="Times New Roman" w:hAnsi="Times New Roman CE" w:cs="Times New Roman CE"/>
        </w:rPr>
        <w:t>třelných zbraních a dále, že budou posouzeny připomínky místopředsedy vlády a ministra zemědělství týkající se zařazení výroby tuků a olejů, výroby vína a konzervárenství do řemeslných živností, skupiny 108.</w:t>
      </w:r>
      <w:r>
        <w:rPr>
          <w:rFonts w:eastAsia="Times New Roman"/>
        </w:rPr>
        <w:t xml:space="preserve"> </w:t>
      </w:r>
    </w:p>
    <w:p w14:paraId="57BD6E0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5. Návrh zákona o střelných zbraních a střelivu a o změně a doplnění zákona č. 455/1991 Sb., o živnostenském podnikání, ve znění pozdějších předpisů (zákon o střelných zbraních)</w:t>
      </w:r>
      <w:r>
        <w:t xml:space="preserve"> </w:t>
      </w:r>
    </w:p>
    <w:p w14:paraId="1933290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1094/94</w:t>
      </w:r>
      <w:r>
        <w:t xml:space="preserve"> </w:t>
      </w:r>
    </w:p>
    <w:p w14:paraId="5ABA08F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F715F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7B1298F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č. 634/1992 Sb., o ochraně spotřebitele, ve znění zákona č. 217/1993 Sb.</w:t>
      </w:r>
      <w:r>
        <w:t xml:space="preserve"> </w:t>
      </w:r>
    </w:p>
    <w:p w14:paraId="13824B3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lastRenderedPageBreak/>
        <w:t>č.j. 958/94</w:t>
      </w:r>
      <w:r>
        <w:t xml:space="preserve"> </w:t>
      </w:r>
    </w:p>
    <w:p w14:paraId="088B512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B5CB9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přijala</w:t>
      </w:r>
    </w:p>
    <w:p w14:paraId="504F578F" w14:textId="73DC2852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</w:t>
        </w:r>
      </w:hyperlink>
    </w:p>
    <w:p w14:paraId="0EDEF9A5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vzato v úvahu doporučení obsažené v části II/B, k bodu 13, ve stanovisku Legislativní rady vlády a budou posouzeny dílčí připomínky předané místopředsedou vlády a ministrem financí.</w:t>
      </w:r>
      <w:r>
        <w:rPr>
          <w:rFonts w:eastAsia="Times New Roman"/>
        </w:rPr>
        <w:t xml:space="preserve"> </w:t>
      </w:r>
    </w:p>
    <w:p w14:paraId="1B1BE99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7. Návrh na vydání zákona, kterým se mění a doplňuje zákon České národní rady č. 586/1992 Sb., o daních z příjmů, ve znění pozdějších předpisů (tisk č. 1433)</w:t>
      </w:r>
      <w:r>
        <w:t xml:space="preserve"> </w:t>
      </w:r>
    </w:p>
    <w:p w14:paraId="18DDE82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63/95</w:t>
      </w:r>
      <w:r>
        <w:t xml:space="preserve"> </w:t>
      </w:r>
    </w:p>
    <w:p w14:paraId="141F076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6B532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 přijala</w:t>
      </w:r>
    </w:p>
    <w:p w14:paraId="0161F87B" w14:textId="33C78FBC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58.</w:t>
        </w:r>
      </w:hyperlink>
    </w:p>
    <w:p w14:paraId="26863D15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nařízení vlády o usměrňování výše prostředků vynakládaných na platy a na odměny za pracovní pohotovost</w:t>
      </w:r>
      <w:r>
        <w:rPr>
          <w:rFonts w:eastAsia="Times New Roman"/>
        </w:rPr>
        <w:t xml:space="preserve"> </w:t>
      </w:r>
    </w:p>
    <w:p w14:paraId="06E2238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43/95</w:t>
      </w:r>
      <w:r>
        <w:t xml:space="preserve"> </w:t>
      </w:r>
    </w:p>
    <w:p w14:paraId="2C79A94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60DA75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68A996C7" w14:textId="4835AF87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</w:t>
        </w:r>
      </w:hyperlink>
    </w:p>
    <w:p w14:paraId="4D0A3166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vzato v úvahu doporučení obsažené v části II/2 stanoviska předsedy Legislativní rady vlády o vztažení platnosti § 2 odst. 2 písm. a) i na zaměstnance Kanceláře Parlamentu v pracovním poměru, že bude zpřesněno znění § 4, že bude nařízení vlády upraveno ve smyslu připomínky ministra průmyslu a obchodu a dále s tím, že budou posouzeny návrhy na dílčí technická zpřesnění vznesená ministrem vnitra a zpřesněno znění důvodové zprávy.</w:t>
      </w:r>
      <w:r>
        <w:rPr>
          <w:rFonts w:eastAsia="Times New Roman"/>
        </w:rPr>
        <w:t xml:space="preserve"> </w:t>
      </w:r>
    </w:p>
    <w:p w14:paraId="1B15FF7B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9. Návrh plánu práce vlády České republiky na 1. pololetí 1995 a výhled na 2. pololetí 1995</w:t>
      </w:r>
      <w:r>
        <w:t xml:space="preserve"> </w:t>
      </w:r>
    </w:p>
    <w:p w14:paraId="35F6DAF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44/95</w:t>
      </w:r>
      <w:r>
        <w:t xml:space="preserve"> </w:t>
      </w:r>
    </w:p>
    <w:p w14:paraId="5A3B01E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C5FD40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5A914868" w14:textId="11C82ED3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60.</w:t>
        </w:r>
      </w:hyperlink>
    </w:p>
    <w:p w14:paraId="1293948D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plnění úkolů uložených vládou České republiky za prosinec 1994</w:t>
      </w:r>
      <w:r>
        <w:rPr>
          <w:rFonts w:eastAsia="Times New Roman"/>
        </w:rPr>
        <w:t xml:space="preserve"> </w:t>
      </w:r>
    </w:p>
    <w:p w14:paraId="42B6A5B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48/95</w:t>
      </w:r>
      <w:r>
        <w:t xml:space="preserve"> </w:t>
      </w:r>
    </w:p>
    <w:p w14:paraId="74010632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657916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48719274" w14:textId="48AA885D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61.</w:t>
        </w:r>
      </w:hyperlink>
    </w:p>
    <w:p w14:paraId="480C3FE9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Vyrovnání rozdílu mezi regulovanou cenou a tržní cenou uhlí a poskytnutí ekologické dotace pro a.s. Ostravskokarvinské doly Ostrava</w:t>
      </w:r>
      <w:r>
        <w:rPr>
          <w:rFonts w:eastAsia="Times New Roman"/>
        </w:rPr>
        <w:t xml:space="preserve"> </w:t>
      </w:r>
    </w:p>
    <w:p w14:paraId="18FCAA55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38/95</w:t>
      </w:r>
      <w:r>
        <w:t xml:space="preserve"> </w:t>
      </w:r>
    </w:p>
    <w:p w14:paraId="301F4CC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D2511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0E7D48BB" w14:textId="30BED6DB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62.</w:t>
        </w:r>
      </w:hyperlink>
    </w:p>
    <w:p w14:paraId="775BE6F3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Závěrečná zpráva o využití majetku bývalé Komunistické strany Československa v působnosti Ministerstva hospodářství České republiky</w:t>
      </w:r>
      <w:r>
        <w:rPr>
          <w:rFonts w:eastAsia="Times New Roman"/>
        </w:rPr>
        <w:t xml:space="preserve"> </w:t>
      </w:r>
    </w:p>
    <w:p w14:paraId="1BB80140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57/95</w:t>
      </w:r>
      <w:r>
        <w:t xml:space="preserve"> </w:t>
      </w:r>
    </w:p>
    <w:p w14:paraId="7D14A93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ACD9A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2E26D5E1" w14:textId="5948D83F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</w:t>
        </w:r>
      </w:hyperlink>
    </w:p>
    <w:p w14:paraId="22E7D608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zpráva doplněna o zdůvodnění použitého postupu při využití majetku a s tím, že budou zpřesněny a interpretovány číselné údaje obsažené v materiálu.</w:t>
      </w:r>
      <w:r>
        <w:rPr>
          <w:rFonts w:eastAsia="Times New Roman"/>
        </w:rPr>
        <w:t xml:space="preserve"> </w:t>
      </w:r>
    </w:p>
    <w:p w14:paraId="330ABAB6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13. Návrh na řešení finanční problematiky ve vztahu k Íránské islámské republice</w:t>
      </w:r>
      <w:r>
        <w:t xml:space="preserve"> </w:t>
      </w:r>
    </w:p>
    <w:p w14:paraId="3DA9AEB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0128/95</w:t>
      </w:r>
      <w:r>
        <w:t xml:space="preserve"> </w:t>
      </w:r>
    </w:p>
    <w:p w14:paraId="31A13B3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6A5DF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materiál předložený ministry průmyslu a obchodu a zahraničních věcí projedná na jednání své schůze dne 8. února 1995.</w:t>
      </w:r>
      <w:r>
        <w:t xml:space="preserve"> </w:t>
      </w:r>
    </w:p>
    <w:p w14:paraId="38A2A4AB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14. Souhlas vlády ke spolupráci Vojenského zpravodajství se zpravodajskými službami cizí moci</w:t>
      </w:r>
      <w:r>
        <w:t xml:space="preserve"> </w:t>
      </w:r>
    </w:p>
    <w:p w14:paraId="5293FDD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0130/95</w:t>
      </w:r>
      <w:r>
        <w:t xml:space="preserve"> </w:t>
      </w:r>
    </w:p>
    <w:p w14:paraId="127E63D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C9328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obrany přijala</w:t>
      </w:r>
    </w:p>
    <w:p w14:paraId="62A455CF" w14:textId="6E7365F1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64.</w:t>
        </w:r>
      </w:hyperlink>
    </w:p>
    <w:p w14:paraId="557CCE33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ke vstupním podmínkám občanů některých států na území České republiky</w:t>
      </w:r>
      <w:r>
        <w:rPr>
          <w:rFonts w:eastAsia="Times New Roman"/>
        </w:rPr>
        <w:t xml:space="preserve"> </w:t>
      </w:r>
    </w:p>
    <w:p w14:paraId="2FFF58D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0133/95</w:t>
      </w:r>
      <w:r>
        <w:t xml:space="preserve"> </w:t>
      </w:r>
    </w:p>
    <w:p w14:paraId="7200E40F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3A021F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77701DA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16. Návrh na přistoupení České republiky k Dílčí dohodě Rady Evropy o zřízení Evropského střediska pro cizí jazyky ve Štýrském Hradci</w:t>
      </w:r>
      <w:r>
        <w:t xml:space="preserve"> </w:t>
      </w:r>
    </w:p>
    <w:p w14:paraId="232F5B7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28/95</w:t>
      </w:r>
      <w:r>
        <w:t xml:space="preserve"> </w:t>
      </w:r>
    </w:p>
    <w:p w14:paraId="6AD4304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4DFEE5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</w:t>
      </w:r>
    </w:p>
    <w:p w14:paraId="70387A05" w14:textId="119E8D2E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65.</w:t>
        </w:r>
      </w:hyperlink>
    </w:p>
    <w:p w14:paraId="41AE020F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výjimky vlády ČR k úplatnému převodu přebytečného majetku podle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4B91D72F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61/95</w:t>
      </w:r>
      <w:r>
        <w:t xml:space="preserve"> </w:t>
      </w:r>
    </w:p>
    <w:p w14:paraId="34F908D5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D4964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projedná materiál předložený ministrem práce a sociálních věcí na jednání své schůze dne 8. února 1995.</w:t>
      </w:r>
      <w:r>
        <w:t xml:space="preserve"> </w:t>
      </w:r>
    </w:p>
    <w:p w14:paraId="0696769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18. Žádost o udělení výjimek podle ustanovení § 45 odst. 1 a 2 zákona č. 92/1991 Sb., o podmínkách převodu majetku státu na jiné osoby, ve znění pozdějších předpisů</w:t>
      </w:r>
      <w:r>
        <w:t xml:space="preserve"> </w:t>
      </w:r>
    </w:p>
    <w:p w14:paraId="5550534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54/95</w:t>
      </w:r>
      <w:r>
        <w:t xml:space="preserve"> </w:t>
      </w:r>
    </w:p>
    <w:p w14:paraId="05987FA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65D28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4B49787A" w14:textId="31D0E505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66.</w:t>
        </w:r>
      </w:hyperlink>
    </w:p>
    <w:p w14:paraId="5C9FC373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Žádosti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819F88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53/95</w:t>
      </w:r>
      <w:r>
        <w:t xml:space="preserve"> </w:t>
      </w:r>
    </w:p>
    <w:p w14:paraId="17604683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7DBF9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6A2CFACB" w14:textId="2E3B4398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67.</w:t>
        </w:r>
      </w:hyperlink>
    </w:p>
    <w:p w14:paraId="5A9E3B40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353E99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62/95</w:t>
      </w:r>
      <w:r>
        <w:t xml:space="preserve"> </w:t>
      </w:r>
    </w:p>
    <w:p w14:paraId="4535B39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38020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přijala</w:t>
      </w:r>
    </w:p>
    <w:p w14:paraId="57B374CD" w14:textId="7BD4D24D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68.</w:t>
        </w:r>
      </w:hyperlink>
    </w:p>
    <w:p w14:paraId="1A94D2A3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5A617BD9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5/95</w:t>
      </w:r>
      <w:r>
        <w:t xml:space="preserve"> </w:t>
      </w:r>
    </w:p>
    <w:p w14:paraId="68D91C5B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21B7C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Materiál předložený ministrem průmyslu a obchodu byl stažen z programu jednání.</w:t>
      </w:r>
      <w:r>
        <w:t xml:space="preserve"> </w:t>
      </w:r>
    </w:p>
    <w:p w14:paraId="6495577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22. Rozhodnutí o privatizaci podle § 10, odst. 1 zákona č. 92/1991 Sb., o podmínkách převodu majetku státu na jiné osoby, ve znění pozdějších předpisů (materiál č. 75)</w:t>
      </w:r>
      <w:r>
        <w:t xml:space="preserve"> </w:t>
      </w:r>
    </w:p>
    <w:p w14:paraId="504A47C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71/95</w:t>
      </w:r>
      <w:r>
        <w:t xml:space="preserve"> </w:t>
      </w:r>
    </w:p>
    <w:p w14:paraId="4CB07050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D190CB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DAC8C85" w14:textId="710DD2BC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69.</w:t>
        </w:r>
      </w:hyperlink>
    </w:p>
    <w:p w14:paraId="4F979CD0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odvolání a jmenování členů Rady Státního fondu tržní regulace v zemědělství</w:t>
      </w:r>
      <w:r>
        <w:rPr>
          <w:rFonts w:eastAsia="Times New Roman"/>
        </w:rPr>
        <w:t xml:space="preserve"> </w:t>
      </w:r>
    </w:p>
    <w:p w14:paraId="0667B0E2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58/95</w:t>
      </w:r>
      <w:r>
        <w:t xml:space="preserve"> </w:t>
      </w:r>
    </w:p>
    <w:p w14:paraId="52F96EFF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23FC83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6D9AF931" w14:textId="33EAFB86" w:rsidR="00B828E5" w:rsidRDefault="00B828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70.</w:t>
        </w:r>
      </w:hyperlink>
    </w:p>
    <w:p w14:paraId="6D56B134" w14:textId="77777777" w:rsidR="00B828E5" w:rsidRDefault="00B828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nařízení vlády, kterým se mění a doplňuje nařízení vlády č. 334/1993 Sb., o regulačním a sankčním opatření ve mzdové oblasti</w:t>
      </w:r>
      <w:r>
        <w:rPr>
          <w:rFonts w:eastAsia="Times New Roman"/>
        </w:rPr>
        <w:t xml:space="preserve"> </w:t>
      </w:r>
    </w:p>
    <w:p w14:paraId="31D9010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72/95</w:t>
      </w:r>
      <w:r>
        <w:t xml:space="preserve"> </w:t>
      </w:r>
    </w:p>
    <w:p w14:paraId="6D08CA4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45A945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návrh předložený ministrem práce a sociálních věcí projedná na jednání své schůze dne 8. února 1995.</w:t>
      </w:r>
      <w:r>
        <w:t xml:space="preserve"> </w:t>
      </w:r>
    </w:p>
    <w:p w14:paraId="5C7B5FA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25. Ústní informace ministra kultury o formě humanitární pomoci obětem zemětřesení v Kobe v Japonsku</w:t>
      </w:r>
      <w:r>
        <w:t xml:space="preserve"> </w:t>
      </w:r>
    </w:p>
    <w:p w14:paraId="0411949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7E0F31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kultury o formě humanitární pomoci obětem zemětřesení v Kobe v Japonsku a to výtěžku z koncertu opery Národního divadla v Praze, který se uskuteční 5. února 1995 v Tokiu (usnesení vlády z 25. ledna 1995 č. 53, o humanitární pomoci obětem ozbrojeného konfliktu v Čečensku /Ruská federace/ a obětem zemětřesení v Kobe /Japonsko/).</w:t>
      </w:r>
      <w:r>
        <w:t xml:space="preserve"> </w:t>
      </w:r>
    </w:p>
    <w:p w14:paraId="4C19965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26. Stanovisko vlády v souvislosti s článkem o činnosti Bezpečnostní informační služby v Lidových novinách dne 21. ledna 1995</w:t>
      </w:r>
      <w:r>
        <w:t xml:space="preserve"> </w:t>
      </w:r>
    </w:p>
    <w:p w14:paraId="0CA8F1F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56E486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zemědělství k o n s t a t o v a l a , že žádný z přítomných sedmnácti členů vlády neposkytl informace deníku Lidové noviny, které by byly podkladem pro tvrzení o jménech členů vlády, která se dostala do evidence Bezpečnostní informační služby v souvislosti s ověřováním možné účasti uvedených členů vlády na aktivitách ohrožujících ekonomické zájmy státu, a to v článku otištěném v tomto deníku dne 21. ledna 1995.</w:t>
      </w:r>
      <w:r>
        <w:t xml:space="preserve"> </w:t>
      </w:r>
    </w:p>
    <w:p w14:paraId="4889BC13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27. Příprava materiálu o současném právním stavu v otázce vydávání majetku emigrantům</w:t>
      </w:r>
      <w:r>
        <w:t xml:space="preserve"> </w:t>
      </w:r>
    </w:p>
    <w:p w14:paraId="6701051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2DE5B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ministru spravedlnosti zpracovat a vládě na jednání její schůze dne 8. února 1995 předložit materiál s rozborem současného právního stavu při vydávání majetku emigrantů, který byl v minulosti převeden na jiné subjekty.</w:t>
      </w:r>
      <w:r>
        <w:t xml:space="preserve"> </w:t>
      </w:r>
    </w:p>
    <w:p w14:paraId="54D1FEC2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28. Ústní informace ministra obrany a místopředsedy vlády pověřeného řízením Úřadu pro legislativu a veřejnou správu o projednávání návrhu zásad ústavního zákona o obraně České republiky v orgánech Parlamentu České republiky</w:t>
      </w:r>
      <w:r>
        <w:t xml:space="preserve"> </w:t>
      </w:r>
    </w:p>
    <w:p w14:paraId="1727468D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CA3C2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obrany a místopředsedy vlády pověřeného řízením Úřadu pro legislativu a veřejnou správu o projednávání návrhu zásad ústavního zákona o obraně České republiky v orgánech Parlamentu České republiky.</w:t>
      </w:r>
      <w:r>
        <w:t xml:space="preserve"> </w:t>
      </w:r>
    </w:p>
    <w:p w14:paraId="617389F3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88015EE" w14:textId="77777777" w:rsidR="00B828E5" w:rsidRDefault="00B828E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4D61F74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1. Změny plánů kontrolní činnosti NKÚ na rok 1994 a 1995 a dodatek plánu kontrolní činnosti NKÚ na rok 1995 (předložil ministr vlády a vedoucí Úřadu vlády I. Němec)</w:t>
      </w:r>
      <w:r>
        <w:t xml:space="preserve"> </w:t>
      </w:r>
    </w:p>
    <w:p w14:paraId="358196B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59/95</w:t>
      </w:r>
      <w:r>
        <w:t xml:space="preserve"> </w:t>
      </w:r>
    </w:p>
    <w:p w14:paraId="47806BDC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2. Informace o účasti ministra životního prostředí F. Bendy na tiskové konferenci a slavnostním zahájení 6. magdeburského semináře o ochraně vod v Cuxhavenu (SRN) ve dnech 8. - 9. 11. 1994 (předložil ministr životního prostředí)</w:t>
      </w:r>
      <w:r>
        <w:t xml:space="preserve"> </w:t>
      </w:r>
    </w:p>
    <w:p w14:paraId="24B6AE4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60/95</w:t>
      </w:r>
      <w:r>
        <w:t xml:space="preserve"> </w:t>
      </w:r>
    </w:p>
    <w:p w14:paraId="0F491EC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 xml:space="preserve">3. Informace o oficiální návštěvě předsedy vlády Finské republiky </w:t>
      </w:r>
      <w:r>
        <w:rPr>
          <w:rFonts w:ascii="Times New Roman CE" w:hAnsi="Times New Roman CE" w:cs="Times New Roman CE"/>
        </w:rPr>
        <w:t>Esko Aho v ČR ve dnech 2. - 4. prosince 1994 (předložil ministr zahraničních věcí)</w:t>
      </w:r>
      <w:r>
        <w:t xml:space="preserve"> </w:t>
      </w:r>
    </w:p>
    <w:p w14:paraId="032EA697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č.j. 70/95</w:t>
      </w:r>
      <w:r>
        <w:t xml:space="preserve"> </w:t>
      </w:r>
    </w:p>
    <w:p w14:paraId="2FB9B0B8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1BD4FBA" w14:textId="77777777" w:rsidR="00B828E5" w:rsidRDefault="00B828E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6A8449F" w14:textId="77777777" w:rsidR="00B828E5" w:rsidRDefault="00B828E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E5"/>
    <w:rsid w:val="00B3122F"/>
    <w:rsid w:val="00B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2533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5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2-01" TargetMode="External"/><Relationship Id="rId13" Type="http://schemas.openxmlformats.org/officeDocument/2006/relationships/hyperlink" Target="file:///c:\redir.nsf%3fRedirect&amp;To=\66bbfabee8e70f37c125642e0052aae5\7287dd893aaba324c12564b500284421%3fOpen&amp;Name=CN=Ghoul\O=ENV\C=CZ&amp;Id=C1256A62004E5036" TargetMode="External"/><Relationship Id="rId18" Type="http://schemas.openxmlformats.org/officeDocument/2006/relationships/hyperlink" Target="file:///c:\redir.nsf%3fRedirect&amp;To=\66bbfabee8e70f37c125642e0052aae5\087bea73d9e27591c12564b50028422c%3fOpen&amp;Name=CN=Ghoul\O=ENV\C=CZ&amp;Id=C1256A62004E5036" TargetMode="External"/><Relationship Id="rId26" Type="http://schemas.openxmlformats.org/officeDocument/2006/relationships/hyperlink" Target="file:///c:\redir.nsf%3fRedirect&amp;To=\66bbfabee8e70f37c125642e0052aae5\cafffa470710be05c12564b50028423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453bf9c1e4a7053c12564b50028422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e814f7de0a98c739c12564b500284422%3fOpen&amp;Name=CN=Ghoul\O=ENV\C=CZ&amp;Id=C1256A62004E5036" TargetMode="External"/><Relationship Id="rId17" Type="http://schemas.openxmlformats.org/officeDocument/2006/relationships/hyperlink" Target="file:///c:\redir.nsf%3fRedirect&amp;To=\66bbfabee8e70f37c125642e0052aae5\81f9b27d434168a3c12564b500284420%3fOpen&amp;Name=CN=Ghoul\O=ENV\C=CZ&amp;Id=C1256A62004E5036" TargetMode="External"/><Relationship Id="rId25" Type="http://schemas.openxmlformats.org/officeDocument/2006/relationships/hyperlink" Target="file:///c:\redir.nsf%3fRedirect&amp;To=\66bbfabee8e70f37c125642e0052aae5\8513f4dba885b893c12564b50028441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091fba2cc797335c12564b50028422d%3fOpen&amp;Name=CN=Ghoul\O=ENV\C=CZ&amp;Id=C1256A62004E5036" TargetMode="External"/><Relationship Id="rId20" Type="http://schemas.openxmlformats.org/officeDocument/2006/relationships/hyperlink" Target="file:///c:\redir.nsf%3fRedirect&amp;To=\66bbfabee8e70f37c125642e0052aae5\249002dd272e21d7c12564b50028422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a60fc8a7a59eac8c12564b500284423%3fOpen&amp;Name=CN=Ghoul\O=ENV\C=CZ&amp;Id=C1256A62004E5036" TargetMode="External"/><Relationship Id="rId24" Type="http://schemas.openxmlformats.org/officeDocument/2006/relationships/hyperlink" Target="file:///c:\redir.nsf%3fRedirect&amp;To=\66bbfabee8e70f37c125642e0052aae5\68e2ca6d96aff438c12564b50028441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981f68ac67e96d0c12564b50028422e%3fOpen&amp;Name=CN=Ghoul\O=ENV\C=CZ&amp;Id=C1256A62004E5036" TargetMode="External"/><Relationship Id="rId23" Type="http://schemas.openxmlformats.org/officeDocument/2006/relationships/hyperlink" Target="file:///c:\redir.nsf%3fRedirect&amp;To=\66bbfabee8e70f37c125642e0052aae5\ae520efad9142436c12564b50028441e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3c5f2f824e32082ac12564b500284230%3fOpen&amp;Name=CN=Ghoul\O=ENV\C=CZ&amp;Id=C1256A62004E5036" TargetMode="External"/><Relationship Id="rId19" Type="http://schemas.openxmlformats.org/officeDocument/2006/relationships/hyperlink" Target="file:///c:\redir.nsf%3fRedirect&amp;To=\66bbfabee8e70f37c125642e0052aae5\fab7bfefd26ae021c12564b50028422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92c7338bec7bcf8c12564b50028422f%3fOpen&amp;Name=CN=Ghoul\O=ENV\C=CZ&amp;Id=C1256A62004E5036" TargetMode="External"/><Relationship Id="rId22" Type="http://schemas.openxmlformats.org/officeDocument/2006/relationships/hyperlink" Target="file:///c:\redir.nsf%3fRedirect&amp;To=\66bbfabee8e70f37c125642e0052aae5\c250d76f8912ef25c12564b50028441f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2351</Words>
  <Characters>13407</Characters>
  <Application>Microsoft Office Word</Application>
  <DocSecurity>0</DocSecurity>
  <Lines>111</Lines>
  <Paragraphs>31</Paragraphs>
  <ScaleCrop>false</ScaleCrop>
  <Company>Profinit EU s.r.o.</Company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