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A90266" w14:textId="77777777" w:rsidR="006A7BE6" w:rsidRDefault="006A7BE6">
      <w:pPr>
        <w:pStyle w:val="z-TopofForm"/>
      </w:pPr>
      <w:r>
        <w:t>Top of Form</w:t>
      </w:r>
    </w:p>
    <w:p w14:paraId="70CE02F4" w14:textId="635A58CB" w:rsidR="006A7BE6" w:rsidRDefault="006A7BE6">
      <w:pPr>
        <w:pStyle w:val="Heading5"/>
        <w:divId w:val="184801348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1995-02-22</w:t>
        </w:r>
      </w:hyperlink>
    </w:p>
    <w:p w14:paraId="2A544D2B" w14:textId="77777777" w:rsidR="006A7BE6" w:rsidRDefault="006A7BE6">
      <w:pPr>
        <w:rPr>
          <w:rFonts w:eastAsia="Times New Roman"/>
        </w:rPr>
      </w:pPr>
    </w:p>
    <w:p w14:paraId="7F212E47" w14:textId="77777777" w:rsidR="006A7BE6" w:rsidRDefault="006A7BE6">
      <w:pPr>
        <w:divId w:val="20763186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6F95AD2" w14:textId="77777777" w:rsidR="006A7BE6" w:rsidRDefault="006A7BE6">
      <w:pPr>
        <w:divId w:val="1820078735"/>
        <w:rPr>
          <w:rFonts w:eastAsia="Times New Roman"/>
        </w:rPr>
      </w:pPr>
      <w:r>
        <w:rPr>
          <w:rFonts w:eastAsia="Times New Roman"/>
        </w:rPr>
        <w:pict w14:anchorId="2A238071"/>
      </w:r>
      <w:r>
        <w:rPr>
          <w:rFonts w:eastAsia="Times New Roman"/>
        </w:rPr>
        <w:pict w14:anchorId="2F034392"/>
      </w:r>
      <w:r>
        <w:rPr>
          <w:rFonts w:eastAsia="Times New Roman"/>
          <w:noProof/>
        </w:rPr>
        <w:drawing>
          <wp:inline distT="0" distB="0" distL="0" distR="0" wp14:anchorId="2B440DAF" wp14:editId="6CCDBDA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FC0A" w14:textId="77777777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BFE426C" w14:textId="77777777">
        <w:trPr>
          <w:tblCellSpacing w:w="0" w:type="dxa"/>
        </w:trPr>
        <w:tc>
          <w:tcPr>
            <w:tcW w:w="2500" w:type="pct"/>
            <w:hideMark/>
          </w:tcPr>
          <w:p w14:paraId="745AC5A0" w14:textId="77777777" w:rsidR="006A7BE6" w:rsidRDefault="006A7BE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2015/95</w:t>
            </w:r>
          </w:p>
        </w:tc>
        <w:tc>
          <w:tcPr>
            <w:tcW w:w="2500" w:type="pct"/>
            <w:hideMark/>
          </w:tcPr>
          <w:p w14:paraId="595C7B97" w14:textId="77777777" w:rsidR="006A7BE6" w:rsidRDefault="006A7BE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února 1995</w:t>
            </w:r>
          </w:p>
        </w:tc>
      </w:tr>
    </w:tbl>
    <w:p w14:paraId="7446F8A8" w14:textId="77777777" w:rsidR="006A7BE6" w:rsidRDefault="006A7BE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února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61BE338C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8CC7F10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Části jednání schůze vlády se účastnil prezident republiky V. Havel a předseda Poslanecké sněmovny Parlamentu České republiky M. Uhde.</w:t>
      </w:r>
      <w:r>
        <w:t xml:space="preserve"> </w:t>
      </w:r>
    </w:p>
    <w:p w14:paraId="383376A8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1. Návrh zásad devizového zákona</w:t>
      </w:r>
      <w:r>
        <w:t xml:space="preserve"> </w:t>
      </w:r>
    </w:p>
    <w:p w14:paraId="295BEFD0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141/95</w:t>
      </w:r>
      <w:r>
        <w:t xml:space="preserve"> </w:t>
      </w:r>
    </w:p>
    <w:p w14:paraId="470BBDCD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</w:t>
      </w:r>
      <w:r>
        <w:t xml:space="preserve"> </w:t>
      </w:r>
    </w:p>
    <w:p w14:paraId="287D4701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guvernérem České národní banky a přijala</w:t>
      </w:r>
    </w:p>
    <w:p w14:paraId="6919A98F" w14:textId="3DD5D722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98.</w:t>
        </w:r>
      </w:hyperlink>
    </w:p>
    <w:p w14:paraId="188AB5A2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zákona, kterým se mění a doplňuje zákon č. 50/1976 Sb., o územním plánování a stavebním řádu (stavební zákon), ve znění zákona č. 103/1990 Sb., zákona č. 262/1992 Sb. a zákona č. 43/1994 Sb.</w:t>
      </w:r>
      <w:r>
        <w:rPr>
          <w:rFonts w:eastAsia="Times New Roman"/>
        </w:rPr>
        <w:t xml:space="preserve"> </w:t>
      </w:r>
    </w:p>
    <w:p w14:paraId="1C66C3CC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923/94</w:t>
      </w:r>
      <w:r>
        <w:t xml:space="preserve"> </w:t>
      </w:r>
    </w:p>
    <w:p w14:paraId="2D722893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8B637A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návrh předložený ministrem hospodářství projedná na jednání své schůze dne 1. března 1995.</w:t>
      </w:r>
      <w:r>
        <w:t xml:space="preserve"> </w:t>
      </w:r>
    </w:p>
    <w:p w14:paraId="7173EB27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lastRenderedPageBreak/>
        <w:t>3. a) Návrh zákona, kterým se mění a doplňuje zákon České národní rady č. 576/1990 Sb., o pravidlech hospodaření s rozpočtovými prostředky České republiky a obcí v České republice (rozpočtová pravidla republiky), ve znění zákona České národní rady č. 579/1991 Sb., zákona České národní rady č. 166/1992 Sb., zákona České národní rady č. 321/1992 Sb., zákona České národní rady č. 10/1993 Sb. a zákona č. 189/1993 Sb.</w:t>
      </w:r>
      <w:r>
        <w:t xml:space="preserve"> </w:t>
      </w:r>
    </w:p>
    <w:p w14:paraId="07111AFA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 xml:space="preserve">b) Návrh zákona, kterým se doplňuje zákon č. 171/1991 Sb., </w:t>
      </w:r>
      <w:r>
        <w:rPr>
          <w:rFonts w:ascii="Times New Roman CE" w:hAnsi="Times New Roman CE" w:cs="Times New Roman CE"/>
        </w:rPr>
        <w:t>o působnosti orgánů České republiky ve věcech převodů majetku státu na jiné osoby a o Fondu národního majetku České republiky, ve znění zákona České národní rady č. 285/1991 Sb., zákona České národní rady č. 438/1991 Sb.,</w:t>
      </w:r>
      <w:r>
        <w:t xml:space="preserve"> </w:t>
      </w:r>
    </w:p>
    <w:p w14:paraId="36449A33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zákona České národní rady č. 569/1991 Sb., zákona České národní rady č. 282/1992 Sb., zákona č. 210/1993 Sb. a zákona č. 224/1994 Sb.</w:t>
      </w:r>
      <w:r>
        <w:t xml:space="preserve"> </w:t>
      </w:r>
    </w:p>
    <w:p w14:paraId="00DC64E8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124/95</w:t>
      </w:r>
      <w:r>
        <w:t xml:space="preserve"> </w:t>
      </w:r>
    </w:p>
    <w:p w14:paraId="2217CB9C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EAE369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1F22F9EB" w14:textId="1D3B4555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99</w:t>
        </w:r>
      </w:hyperlink>
    </w:p>
    <w:p w14:paraId="1BDA6222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 § 5 odst. 3 a § 36 odst. 1 návrhu zákona, kterým se mění a doplňuje zákon České národní rady č. 576/1990 Sb.</w:t>
      </w:r>
      <w:r>
        <w:rPr>
          <w:rFonts w:eastAsia="Times New Roman"/>
        </w:rPr>
        <w:t xml:space="preserve"> </w:t>
      </w:r>
    </w:p>
    <w:p w14:paraId="23F38590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4. Návrh na vydání zákona, kterým se doplňuje zákon České národní rady č. 576/1990 Sb., o pravidlech hospodaření s rozpočtovými prostředky České republiky a obcí v České republice (rozpočtová pravidla republiky), ve znění pozdějších předpisů (tisk č. 1476)</w:t>
      </w:r>
      <w:r>
        <w:t xml:space="preserve"> </w:t>
      </w:r>
    </w:p>
    <w:p w14:paraId="5057A0EB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92/95</w:t>
      </w:r>
      <w:r>
        <w:t xml:space="preserve"> </w:t>
      </w:r>
    </w:p>
    <w:p w14:paraId="4CC53106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F686A6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398757B" w14:textId="099330A8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100.</w:t>
        </w:r>
      </w:hyperlink>
    </w:p>
    <w:p w14:paraId="6ADFCE17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Zásady ústavního zákona o referendu (tisk č. 1424)</w:t>
      </w:r>
      <w:r>
        <w:rPr>
          <w:rFonts w:eastAsia="Times New Roman"/>
        </w:rPr>
        <w:t xml:space="preserve"> </w:t>
      </w:r>
    </w:p>
    <w:p w14:paraId="26F24377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65/95</w:t>
      </w:r>
      <w:r>
        <w:t xml:space="preserve"> </w:t>
      </w:r>
    </w:p>
    <w:p w14:paraId="3712F07E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6CA0D774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místopředsedou vlády pověřeným řízením Úřadu pro legislativu a veřejnou správu přijala</w:t>
      </w:r>
    </w:p>
    <w:p w14:paraId="71767A7E" w14:textId="00514C9A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101.</w:t>
        </w:r>
      </w:hyperlink>
    </w:p>
    <w:p w14:paraId="69462FA1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Zásady ústavního zákona o lidovém hlasování (tisk č. 1425)</w:t>
      </w:r>
      <w:r>
        <w:rPr>
          <w:rFonts w:eastAsia="Times New Roman"/>
        </w:rPr>
        <w:t xml:space="preserve"> </w:t>
      </w:r>
    </w:p>
    <w:p w14:paraId="449E1711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66/95</w:t>
      </w:r>
      <w:r>
        <w:t xml:space="preserve"> </w:t>
      </w:r>
    </w:p>
    <w:p w14:paraId="7FE7D05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7B31CD9C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místopředsedou vlády pověřeným řízením Úřadu pro legislativu a veřejnou správu a přijala</w:t>
      </w:r>
    </w:p>
    <w:p w14:paraId="40A9D8AD" w14:textId="3CA60BC3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102.</w:t>
        </w:r>
      </w:hyperlink>
    </w:p>
    <w:p w14:paraId="4EEA3A31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Zásady ústavního zákona o referendu (tisk č. 1427)</w:t>
      </w:r>
      <w:r>
        <w:rPr>
          <w:rFonts w:eastAsia="Times New Roman"/>
        </w:rPr>
        <w:t xml:space="preserve"> </w:t>
      </w:r>
    </w:p>
    <w:p w14:paraId="0AC73F5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67/95</w:t>
      </w:r>
      <w:r>
        <w:t xml:space="preserve"> </w:t>
      </w:r>
    </w:p>
    <w:p w14:paraId="18D6E3A0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06E728E0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6D17D23E" w14:textId="66A35669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103.</w:t>
        </w:r>
      </w:hyperlink>
    </w:p>
    <w:p w14:paraId="45E98F8E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Zásady ústavního zákona, kterým se doplňuje ústavní zákon České národní rady č. 1/1993 Sb., Ústava České republiky (tisk č. 1456)</w:t>
      </w:r>
      <w:r>
        <w:rPr>
          <w:rFonts w:eastAsia="Times New Roman"/>
        </w:rPr>
        <w:t xml:space="preserve"> </w:t>
      </w:r>
    </w:p>
    <w:p w14:paraId="2C351E51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76/95</w:t>
      </w:r>
      <w:r>
        <w:t xml:space="preserve"> </w:t>
      </w:r>
    </w:p>
    <w:p w14:paraId="0CD8DA34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37A905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05C247E" w14:textId="094F324D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104.</w:t>
        </w:r>
      </w:hyperlink>
    </w:p>
    <w:p w14:paraId="79F0E364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zásad zákona o státních svátcích, svátcích a významných a památných dnech (tisk č. 1445)</w:t>
      </w:r>
      <w:r>
        <w:rPr>
          <w:rFonts w:eastAsia="Times New Roman"/>
        </w:rPr>
        <w:t xml:space="preserve"> </w:t>
      </w:r>
    </w:p>
    <w:p w14:paraId="29506991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69/95</w:t>
      </w:r>
      <w:r>
        <w:t xml:space="preserve"> </w:t>
      </w:r>
    </w:p>
    <w:p w14:paraId="0CEEAB6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3366F0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3E00E612" w14:textId="16704CBC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105.</w:t>
        </w:r>
      </w:hyperlink>
    </w:p>
    <w:p w14:paraId="4387150F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zásad zákona o státních svátcích a významných a památných dnech (tisk č. 1495)</w:t>
      </w:r>
      <w:r>
        <w:rPr>
          <w:rFonts w:eastAsia="Times New Roman"/>
        </w:rPr>
        <w:t xml:space="preserve"> </w:t>
      </w:r>
    </w:p>
    <w:p w14:paraId="303FB618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93/95</w:t>
      </w:r>
      <w:r>
        <w:t xml:space="preserve"> </w:t>
      </w:r>
    </w:p>
    <w:p w14:paraId="173981CD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35491A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5B4223B0" w14:textId="2F7C4E2E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106.</w:t>
        </w:r>
      </w:hyperlink>
    </w:p>
    <w:p w14:paraId="13600E73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Zásady zákona, kterým se mění a doplňuje zákon České národní rady č. 587/1992 Sb., o spotřebních daních, ve znění pozdějších předpisů (tisk č. 1434)</w:t>
      </w:r>
      <w:r>
        <w:rPr>
          <w:rFonts w:eastAsia="Times New Roman"/>
        </w:rPr>
        <w:t xml:space="preserve"> </w:t>
      </w:r>
    </w:p>
    <w:p w14:paraId="671720C0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68/95</w:t>
      </w:r>
      <w:r>
        <w:t xml:space="preserve"> </w:t>
      </w:r>
    </w:p>
    <w:p w14:paraId="7D5050D2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3977C9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70B51848" w14:textId="70B09E43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107.</w:t>
        </w:r>
      </w:hyperlink>
    </w:p>
    <w:p w14:paraId="6E71802F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zásad zákona, kterým se mění a doplňuje zákon České národní rady č. 553/1991 Sb., o obecní policii, ve znění zákona č. 67/1993 Sb., a zákona č. 163/1993 Sb. (tisk č. 1423)</w:t>
      </w:r>
      <w:r>
        <w:rPr>
          <w:rFonts w:eastAsia="Times New Roman"/>
        </w:rPr>
        <w:t xml:space="preserve"> </w:t>
      </w:r>
    </w:p>
    <w:p w14:paraId="134F78F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64/95</w:t>
      </w:r>
      <w:r>
        <w:t xml:space="preserve"> </w:t>
      </w:r>
    </w:p>
    <w:p w14:paraId="6AE19418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FB452B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499648D" w14:textId="1717CF6B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108.</w:t>
        </w:r>
      </w:hyperlink>
    </w:p>
    <w:p w14:paraId="4BB35EA5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zákona, kterým se mění a doplňuje zákon České národní rady č. 37/1989 Sb., o ochraně před alkoholismem a jinými toxikomaniemi, ve znění zákona č. 425/1990 Sb. (tisk č. 1449)</w:t>
      </w:r>
      <w:r>
        <w:rPr>
          <w:rFonts w:eastAsia="Times New Roman"/>
        </w:rPr>
        <w:t xml:space="preserve"> </w:t>
      </w:r>
    </w:p>
    <w:p w14:paraId="3B42CF96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73/95</w:t>
      </w:r>
      <w:r>
        <w:t xml:space="preserve"> </w:t>
      </w:r>
    </w:p>
    <w:p w14:paraId="0D2279B3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A37116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5F364783" w14:textId="7C21E3A6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109.</w:t>
        </w:r>
      </w:hyperlink>
    </w:p>
    <w:p w14:paraId="4062436F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Informace o dopadu nálezu Ústavního soudu ze dne 12. července 1994 do zákona o mimosoudních rehabilitacích</w:t>
      </w:r>
      <w:r>
        <w:rPr>
          <w:rFonts w:eastAsia="Times New Roman"/>
        </w:rPr>
        <w:t xml:space="preserve"> </w:t>
      </w:r>
    </w:p>
    <w:p w14:paraId="14C1C0C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0E839D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Materiál předložený ministrem spravedlnosti byl stažen z programu jednání.</w:t>
      </w:r>
      <w:r>
        <w:t xml:space="preserve"> </w:t>
      </w:r>
    </w:p>
    <w:p w14:paraId="0FDC03A4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15. a) Návrh koncepce oslav 50. výročí ukončení druhé světové války</w:t>
      </w:r>
      <w:r>
        <w:t xml:space="preserve"> </w:t>
      </w:r>
    </w:p>
    <w:p w14:paraId="068469B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b) Návrh odpovědi předsedy vlády prezidentu republiky</w:t>
      </w:r>
      <w:r>
        <w:t xml:space="preserve"> </w:t>
      </w:r>
    </w:p>
    <w:p w14:paraId="20D97C96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128/95</w:t>
      </w:r>
      <w:r>
        <w:t xml:space="preserve"> </w:t>
      </w:r>
    </w:p>
    <w:p w14:paraId="528D42C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48E182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za účasti prezidenta republiky a předsedy Poslanecké sněmovny Parlamentu České republiky v diskusi posoudila materiál předložený místopředsedou vlády pověřeným řízením Úřadu pro legislativu a veřejnou správu a ministry zahraničních věcí a hospodářství a jeho dodatek a u l o ž i l a místopředsedovi vlády pověřenému řízením Úřadu pro legislativu a veřejnou správu, ministru vlády a vedoucímu Úřadu vlády I. Němcovi a ministrům zahraničních věcí a kultury předložit vládě do 8. března 1995 návrh ucelené</w:t>
      </w:r>
      <w:r>
        <w:rPr>
          <w:rFonts w:ascii="Times New Roman CE" w:hAnsi="Times New Roman CE" w:cs="Times New Roman CE"/>
        </w:rPr>
        <w:t xml:space="preserve"> koncepce oslav 50. výročí ukončení druhé světové války podle námětů a připomínek vzešlých z diskuse vlády a dalších účastníků jednání schůze vlády.</w:t>
      </w:r>
      <w:r>
        <w:t xml:space="preserve"> </w:t>
      </w:r>
    </w:p>
    <w:p w14:paraId="56FFF7B1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16. Program záchrany architektonického dědictví</w:t>
      </w:r>
      <w:r>
        <w:t xml:space="preserve"> </w:t>
      </w:r>
    </w:p>
    <w:p w14:paraId="34CE155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129/95</w:t>
      </w:r>
      <w:r>
        <w:t xml:space="preserve"> </w:t>
      </w:r>
    </w:p>
    <w:p w14:paraId="6116AFB5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3E5F968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kultury přijala</w:t>
      </w:r>
    </w:p>
    <w:p w14:paraId="741FC3B0" w14:textId="1E9F81EB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110.</w:t>
        </w:r>
      </w:hyperlink>
    </w:p>
    <w:p w14:paraId="01A32BAE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novely statutu Rady vlády České republiky pro výzkum a vývoj, návrh novely statutu Grantové agentury České republiky a návrh na odvolání a jmenování člena Rady vlády České republiky pro výzkum a vývoj</w:t>
      </w:r>
      <w:r>
        <w:rPr>
          <w:rFonts w:eastAsia="Times New Roman"/>
        </w:rPr>
        <w:t xml:space="preserve"> </w:t>
      </w:r>
    </w:p>
    <w:p w14:paraId="6BCF65A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130/95</w:t>
      </w:r>
      <w:r>
        <w:t xml:space="preserve"> </w:t>
      </w:r>
    </w:p>
    <w:p w14:paraId="0E7CE29D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0E5F99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předsedou Rady vlády České republiky pro výzkum a vývoj I. Němcem a přijala</w:t>
      </w:r>
    </w:p>
    <w:p w14:paraId="0A766420" w14:textId="54F9BDD2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111.</w:t>
        </w:r>
      </w:hyperlink>
    </w:p>
    <w:p w14:paraId="7AEBD68B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ratifikaci Evropské úmluvy o zabránění mučení a nelidskému či ponižujícímu zacházení nebo trestání a na podpis a ratifikaci Protokolů č. 1 a 2 k této Úmluvě</w:t>
      </w:r>
      <w:r>
        <w:rPr>
          <w:rFonts w:eastAsia="Times New Roman"/>
        </w:rPr>
        <w:t xml:space="preserve"> </w:t>
      </w:r>
    </w:p>
    <w:p w14:paraId="4492982B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131/95</w:t>
      </w:r>
      <w:r>
        <w:t xml:space="preserve"> </w:t>
      </w:r>
    </w:p>
    <w:p w14:paraId="46E48542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D9146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6DF1CFE5" w14:textId="41F67A7A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112.</w:t>
        </w:r>
      </w:hyperlink>
    </w:p>
    <w:p w14:paraId="70C181C5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podpis a ratifikaci Rámcové úmluvy o ochraně národnostních menšin</w:t>
      </w:r>
      <w:r>
        <w:rPr>
          <w:rFonts w:eastAsia="Times New Roman"/>
        </w:rPr>
        <w:t xml:space="preserve"> </w:t>
      </w:r>
    </w:p>
    <w:p w14:paraId="4A9C4CE4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132/95</w:t>
      </w:r>
      <w:r>
        <w:t xml:space="preserve"> </w:t>
      </w:r>
    </w:p>
    <w:p w14:paraId="693E9713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36A259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v diskusi p o s o u d i l a materiál předložený ministrem zahraničních věcí a u l o ž i l a ministru zahraničních věcí ve spolupráci s ministrem vlády a předsedou Rady pro národnosti vlády České republiky I. Němcem a ministrem vnitra předložit vládě do 22. března 1995 doplňující materiál specifikující úkoly a povinnosti vyplývající pro orgány České republiky z Rámcové úmluvy o ochraně národnostních menšin po jejím podpisu a ratifikaci.</w:t>
      </w:r>
      <w:r>
        <w:t xml:space="preserve"> </w:t>
      </w:r>
    </w:p>
    <w:p w14:paraId="47FF0021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20. Návrh na uskutečnění oficiální návštěvy prezidenta Italské republiky Oscara Luigi Scalfara v České republice ve dnech 27. - 28. února 1995</w:t>
      </w:r>
      <w:r>
        <w:t xml:space="preserve"> </w:t>
      </w:r>
    </w:p>
    <w:p w14:paraId="1CB4DCFD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122/95</w:t>
      </w:r>
      <w:r>
        <w:t xml:space="preserve"> </w:t>
      </w:r>
    </w:p>
    <w:p w14:paraId="618E9812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6CD34A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07F2952E" w14:textId="052C2CF8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113.</w:t>
        </w:r>
      </w:hyperlink>
    </w:p>
    <w:p w14:paraId="0051AA48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obeslání Světového summitu pro sociální rozvoj</w:t>
      </w:r>
      <w:r>
        <w:rPr>
          <w:rFonts w:eastAsia="Times New Roman"/>
        </w:rPr>
        <w:t xml:space="preserve"> </w:t>
      </w:r>
    </w:p>
    <w:p w14:paraId="57FE31D8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135/95</w:t>
      </w:r>
      <w:r>
        <w:t xml:space="preserve"> </w:t>
      </w:r>
    </w:p>
    <w:p w14:paraId="4DCB1352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02B10F94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DAF4BA0" w14:textId="3D2E1EBB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114</w:t>
        </w:r>
      </w:hyperlink>
    </w:p>
    <w:p w14:paraId="28F50F12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ve spolupráci s příslušnými členy vlády upravena Národní zpráva České republiky, že budou ve spolupráci s příslušnými členy vlády a předsedou Českého statistického úřadu aktualizovány a zpřesněny údaje uváděné v Národní zprávě České republiky a dále s tím, že nebude na Světovém summitu realizováno vystoupení náměstka ministra práce a sociálních věcí.</w:t>
      </w:r>
      <w:r>
        <w:rPr>
          <w:rFonts w:eastAsia="Times New Roman"/>
        </w:rPr>
        <w:t xml:space="preserve"> </w:t>
      </w:r>
    </w:p>
    <w:p w14:paraId="5C4FFD21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22. Návrh a jmenování přednosty Okresního úřadu Semily</w:t>
      </w:r>
      <w:r>
        <w:t xml:space="preserve"> </w:t>
      </w:r>
    </w:p>
    <w:p w14:paraId="03AEC1CB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133/95</w:t>
      </w:r>
      <w:r>
        <w:t xml:space="preserve"> </w:t>
      </w:r>
    </w:p>
    <w:p w14:paraId="624D4450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49429A69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1B2A96D2" w14:textId="2D342ACD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115.</w:t>
        </w:r>
      </w:hyperlink>
    </w:p>
    <w:p w14:paraId="4BE8C69D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Rozhodnutí o privatizaci podle § 10, odst. 1 zákona č. 92/1991 Sb., o podmínkách převodu majetku státu na jiné osoby, ve znění pozdějších předpisů (materiál č. 78)</w:t>
      </w:r>
      <w:r>
        <w:rPr>
          <w:rFonts w:eastAsia="Times New Roman"/>
        </w:rPr>
        <w:t xml:space="preserve"> </w:t>
      </w:r>
    </w:p>
    <w:p w14:paraId="3C184416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127/95</w:t>
      </w:r>
      <w:r>
        <w:t xml:space="preserve"> </w:t>
      </w:r>
    </w:p>
    <w:p w14:paraId="09F8CBAC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AA4A7F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27F8A8C7" w14:textId="4CA2F9E9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116.</w:t>
        </w:r>
      </w:hyperlink>
    </w:p>
    <w:p w14:paraId="096FAE71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1C83D7DB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FCA5E2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z podnětu ministra práce a sociálních věcí a v návaznosti na rozhodnutí vlády z 15. února 1995 (bod 14 záznamu z jednání schůze vlády z 15. února 1995) přijala</w:t>
      </w:r>
    </w:p>
    <w:p w14:paraId="5F7480DA" w14:textId="2B1187D4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117.</w:t>
        </w:r>
      </w:hyperlink>
    </w:p>
    <w:p w14:paraId="13801C6A" w14:textId="77777777" w:rsidR="006A7BE6" w:rsidRDefault="006A7B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Změna usnesení vlády z 20. dubna 1994 č. 214, k návrhu na sjednání Dohody mezi vládou České republiky a vládou Republiky Turkmenistan o obchodně ekonomických vztazích a spolupráci v oblasti vědy a techniky</w:t>
      </w:r>
      <w:r>
        <w:rPr>
          <w:rFonts w:eastAsia="Times New Roman"/>
        </w:rPr>
        <w:t xml:space="preserve"> </w:t>
      </w:r>
    </w:p>
    <w:p w14:paraId="34CED398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9833D3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V l á d a z podnětu ministra průmyslu a obchodu přijala</w:t>
      </w:r>
    </w:p>
    <w:p w14:paraId="53091C0A" w14:textId="47EC74CB" w:rsidR="006A7BE6" w:rsidRDefault="006A7B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118.</w:t>
        </w:r>
      </w:hyperlink>
    </w:p>
    <w:p w14:paraId="1F85852D" w14:textId="77777777" w:rsidR="006A7BE6" w:rsidRDefault="006A7BE6">
      <w:pPr>
        <w:rPr>
          <w:rFonts w:eastAsia="Times New Roman"/>
        </w:rPr>
      </w:pPr>
    </w:p>
    <w:p w14:paraId="6052C525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2620650" w14:textId="77777777" w:rsidR="006A7BE6" w:rsidRDefault="006A7BE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5991E26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1. Kontrolní závěr NKÚ z kontroly privatizace státních a školních statků (předložil ministr vlády a vedoucí Úřadu vlády I. Němec)</w:t>
      </w:r>
      <w:r>
        <w:t xml:space="preserve"> </w:t>
      </w:r>
    </w:p>
    <w:p w14:paraId="3E269802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125/95</w:t>
      </w:r>
      <w:r>
        <w:t xml:space="preserve"> </w:t>
      </w:r>
    </w:p>
    <w:p w14:paraId="69A25665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2. Informace o průběhu a výsledcích oficiální státní návštěvy prezidenta Polské republiky L. Walesy v České republice ve dnech 17. a 18. ledna 1995 (předložil ministr zahraničních věcí)</w:t>
      </w:r>
      <w:r>
        <w:t xml:space="preserve"> </w:t>
      </w:r>
    </w:p>
    <w:p w14:paraId="13D96072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č.j. 123/95</w:t>
      </w:r>
      <w:r>
        <w:t xml:space="preserve"> </w:t>
      </w:r>
    </w:p>
    <w:p w14:paraId="1555C3A4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63F3655" w14:textId="77777777" w:rsidR="006A7BE6" w:rsidRDefault="006A7BE6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21426DC" w14:textId="77777777" w:rsidR="006A7BE6" w:rsidRDefault="006A7BE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E6"/>
    <w:rsid w:val="006A7BE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7856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07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2-22" TargetMode="External"/><Relationship Id="rId13" Type="http://schemas.openxmlformats.org/officeDocument/2006/relationships/hyperlink" Target="file:///c:\redir.nsf%3fRedirect&amp;To=\66bbfabee8e70f37c125642e0052aae5\4fa738f2ab1e65c4c12564b50028424c%3fOpen&amp;Name=CN=Ghoul\O=ENV\C=CZ&amp;Id=C1256A62004E5036" TargetMode="External"/><Relationship Id="rId18" Type="http://schemas.openxmlformats.org/officeDocument/2006/relationships/hyperlink" Target="file:///c:\redir.nsf%3fRedirect&amp;To=\66bbfabee8e70f37c125642e0052aae5\872802c24f557fc7c12564b500284247%3fOpen&amp;Name=CN=Ghoul\O=ENV\C=CZ&amp;Id=C1256A62004E5036" TargetMode="External"/><Relationship Id="rId26" Type="http://schemas.openxmlformats.org/officeDocument/2006/relationships/hyperlink" Target="file:///c:\redir.nsf%3fRedirect&amp;To=\66bbfabee8e70f37c125642e0052aae5\c62186f13a3071c1c12564b50028442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26e28d29d83ce84c12564b50028424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699b2578c902bdb8c12564b50028424d%3fOpen&amp;Name=CN=Ghoul\O=ENV\C=CZ&amp;Id=C1256A62004E5036" TargetMode="External"/><Relationship Id="rId17" Type="http://schemas.openxmlformats.org/officeDocument/2006/relationships/hyperlink" Target="file:///c:\redir.nsf%3fRedirect&amp;To=\66bbfabee8e70f37c125642e0052aae5\af14288a597acd92c12564b500284248%3fOpen&amp;Name=CN=Ghoul\O=ENV\C=CZ&amp;Id=C1256A62004E5036" TargetMode="External"/><Relationship Id="rId25" Type="http://schemas.openxmlformats.org/officeDocument/2006/relationships/hyperlink" Target="file:///c:\redir.nsf%3fRedirect&amp;To=\66bbfabee8e70f37c125642e0052aae5\d0c6af29fecea11dc12564b50028425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78c00c867a08b33c12564b500284249%3fOpen&amp;Name=CN=Ghoul\O=ENV\C=CZ&amp;Id=C1256A62004E5036" TargetMode="External"/><Relationship Id="rId20" Type="http://schemas.openxmlformats.org/officeDocument/2006/relationships/hyperlink" Target="file:///c:\redir.nsf%3fRedirect&amp;To=\66bbfabee8e70f37c125642e0052aae5\7fd1771537944d5dc12564b500284245%3fOpen&amp;Name=CN=Ghoul\O=ENV\C=CZ&amp;Id=C1256A62004E5036" TargetMode="External"/><Relationship Id="rId29" Type="http://schemas.openxmlformats.org/officeDocument/2006/relationships/hyperlink" Target="file:///c:\redir.nsf%3fRedirect&amp;To=\66bbfabee8e70f37c125642e0052aae5\d6d5e18110d02cbdc12564b50028425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0f0407df8f790c3c12564b500284424%3fOpen&amp;Name=CN=Ghoul\O=ENV\C=CZ&amp;Id=C1256A62004E5036" TargetMode="External"/><Relationship Id="rId24" Type="http://schemas.openxmlformats.org/officeDocument/2006/relationships/hyperlink" Target="file:///c:\redir.nsf%3fRedirect&amp;To=\66bbfabee8e70f37c125642e0052aae5\2b3ea6cf3c95d5c6c12564b500284425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c0444b0798d0220c12564b50028424a%3fOpen&amp;Name=CN=Ghoul\O=ENV\C=CZ&amp;Id=C1256A62004E5036" TargetMode="External"/><Relationship Id="rId23" Type="http://schemas.openxmlformats.org/officeDocument/2006/relationships/hyperlink" Target="file:///c:\redir.nsf%3fRedirect&amp;To=\66bbfabee8e70f37c125642e0052aae5\f5950f0942a293a7c12564b500284242%3fOpen&amp;Name=CN=Ghoul\O=ENV\C=CZ&amp;Id=C1256A62004E5036" TargetMode="External"/><Relationship Id="rId28" Type="http://schemas.openxmlformats.org/officeDocument/2006/relationships/hyperlink" Target="file:///c:\redir.nsf%3fRedirect&amp;To=\66bbfabee8e70f37c125642e0052aae5\9cdb925d5d67c95dc12564b500284427%3fOpen&amp;Name=CN=Ghoul\O=ENV\C=CZ&amp;Id=C1256A62004E5036" TargetMode="External"/><Relationship Id="rId10" Type="http://schemas.openxmlformats.org/officeDocument/2006/relationships/hyperlink" Target="file:///c:\redir.nsf%3fRedirect&amp;To=\66bbfabee8e70f37c125642e0052aae5\47ac04a994bc14e5c12564b50028424e%3fOpen&amp;Name=CN=Ghoul\O=ENV\C=CZ&amp;Id=C1256A62004E5036" TargetMode="External"/><Relationship Id="rId19" Type="http://schemas.openxmlformats.org/officeDocument/2006/relationships/hyperlink" Target="file:///c:\redir.nsf%3fRedirect&amp;To=\66bbfabee8e70f37c125642e0052aae5\a12a9477eb4d1d0dc12564b500284246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ad44d23a3bb9df2c12564b50028424b%3fOpen&amp;Name=CN=Ghoul\O=ENV\C=CZ&amp;Id=C1256A62004E5036" TargetMode="External"/><Relationship Id="rId22" Type="http://schemas.openxmlformats.org/officeDocument/2006/relationships/hyperlink" Target="file:///c:\redir.nsf%3fRedirect&amp;To=\66bbfabee8e70f37c125642e0052aae5\887a2788131bca99c12564b500284243%3fOpen&amp;Name=CN=Ghoul\O=ENV\C=CZ&amp;Id=C1256A62004E5036" TargetMode="External"/><Relationship Id="rId27" Type="http://schemas.openxmlformats.org/officeDocument/2006/relationships/hyperlink" Target="file:///c:\redir.nsf%3fRedirect&amp;To=\66bbfabee8e70f37c125642e0052aae5\0c7e8aa214ce831bc12564b500284251%3fOpen&amp;Name=CN=Ghoul\O=ENV\C=CZ&amp;Id=C1256A62004E5036" TargetMode="External"/><Relationship Id="rId30" Type="http://schemas.openxmlformats.org/officeDocument/2006/relationships/hyperlink" Target="file:///c:\redir.nsf%3fRedirect&amp;To=\66bbfabee8e70f37c125642e0052aae5\2da5b803ac3c10a3c12564b50028424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2257</Words>
  <Characters>12870</Characters>
  <Application>Microsoft Office Word</Application>
  <DocSecurity>0</DocSecurity>
  <Lines>107</Lines>
  <Paragraphs>30</Paragraphs>
  <ScaleCrop>false</ScaleCrop>
  <Company>Profinit EU s.r.o.</Company>
  <LinksUpToDate>false</LinksUpToDate>
  <CharactersWithSpaces>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