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51AC3A" w14:textId="77777777" w:rsidR="00C93678" w:rsidRDefault="00C93678">
      <w:pPr>
        <w:pStyle w:val="z-TopofForm"/>
      </w:pPr>
      <w:r>
        <w:t>Top of Form</w:t>
      </w:r>
    </w:p>
    <w:p w14:paraId="44491E49" w14:textId="6AEFA1F4" w:rsidR="00C93678" w:rsidRDefault="00C93678">
      <w:pPr>
        <w:pStyle w:val="Heading5"/>
        <w:divId w:val="109852083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1995-03-01</w:t>
        </w:r>
      </w:hyperlink>
    </w:p>
    <w:p w14:paraId="441BC1F7" w14:textId="77777777" w:rsidR="00C93678" w:rsidRDefault="00C93678">
      <w:pPr>
        <w:rPr>
          <w:rFonts w:eastAsia="Times New Roman"/>
        </w:rPr>
      </w:pPr>
    </w:p>
    <w:p w14:paraId="77ED0CB3" w14:textId="77777777" w:rsidR="00C93678" w:rsidRDefault="00C93678">
      <w:pPr>
        <w:divId w:val="111308982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C0D256A" w14:textId="77777777" w:rsidR="00C93678" w:rsidRDefault="00C93678">
      <w:pPr>
        <w:divId w:val="746195468"/>
        <w:rPr>
          <w:rFonts w:eastAsia="Times New Roman"/>
        </w:rPr>
      </w:pPr>
      <w:r>
        <w:rPr>
          <w:rFonts w:eastAsia="Times New Roman"/>
        </w:rPr>
        <w:pict w14:anchorId="634ED62A"/>
      </w:r>
      <w:r>
        <w:rPr>
          <w:rFonts w:eastAsia="Times New Roman"/>
        </w:rPr>
        <w:pict w14:anchorId="627AF90D"/>
      </w:r>
      <w:r>
        <w:rPr>
          <w:rFonts w:eastAsia="Times New Roman"/>
          <w:noProof/>
        </w:rPr>
        <w:drawing>
          <wp:inline distT="0" distB="0" distL="0" distR="0" wp14:anchorId="22B141DD" wp14:editId="0538827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2D0B" w14:textId="77777777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DB02545" w14:textId="77777777">
        <w:trPr>
          <w:tblCellSpacing w:w="0" w:type="dxa"/>
        </w:trPr>
        <w:tc>
          <w:tcPr>
            <w:tcW w:w="2500" w:type="pct"/>
            <w:hideMark/>
          </w:tcPr>
          <w:p w14:paraId="4E0A0185" w14:textId="77777777" w:rsidR="00C93678" w:rsidRDefault="00C9367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2017/95</w:t>
            </w:r>
          </w:p>
        </w:tc>
        <w:tc>
          <w:tcPr>
            <w:tcW w:w="2500" w:type="pct"/>
            <w:hideMark/>
          </w:tcPr>
          <w:p w14:paraId="70E93556" w14:textId="77777777" w:rsidR="00C93678" w:rsidRDefault="00C9367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března 1995</w:t>
            </w:r>
          </w:p>
        </w:tc>
      </w:tr>
    </w:tbl>
    <w:p w14:paraId="299299D1" w14:textId="77777777" w:rsidR="00C93678" w:rsidRDefault="00C9367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1. března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7823A0EB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9E147D8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 xml:space="preserve">1. Návrh zákona, kterým se mění a doplňuje zákon č. 50/1976 Sb., </w:t>
      </w:r>
      <w:r>
        <w:rPr>
          <w:rFonts w:ascii="Times New Roman CE" w:hAnsi="Times New Roman CE" w:cs="Times New Roman CE"/>
        </w:rPr>
        <w:t>o územním plánování a stavebním řádu (stavební zákon), ve znění zákona č. 103/1990 Sb., zákona č. 262/1992 Sb. a zákona č. 43/1994 Sb.</w:t>
      </w:r>
      <w:r>
        <w:t xml:space="preserve"> </w:t>
      </w:r>
    </w:p>
    <w:p w14:paraId="228DCF4F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923/94</w:t>
      </w:r>
      <w:r>
        <w:t xml:space="preserve"> </w:t>
      </w:r>
    </w:p>
    <w:p w14:paraId="3556D920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FD468C8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72C4976C" w14:textId="2510BE42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119</w:t>
        </w:r>
      </w:hyperlink>
    </w:p>
    <w:p w14:paraId="7AF1F11C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 bod 114 návrhu (§ 126 odst. 4) podle dohody ministrů hospodářství a životního prostředí, bod 26 návrhu (§ 33a) podle dohody ministra hospodářství a místopředsedy vlády a ministra zemědělství, bod 104 návrhu (§ 121 odst. 2 písm. d/) podle dohody ministrů hospodářství a průmyslu a obchodu a dále, že budou posouzeny vznesené návrhy ministra zdravotnictví a dílčí legislativněechnické připomínky ministra vnitra a nebude vzata v úvahu námitka Legislativní rady vlády v jejím stanovisku k bod</w:t>
      </w:r>
      <w:r>
        <w:rPr>
          <w:rFonts w:ascii="Times New Roman CE" w:eastAsia="Times New Roman" w:hAnsi="Times New Roman CE" w:cs="Times New Roman CE"/>
        </w:rPr>
        <w:t>u 98 návrhu.</w:t>
      </w:r>
      <w:r>
        <w:rPr>
          <w:rFonts w:eastAsia="Times New Roman"/>
        </w:rPr>
        <w:t xml:space="preserve"> </w:t>
      </w:r>
    </w:p>
    <w:p w14:paraId="2EBBA826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2. Návrh zásad zákona o potravinách a tabákových výrobcích a o změně občanského zákoníku</w:t>
      </w:r>
      <w:r>
        <w:t xml:space="preserve"> </w:t>
      </w:r>
    </w:p>
    <w:p w14:paraId="702E7FB6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1031/94</w:t>
      </w:r>
      <w:r>
        <w:t xml:space="preserve"> </w:t>
      </w:r>
    </w:p>
    <w:p w14:paraId="42E65504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584383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podrobně p o s o u d i l a návrh předložený místopředsedou vlády a ministrem zemědělství, jeho projednávání p ř e r u š i l a a u l o ž i l a</w:t>
      </w:r>
      <w:r>
        <w:t xml:space="preserve"> </w:t>
      </w:r>
    </w:p>
    <w:p w14:paraId="6A22AFE2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a) místopředsedovi vlády a ministru zemědělství předložit vládě k dalšímu projednání text návrhu zásad zákona se zapracovanými připomínkami Legislativní rady vlády a námětů a připomínek vzešlých z diskuse vlády,</w:t>
      </w:r>
      <w:r>
        <w:t xml:space="preserve"> </w:t>
      </w:r>
    </w:p>
    <w:p w14:paraId="4FC27340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 xml:space="preserve">b) místopředsedovi vlády a ministru financí předložit na poradu vybraných členů vlády podklady, na základě nichž by </w:t>
      </w:r>
      <w:r>
        <w:rPr>
          <w:rFonts w:ascii="Times New Roman CE" w:hAnsi="Times New Roman CE" w:cs="Times New Roman CE"/>
        </w:rPr>
        <w:t>mohla být posouzena problematika vymáhání pokut příslušnými orgány a to v návaznosti na jejich ukládání a vybírání.</w:t>
      </w:r>
      <w:r>
        <w:t xml:space="preserve"> </w:t>
      </w:r>
    </w:p>
    <w:p w14:paraId="71CC4BA5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průběhu diskuse vlády požádal místopředseda vlády a ministr zemědělství o zaprotokolování své námitky vůči způsobu argumentace předsedy vlády při diskusi vlády a to do záznamu z jednání schůze vlády.</w:t>
      </w:r>
      <w:r>
        <w:t xml:space="preserve"> </w:t>
      </w:r>
    </w:p>
    <w:p w14:paraId="457EDA46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3. Návrh zásad zákona o civilním letectví</w:t>
      </w:r>
      <w:r>
        <w:t xml:space="preserve"> </w:t>
      </w:r>
    </w:p>
    <w:p w14:paraId="2E888779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957/94</w:t>
      </w:r>
      <w:r>
        <w:t xml:space="preserve"> </w:t>
      </w:r>
    </w:p>
    <w:p w14:paraId="46C1F0D8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194157AD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dopravy</w:t>
      </w:r>
      <w:r>
        <w:t xml:space="preserve"> </w:t>
      </w:r>
    </w:p>
    <w:p w14:paraId="7ACD4D14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112F22D" w14:textId="7BDC323C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120</w:t>
        </w:r>
      </w:hyperlink>
    </w:p>
    <w:p w14:paraId="3EE17034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posouzeno konečné znění zásady č. 35 podle námitky I. náměstka ministra financí J. Klaka, s tím, že vybíráním pokut bude pověřen správní úřad, který je uložil, a dále s tím, že budou rovněž posouzeny další možnosti co nejširšího přesunu právních prvků regulujících civilní letectví do podzákonných norem,</w:t>
      </w:r>
      <w:r>
        <w:rPr>
          <w:rFonts w:eastAsia="Times New Roman"/>
        </w:rPr>
        <w:t xml:space="preserve"> </w:t>
      </w:r>
    </w:p>
    <w:p w14:paraId="699A5C25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b) u l o ž i l a ministrům dopravy a obrany realizovat výrazné snížení omezování či zákazů užívání vzdušného prostoru České republiky a výrazně tak zvýšit jeho všeobecnou přístupnost.</w:t>
      </w:r>
      <w:r>
        <w:t xml:space="preserve"> </w:t>
      </w:r>
    </w:p>
    <w:p w14:paraId="61CDEECD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4. Zásady zákona, kterým se mění a doplňuje zákon ČNR č. 587/1992 Sb., o spotřebních daních, ve znění pozdějších předpisů (tisk č. 1503)</w:t>
      </w:r>
      <w:r>
        <w:t xml:space="preserve"> </w:t>
      </w:r>
    </w:p>
    <w:p w14:paraId="344F15E0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113/95</w:t>
      </w:r>
      <w:r>
        <w:t xml:space="preserve"> </w:t>
      </w:r>
    </w:p>
    <w:p w14:paraId="5906FF53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7E01E5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091B99DE" w14:textId="10F7FEBC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121.</w:t>
        </w:r>
      </w:hyperlink>
    </w:p>
    <w:p w14:paraId="02EA8DE1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Poslanecký návrh na vydání zákona o ocenění národního boje za osvobození (tisk č. 1475)</w:t>
      </w:r>
      <w:r>
        <w:rPr>
          <w:rFonts w:eastAsia="Times New Roman"/>
        </w:rPr>
        <w:t xml:space="preserve"> </w:t>
      </w:r>
    </w:p>
    <w:p w14:paraId="7B519500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91/95</w:t>
      </w:r>
      <w:r>
        <w:t xml:space="preserve"> </w:t>
      </w:r>
    </w:p>
    <w:p w14:paraId="03CE1DE9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5E3642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pověřeným řízením Úřadu pro legislativu a veřejnou správu přijala</w:t>
      </w:r>
    </w:p>
    <w:p w14:paraId="5A5447CF" w14:textId="2361A877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122.</w:t>
        </w:r>
      </w:hyperlink>
    </w:p>
    <w:p w14:paraId="6E53B520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postupu při zpracování nové právní úpravy o majetku ve vlastnictví státu</w:t>
      </w:r>
      <w:r>
        <w:rPr>
          <w:rFonts w:eastAsia="Times New Roman"/>
        </w:rPr>
        <w:t xml:space="preserve"> </w:t>
      </w:r>
    </w:p>
    <w:p w14:paraId="1C58802B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151/95</w:t>
      </w:r>
      <w:r>
        <w:t xml:space="preserve"> </w:t>
      </w:r>
    </w:p>
    <w:p w14:paraId="0A39A8B2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097B8B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pověřeným řízením Úřadu pro legislativu a veřejnou správu byl stažen z programu jednání s tím, že jej vláda projedná na jednání své schůze dne 8. března 1995.</w:t>
      </w:r>
      <w:r>
        <w:t xml:space="preserve"> </w:t>
      </w:r>
    </w:p>
    <w:p w14:paraId="43D57D41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7.a) Rekapitulace kontrolních a řídících mechanismů vlády vůči Bezpečnostní informační službě</w:t>
      </w:r>
      <w:r>
        <w:t xml:space="preserve"> </w:t>
      </w:r>
    </w:p>
    <w:p w14:paraId="703306D2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134/95</w:t>
      </w:r>
      <w:r>
        <w:t xml:space="preserve"> </w:t>
      </w:r>
    </w:p>
    <w:p w14:paraId="709988D1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22B4BC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ministrem vnitra n a v ě d o m í .</w:t>
      </w:r>
      <w:r>
        <w:t xml:space="preserve"> </w:t>
      </w:r>
    </w:p>
    <w:p w14:paraId="477C5F0C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7.b) Teze o možnostech posílení kontrolních a řídících mechanismů vlády vůči Bezpečnostní informační službě</w:t>
      </w:r>
      <w:r>
        <w:t xml:space="preserve"> </w:t>
      </w:r>
    </w:p>
    <w:p w14:paraId="09572588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144/95</w:t>
      </w:r>
      <w:r>
        <w:t xml:space="preserve"> </w:t>
      </w:r>
    </w:p>
    <w:p w14:paraId="6F478189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414847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v diskusi podrobně ve všech souvislostech posoudila problematiku obsaženou v materiálu předloženém ministrem pro správu národního majetku a jeho privatizaci a</w:t>
      </w:r>
      <w:r>
        <w:t xml:space="preserve"> </w:t>
      </w:r>
    </w:p>
    <w:p w14:paraId="547E87A9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a) k o n s t a t o v a l a svůj zájem na dalším rozšiřování a prohlubování součinnosti vlády s ředitelem Bezpečnostní informační služby,</w:t>
      </w:r>
      <w:r>
        <w:t xml:space="preserve"> </w:t>
      </w:r>
    </w:p>
    <w:p w14:paraId="15273D42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b) u l o ž i l a předsedovi vlády ve spolupráci s ministry vnitra, obrany, pro správu národního majetku a jeho privatizaci a případně dalšími členy vlády zpracovat a předložit vládě návrh další činnosti Rady pro zpravodajskou činnost podle diskuse vlády (zejména návrh změny statutu Rady a jejího personálního složení).</w:t>
      </w:r>
      <w:r>
        <w:t xml:space="preserve"> </w:t>
      </w:r>
    </w:p>
    <w:p w14:paraId="1D65BECE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8. Návrh na vydání souhlasu s dohodou o spolupráci Úřadu pro zahraniční styky a informace a Bezpečnostní informační služby</w:t>
      </w:r>
      <w:r>
        <w:t xml:space="preserve"> </w:t>
      </w:r>
    </w:p>
    <w:p w14:paraId="6355B6A8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001/95</w:t>
      </w:r>
      <w:r>
        <w:t xml:space="preserve"> </w:t>
      </w:r>
    </w:p>
    <w:p w14:paraId="6A4D325B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91B968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27829749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9. Návrh rozpočtu Fondu národního majetku České republiky pro rok 1995</w:t>
      </w:r>
      <w:r>
        <w:t xml:space="preserve"> </w:t>
      </w:r>
    </w:p>
    <w:p w14:paraId="57F29074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116/95</w:t>
      </w:r>
      <w:r>
        <w:t xml:space="preserve"> </w:t>
      </w:r>
    </w:p>
    <w:p w14:paraId="0F9C902E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53E69E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21C2EDD4" w14:textId="088527DF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123.</w:t>
        </w:r>
      </w:hyperlink>
    </w:p>
    <w:p w14:paraId="4E2A9ADB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Informace o situaci v oblasti migrace na území České republiky za rok 1994</w:t>
      </w:r>
      <w:r>
        <w:rPr>
          <w:rFonts w:eastAsia="Times New Roman"/>
        </w:rPr>
        <w:t xml:space="preserve"> </w:t>
      </w:r>
    </w:p>
    <w:p w14:paraId="5383B047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154/95</w:t>
      </w:r>
      <w:r>
        <w:t xml:space="preserve"> </w:t>
      </w:r>
    </w:p>
    <w:p w14:paraId="7E0E8322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C9AC69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přijala</w:t>
      </w:r>
    </w:p>
    <w:p w14:paraId="0CE7F1C5" w14:textId="73715C77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124.</w:t>
        </w:r>
      </w:hyperlink>
    </w:p>
    <w:p w14:paraId="3932B9D4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odvolání přednosty Okresního úřadu Kroměříž</w:t>
      </w:r>
      <w:r>
        <w:rPr>
          <w:rFonts w:eastAsia="Times New Roman"/>
        </w:rPr>
        <w:t xml:space="preserve"> </w:t>
      </w:r>
    </w:p>
    <w:p w14:paraId="6A0FDABF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143/95</w:t>
      </w:r>
      <w:r>
        <w:t xml:space="preserve"> </w:t>
      </w:r>
    </w:p>
    <w:p w14:paraId="7D47BE54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445DA0C4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56ED499B" w14:textId="41CFBF06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125.</w:t>
        </w:r>
      </w:hyperlink>
    </w:p>
    <w:p w14:paraId="682DA74F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změn ve funkcích vedoucích zastupitelských úřadů České republiky v hodnostech mimořádných a zplnomocněných velvyslanců</w:t>
      </w:r>
      <w:r>
        <w:rPr>
          <w:rFonts w:eastAsia="Times New Roman"/>
        </w:rPr>
        <w:t xml:space="preserve"> </w:t>
      </w:r>
    </w:p>
    <w:p w14:paraId="3A786009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149/95</w:t>
      </w:r>
      <w:r>
        <w:t xml:space="preserve"> </w:t>
      </w:r>
    </w:p>
    <w:p w14:paraId="3709070C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601FAA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32ABA176" w14:textId="5369CB63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126.</w:t>
        </w:r>
      </w:hyperlink>
    </w:p>
    <w:p w14:paraId="7D5E0A80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sjednání smlouvy mezi vládou České republiky a vládou Slovenské republiky o výměně údajů z informačních fondů obsažených v rejstříku trestů</w:t>
      </w:r>
      <w:r>
        <w:rPr>
          <w:rFonts w:eastAsia="Times New Roman"/>
        </w:rPr>
        <w:t xml:space="preserve"> </w:t>
      </w:r>
    </w:p>
    <w:p w14:paraId="1BC5BA27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142/95</w:t>
      </w:r>
      <w:r>
        <w:t xml:space="preserve"> </w:t>
      </w:r>
    </w:p>
    <w:p w14:paraId="0B832225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C18CDB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spravedlnosti a zahraničních věcí a přijala</w:t>
      </w:r>
    </w:p>
    <w:p w14:paraId="5C4575DD" w14:textId="103598EE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127.</w:t>
        </w:r>
      </w:hyperlink>
    </w:p>
    <w:p w14:paraId="6FC783FC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sjednání Dohody mezi vládou České republiky a vládou Slovenské republiky o železniční dopravě přes státní hranice</w:t>
      </w:r>
      <w:r>
        <w:rPr>
          <w:rFonts w:eastAsia="Times New Roman"/>
        </w:rPr>
        <w:t xml:space="preserve"> </w:t>
      </w:r>
    </w:p>
    <w:p w14:paraId="541F5F8B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156/95</w:t>
      </w:r>
      <w:r>
        <w:t xml:space="preserve"> </w:t>
      </w:r>
    </w:p>
    <w:p w14:paraId="52A14138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F4FE680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dopravy a zahraničních věcí přijala</w:t>
      </w:r>
    </w:p>
    <w:p w14:paraId="074A7839" w14:textId="2F0543B6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128</w:t>
        </w:r>
      </w:hyperlink>
    </w:p>
    <w:p w14:paraId="4EF2CD44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upřesněno znění článku 6 a 13 Dohody podle dohody ministrů dopravy a hospodářství.</w:t>
      </w:r>
      <w:r>
        <w:rPr>
          <w:rFonts w:eastAsia="Times New Roman"/>
        </w:rPr>
        <w:t xml:space="preserve"> </w:t>
      </w:r>
    </w:p>
    <w:p w14:paraId="53B98A23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15. Návrh na sjednání Dohody mezi vládou České republiky a vládou Korejské republiky o vědeckotechnické spolupráci</w:t>
      </w:r>
      <w:r>
        <w:t xml:space="preserve"> </w:t>
      </w:r>
    </w:p>
    <w:p w14:paraId="0FF531CA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157/95</w:t>
      </w:r>
      <w:r>
        <w:t xml:space="preserve"> </w:t>
      </w:r>
    </w:p>
    <w:p w14:paraId="4C83DA63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5DF728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školství, mládeže a tělovýchovy a zahraničních věcí a přijala</w:t>
      </w:r>
    </w:p>
    <w:p w14:paraId="24DFA8A7" w14:textId="23821AEB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129.</w:t>
        </w:r>
      </w:hyperlink>
    </w:p>
    <w:p w14:paraId="3355D088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uskutečnění návštěvy prezidenta České republiky V. Havla v Nizozemském království dne 13. března 1995 za účelem převzetí "Medaile Gézů"</w:t>
      </w:r>
      <w:r>
        <w:rPr>
          <w:rFonts w:eastAsia="Times New Roman"/>
        </w:rPr>
        <w:t xml:space="preserve"> </w:t>
      </w:r>
    </w:p>
    <w:p w14:paraId="7E2DBE47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139/95</w:t>
      </w:r>
      <w:r>
        <w:t xml:space="preserve"> </w:t>
      </w:r>
    </w:p>
    <w:p w14:paraId="3BE9B7EF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421555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5239189F" w14:textId="7CD9C9E1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130.</w:t>
        </w:r>
      </w:hyperlink>
    </w:p>
    <w:p w14:paraId="7372752F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17. Návrh na uskutečnění oficiální návštěvy ministra zahraničních věcí České republiky Josefa Zieleniece v Kazachstánu, Kyrgyzstánu, Turkmenistánu a Uzbekistánu ve dnech </w:t>
      </w:r>
    </w:p>
    <w:p w14:paraId="09067BB9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5. - 12. března 1995</w:t>
      </w:r>
      <w:r>
        <w:t xml:space="preserve"> </w:t>
      </w:r>
    </w:p>
    <w:p w14:paraId="58C50E32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152/95</w:t>
      </w:r>
      <w:r>
        <w:t xml:space="preserve"> </w:t>
      </w:r>
    </w:p>
    <w:p w14:paraId="1ABE7187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71607F6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33C1985" w14:textId="512A62B2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131.</w:t>
        </w:r>
      </w:hyperlink>
    </w:p>
    <w:p w14:paraId="73ABE326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Privatizace akcií a.s. Olma Olomouc</w:t>
      </w:r>
      <w:r>
        <w:rPr>
          <w:rFonts w:eastAsia="Times New Roman"/>
        </w:rPr>
        <w:t xml:space="preserve"> </w:t>
      </w:r>
    </w:p>
    <w:p w14:paraId="24360EDC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153/95</w:t>
      </w:r>
      <w:r>
        <w:t xml:space="preserve"> </w:t>
      </w:r>
    </w:p>
    <w:p w14:paraId="48E4D0AF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0D269D59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1D6F15A8" w14:textId="5181598E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132.</w:t>
        </w:r>
      </w:hyperlink>
    </w:p>
    <w:p w14:paraId="499E9BF5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Privatizace 51 % akcií akciové společnosti Královopolská, se sídlem v Brně (materiál č. 81)</w:t>
      </w:r>
      <w:r>
        <w:rPr>
          <w:rFonts w:eastAsia="Times New Roman"/>
        </w:rPr>
        <w:t xml:space="preserve"> </w:t>
      </w:r>
    </w:p>
    <w:p w14:paraId="64D1DC3F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155/95</w:t>
      </w:r>
      <w:r>
        <w:t xml:space="preserve"> </w:t>
      </w:r>
    </w:p>
    <w:p w14:paraId="61FB3959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D3EAB6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5E05116" w14:textId="5BEEF8F8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133.</w:t>
        </w:r>
      </w:hyperlink>
    </w:p>
    <w:p w14:paraId="49939454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Rozhodnutí o privatizaci podle § 10 odst. 1 zákona č. 92/1991 Sb., o podmínkách převodu majetku státu na jiné osoby, ve znění pozdějších předpisů (materiál č. 79)</w:t>
      </w:r>
      <w:r>
        <w:rPr>
          <w:rFonts w:eastAsia="Times New Roman"/>
        </w:rPr>
        <w:t xml:space="preserve"> </w:t>
      </w:r>
    </w:p>
    <w:p w14:paraId="3DAE4477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150/95</w:t>
      </w:r>
      <w:r>
        <w:t xml:space="preserve"> </w:t>
      </w:r>
    </w:p>
    <w:p w14:paraId="61855CEC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4AC5D1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5393B4F9" w14:textId="6E370ECE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134.</w:t>
        </w:r>
      </w:hyperlink>
    </w:p>
    <w:p w14:paraId="64928A53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Žádost o povolení výjimky vlády České republiky k prodeji přebytečného majetku škol a školských zařízení podle § 45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64D17222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136/95</w:t>
      </w:r>
      <w:r>
        <w:t xml:space="preserve"> </w:t>
      </w:r>
    </w:p>
    <w:p w14:paraId="52147657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0CC856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školství, mládeže a tělovýchovy a přijala</w:t>
      </w:r>
    </w:p>
    <w:p w14:paraId="636E7830" w14:textId="17031FB4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135.</w:t>
        </w:r>
      </w:hyperlink>
    </w:p>
    <w:p w14:paraId="2005A77A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Informace o vydání předpisů k regulaci nájemného z bytu</w:t>
      </w:r>
      <w:r>
        <w:rPr>
          <w:rFonts w:eastAsia="Times New Roman"/>
        </w:rPr>
        <w:t xml:space="preserve"> </w:t>
      </w:r>
    </w:p>
    <w:p w14:paraId="13F6A53A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137/95</w:t>
      </w:r>
      <w:r>
        <w:t xml:space="preserve"> </w:t>
      </w:r>
    </w:p>
    <w:p w14:paraId="782D547E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7E0F6F57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místopředsedou vlády a ministrem financí n a v ě d o m í .</w:t>
      </w:r>
      <w:r>
        <w:t xml:space="preserve"> </w:t>
      </w:r>
    </w:p>
    <w:p w14:paraId="312F4954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23. Návrh na uskutečnění pracovní návštěvy prezidenta Slovenské republiky M. Kováče v České republice dne 8. března 1995</w:t>
      </w:r>
      <w:r>
        <w:t xml:space="preserve"> </w:t>
      </w:r>
    </w:p>
    <w:p w14:paraId="7E1CE491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160/95</w:t>
      </w:r>
      <w:r>
        <w:t xml:space="preserve"> </w:t>
      </w:r>
    </w:p>
    <w:p w14:paraId="357992B3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FDB8F8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zahraničních věcí přijala</w:t>
      </w:r>
    </w:p>
    <w:p w14:paraId="07ADB0B4" w14:textId="3BDF3B74" w:rsidR="00C93678" w:rsidRDefault="00C9367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136.</w:t>
        </w:r>
      </w:hyperlink>
    </w:p>
    <w:p w14:paraId="2D609C1E" w14:textId="77777777" w:rsidR="00C93678" w:rsidRDefault="00C9367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Žádost ministra zahraničních věcí v souvislosti s postupem při přijímání návštěv ústavních činitelů jiných států</w:t>
      </w:r>
      <w:r>
        <w:rPr>
          <w:rFonts w:eastAsia="Times New Roman"/>
        </w:rPr>
        <w:t xml:space="preserve"> </w:t>
      </w:r>
    </w:p>
    <w:p w14:paraId="6E52039C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617A45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v z a l a n a v ě d o m í žádost ministra zahraničních věcí o nutnosti lepší koordinace postupu při přijímání návštěv ústavních činitelů jiných států ústavními činiteli České republiky.</w:t>
      </w:r>
      <w:r>
        <w:t xml:space="preserve"> </w:t>
      </w:r>
    </w:p>
    <w:p w14:paraId="459C99FC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25. Upřesnění postupu při přípravě návrhu novely zákona č. 113/1993 Sb., o Fondu dětí a mládeže</w:t>
      </w:r>
      <w:r>
        <w:t xml:space="preserve"> </w:t>
      </w:r>
    </w:p>
    <w:p w14:paraId="23CC281F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2C035A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z podnětu ministra školství, mládeže a tělovýchovy s o u h l a s i l a s upřesněním postupu při přípravě nového návrhu novely zákona č. 113/1993 Sb., o Fondu dětí a mládeže.</w:t>
      </w:r>
      <w:r>
        <w:t xml:space="preserve"> </w:t>
      </w:r>
    </w:p>
    <w:p w14:paraId="35898896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26. Informace o hrubém domácím produktu za rok 1994</w:t>
      </w:r>
      <w:r>
        <w:t xml:space="preserve"> </w:t>
      </w:r>
    </w:p>
    <w:p w14:paraId="7849A3C0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3C1C04F8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v z a l a informaci místopředsedy Českého statistického úřadu I. Šujana o hrubém domácím produktu za rok 1994 n a v ě d o m í .</w:t>
      </w:r>
      <w:r>
        <w:t xml:space="preserve"> </w:t>
      </w:r>
    </w:p>
    <w:p w14:paraId="19F780A1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27. Příprava podkladů pro uvažované setkání předsedy vlády s předsedou vlády Slovenské republiky</w:t>
      </w:r>
      <w:r>
        <w:t xml:space="preserve"> </w:t>
      </w:r>
    </w:p>
    <w:p w14:paraId="470E4E7F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E625D9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V l á d a z podnětu předsedy vlády</w:t>
      </w:r>
      <w:r>
        <w:t xml:space="preserve"> </w:t>
      </w:r>
    </w:p>
    <w:p w14:paraId="3A46A2CA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 xml:space="preserve">a) u l o ž i l a </w:t>
      </w:r>
      <w:r>
        <w:rPr>
          <w:rFonts w:ascii="Times New Roman CE" w:hAnsi="Times New Roman CE" w:cs="Times New Roman CE"/>
        </w:rPr>
        <w:t>členům vlády předat do 8. března 1995 předsedovi vlády informativní podklady o jednáních s představiteli resortů vlády Slovenské republiky a jejich výsledcích,</w:t>
      </w:r>
      <w:r>
        <w:t xml:space="preserve"> </w:t>
      </w:r>
    </w:p>
    <w:p w14:paraId="42DFF89F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b) p o ž á d a l a guvernéra České národní banky o předání informativního podkladu o jednáních s guvernérem Národní banky Slovenska a jejich výsledcích a to do 8. března 1995 předsedovi vlády.</w:t>
      </w:r>
      <w:r>
        <w:t xml:space="preserve"> </w:t>
      </w:r>
    </w:p>
    <w:p w14:paraId="2551D26A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4F020080" w14:textId="77777777" w:rsidR="00C93678" w:rsidRDefault="00C93678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ADA2018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1. Zpráva ze služební cesty ministra průmyslu a obchodu Ing. V. Dlouhého, CSc., do Syrské arabské republiky a Hašimitského království Jordánska ve dnech 16. 12. - 18. 12. 1994 (předložil ministr průmyslu a obchodu)</w:t>
      </w:r>
      <w:r>
        <w:t xml:space="preserve"> </w:t>
      </w:r>
    </w:p>
    <w:p w14:paraId="3D0DFA48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138/95</w:t>
      </w:r>
      <w:r>
        <w:t xml:space="preserve"> </w:t>
      </w:r>
    </w:p>
    <w:p w14:paraId="5C477385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2. Výsledky návštěvy místopředsedy vlády a ministra zemědělství Ing. Josefa Luxe v Polsku dne 22. - 24. 1. 1995 (předložil místopředseda vlády a ministr zemědělství)</w:t>
      </w:r>
      <w:r>
        <w:t xml:space="preserve"> </w:t>
      </w:r>
    </w:p>
    <w:p w14:paraId="3C27AD94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č.j. 145/95</w:t>
      </w:r>
      <w:r>
        <w:t xml:space="preserve"> </w:t>
      </w:r>
    </w:p>
    <w:p w14:paraId="593ACEB2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0186AE4" w14:textId="77777777" w:rsidR="00C93678" w:rsidRDefault="00C93678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03C979B5" w14:textId="77777777" w:rsidR="00C93678" w:rsidRDefault="00C9367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78"/>
    <w:rsid w:val="00B3122F"/>
    <w:rsid w:val="00C9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472F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19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3-01" TargetMode="External"/><Relationship Id="rId13" Type="http://schemas.openxmlformats.org/officeDocument/2006/relationships/hyperlink" Target="file:///c:\redir.nsf%3fRedirect&amp;To=\66bbfabee8e70f37c125642e0052aae5\ab11768dfdd32aa3c12564b50028425b%3fOpen&amp;Name=CN=Ghoul\O=ENV\C=CZ&amp;Id=C1256A62004E5036" TargetMode="External"/><Relationship Id="rId18" Type="http://schemas.openxmlformats.org/officeDocument/2006/relationships/hyperlink" Target="file:///c:\redir.nsf%3fRedirect&amp;To=\66bbfabee8e70f37c125642e0052aae5\6fcded7724f84988c12564b500284257%3fOpen&amp;Name=CN=Ghoul\O=ENV\C=CZ&amp;Id=C1256A62004E5036" TargetMode="External"/><Relationship Id="rId26" Type="http://schemas.openxmlformats.org/officeDocument/2006/relationships/hyperlink" Target="file:///c:\redir.nsf%3fRedirect&amp;To=\66bbfabee8e70f37c125642e0052aae5\45a4ab71179953aec12564b50028443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c65bd6c1f9cb9b0c12564b50028425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0a713062ee0d77e0c12564b50028425c%3fOpen&amp;Name=CN=Ghoul\O=ENV\C=CZ&amp;Id=C1256A62004E5036" TargetMode="External"/><Relationship Id="rId17" Type="http://schemas.openxmlformats.org/officeDocument/2006/relationships/hyperlink" Target="file:///c:\redir.nsf%3fRedirect&amp;To=\66bbfabee8e70f37c125642e0052aae5\13bd09d940c2c066c12564b500284435%3fOpen&amp;Name=CN=Ghoul\O=ENV\C=CZ&amp;Id=C1256A62004E5036" TargetMode="External"/><Relationship Id="rId25" Type="http://schemas.openxmlformats.org/officeDocument/2006/relationships/hyperlink" Target="file:///c:\redir.nsf%3fRedirect&amp;To=\66bbfabee8e70f37c125642e0052aae5\13f86d219afbfb8bc12564b50028443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cf84fc9db560b7fc12564b500284258%3fOpen&amp;Name=CN=Ghoul\O=ENV\C=CZ&amp;Id=C1256A62004E5036" TargetMode="External"/><Relationship Id="rId20" Type="http://schemas.openxmlformats.org/officeDocument/2006/relationships/hyperlink" Target="file:///c:\redir.nsf%3fRedirect&amp;To=\66bbfabee8e70f37c125642e0052aae5\54b7a64314dd553dc12564b500284255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0c7a49b44d70378c12564b50028425d%3fOpen&amp;Name=CN=Ghoul\O=ENV\C=CZ&amp;Id=C1256A62004E5036" TargetMode="External"/><Relationship Id="rId24" Type="http://schemas.openxmlformats.org/officeDocument/2006/relationships/hyperlink" Target="file:///c:\redir.nsf%3fRedirect&amp;To=\66bbfabee8e70f37c125642e0052aae5\b30098a1c467a82dc12564b50028443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d6676421509775dc12564b500284259%3fOpen&amp;Name=CN=Ghoul\O=ENV\C=CZ&amp;Id=C1256A62004E5036" TargetMode="External"/><Relationship Id="rId23" Type="http://schemas.openxmlformats.org/officeDocument/2006/relationships/hyperlink" Target="file:///c:\redir.nsf%3fRedirect&amp;To=\66bbfabee8e70f37c125642e0052aae5\a020ae9325d90ae1c12564b500284434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9a1505cf98ada792c12564b50028425e%3fOpen&amp;Name=CN=Ghoul\O=ENV\C=CZ&amp;Id=C1256A62004E5036" TargetMode="External"/><Relationship Id="rId19" Type="http://schemas.openxmlformats.org/officeDocument/2006/relationships/hyperlink" Target="file:///c:\redir.nsf%3fRedirect&amp;To=\66bbfabee8e70f37c125642e0052aae5\88cbfee01d27afa2c12564b50028425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3cc748c508d1d30c12564b50028425a%3fOpen&amp;Name=CN=Ghoul\O=ENV\C=CZ&amp;Id=C1256A62004E5036" TargetMode="External"/><Relationship Id="rId22" Type="http://schemas.openxmlformats.org/officeDocument/2006/relationships/hyperlink" Target="file:///c:\redir.nsf%3fRedirect&amp;To=\66bbfabee8e70f37c125642e0052aae5\ec2fbcf4799640fcc12564b500284253%3fOpen&amp;Name=CN=Ghoul\O=ENV\C=CZ&amp;Id=C1256A62004E5036" TargetMode="External"/><Relationship Id="rId27" Type="http://schemas.openxmlformats.org/officeDocument/2006/relationships/hyperlink" Target="file:///c:\redir.nsf%3fRedirect&amp;To=\66bbfabee8e70f37c125642e0052aae5\fe35c6359bcbc932c12564b50028425f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2304</Words>
  <Characters>13135</Characters>
  <Application>Microsoft Office Word</Application>
  <DocSecurity>0</DocSecurity>
  <Lines>109</Lines>
  <Paragraphs>30</Paragraphs>
  <ScaleCrop>false</ScaleCrop>
  <Company>Profinit EU s.r.o.</Company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