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B19922" w14:textId="77777777" w:rsidR="00516B34" w:rsidRDefault="00516B34">
      <w:pPr>
        <w:pStyle w:val="z-TopofForm"/>
      </w:pPr>
      <w:r>
        <w:t>Top of Form</w:t>
      </w:r>
    </w:p>
    <w:p w14:paraId="664C60AD" w14:textId="1FB56AED" w:rsidR="00516B34" w:rsidRDefault="00516B34">
      <w:pPr>
        <w:pStyle w:val="Heading5"/>
        <w:divId w:val="20185360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1995-03-29</w:t>
        </w:r>
      </w:hyperlink>
    </w:p>
    <w:p w14:paraId="1B25B6F3" w14:textId="77777777" w:rsidR="00516B34" w:rsidRDefault="00516B34">
      <w:pPr>
        <w:rPr>
          <w:rFonts w:eastAsia="Times New Roman"/>
        </w:rPr>
      </w:pPr>
    </w:p>
    <w:p w14:paraId="10E8438C" w14:textId="77777777" w:rsidR="00516B34" w:rsidRDefault="00516B34">
      <w:pPr>
        <w:divId w:val="3019297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9741F56" w14:textId="77777777" w:rsidR="00516B34" w:rsidRDefault="00516B34">
      <w:pPr>
        <w:divId w:val="1555314051"/>
        <w:rPr>
          <w:rFonts w:eastAsia="Times New Roman"/>
        </w:rPr>
      </w:pPr>
      <w:r>
        <w:rPr>
          <w:rFonts w:eastAsia="Times New Roman"/>
        </w:rPr>
        <w:pict w14:anchorId="076AC23B"/>
      </w:r>
      <w:r>
        <w:rPr>
          <w:rFonts w:eastAsia="Times New Roman"/>
        </w:rPr>
        <w:pict w14:anchorId="25A9FC4B"/>
      </w:r>
      <w:r>
        <w:rPr>
          <w:rFonts w:eastAsia="Times New Roman"/>
          <w:noProof/>
        </w:rPr>
        <w:drawing>
          <wp:inline distT="0" distB="0" distL="0" distR="0" wp14:anchorId="05409F31" wp14:editId="1B27DB6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F90A" w14:textId="77777777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7F630F4" w14:textId="77777777">
        <w:trPr>
          <w:tblCellSpacing w:w="0" w:type="dxa"/>
        </w:trPr>
        <w:tc>
          <w:tcPr>
            <w:tcW w:w="2500" w:type="pct"/>
            <w:hideMark/>
          </w:tcPr>
          <w:p w14:paraId="3C78C375" w14:textId="77777777" w:rsidR="00516B34" w:rsidRDefault="00516B3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2025/95</w:t>
            </w:r>
          </w:p>
        </w:tc>
        <w:tc>
          <w:tcPr>
            <w:tcW w:w="2500" w:type="pct"/>
            <w:hideMark/>
          </w:tcPr>
          <w:p w14:paraId="7FEF3CA3" w14:textId="77777777" w:rsidR="00516B34" w:rsidRDefault="00516B3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března 1995</w:t>
            </w:r>
          </w:p>
        </w:tc>
      </w:tr>
    </w:tbl>
    <w:p w14:paraId="5AC0BE4E" w14:textId="77777777" w:rsidR="00516B34" w:rsidRDefault="00516B3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března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2F51A2FC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9E65F8E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 xml:space="preserve">1. Zásady zákona o zpřístupnění svazků vzniklých činností Státní </w:t>
      </w:r>
      <w:r>
        <w:rPr>
          <w:rFonts w:ascii="Times New Roman CE" w:hAnsi="Times New Roman CE" w:cs="Times New Roman CE"/>
        </w:rPr>
        <w:t>bezpečnosti státním občanům České republiky</w:t>
      </w:r>
      <w:r>
        <w:t xml:space="preserve"> </w:t>
      </w:r>
    </w:p>
    <w:p w14:paraId="45ECCBC3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74/95</w:t>
      </w:r>
      <w:r>
        <w:t xml:space="preserve"> </w:t>
      </w:r>
    </w:p>
    <w:p w14:paraId="2851D76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C0480D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7999142E" w14:textId="48E6C7BE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185</w:t>
        </w:r>
      </w:hyperlink>
    </w:p>
    <w:p w14:paraId="00A8136A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bude doplněn o zásadu, která bude obsahovat právo občana požádat ministerstvo vnitra po zpřístupnění svazku o sdělení pravých jmen osob, které jsou v tomto svazku uvedeny pod nepravým (krycím) jménem, pokud byl k těmto osobám Státní bezpečností evidován svazek v kategorii rezident, agent, informátor, držitel propůjčeného bytu a držitel konspiračního bytu, a pokud je tato identifikace možná, dále bude rozšířen okruh oprávněných osob o občany, kteří v době založení svazku byly československými</w:t>
      </w:r>
      <w:r>
        <w:rPr>
          <w:rFonts w:ascii="Times New Roman CE" w:eastAsia="Times New Roman" w:hAnsi="Times New Roman CE" w:cs="Times New Roman CE"/>
        </w:rPr>
        <w:t xml:space="preserve"> státními občany, státními občany České republiky nebo státními občany Slovenské republiky a nyní již státními občany České republiky nejsou, budou doplněny zásady č. 12 a 13 o ustanovení, že pokuty bude vybírat orgán, který je uložil, a dále bude doplněno, že znečitelňovány budou příslušné záznamy pouze ve svazcích, o jejichž zpřístupnění bylo požádáno.</w:t>
      </w:r>
      <w:r>
        <w:rPr>
          <w:rFonts w:eastAsia="Times New Roman"/>
        </w:rPr>
        <w:t xml:space="preserve"> </w:t>
      </w:r>
    </w:p>
    <w:p w14:paraId="4AFD6FCC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lastRenderedPageBreak/>
        <w:t>2. Návrh zákona, kterým se mění a doplňuje zákon č. 238/1991 Sb., o odpadech, a zákon České národní rady č. 311/1991 Sb., o státní správě v odpadovém hospodářství, ve znění zákona České národní rady č. 466/1992 Sb.</w:t>
      </w:r>
      <w:r>
        <w:t xml:space="preserve"> </w:t>
      </w:r>
    </w:p>
    <w:p w14:paraId="77B6B7FA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203/95</w:t>
      </w:r>
      <w:r>
        <w:t xml:space="preserve"> </w:t>
      </w:r>
    </w:p>
    <w:p w14:paraId="37BCF97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BA3532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projednávání návrhu předloženého ministrem životního prostředí p ř e r u š i l a s tím, že bude dokončeno na jednání schůze vlády dne 5. dubna 1995.</w:t>
      </w:r>
      <w:r>
        <w:t xml:space="preserve"> </w:t>
      </w:r>
    </w:p>
    <w:p w14:paraId="6D97B48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3. Návrh novely zákona č. 138/1973 Sb., o vodách</w:t>
      </w:r>
      <w:r>
        <w:t xml:space="preserve"> </w:t>
      </w:r>
    </w:p>
    <w:p w14:paraId="6FF47D92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23/95</w:t>
      </w:r>
      <w:r>
        <w:t xml:space="preserve"> </w:t>
      </w:r>
    </w:p>
    <w:p w14:paraId="1182399C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4BE8DAFB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 xml:space="preserve">Materiál předložený ministrem životního prostředí byl </w:t>
      </w:r>
      <w:r>
        <w:rPr>
          <w:rFonts w:ascii="Times New Roman CE" w:hAnsi="Times New Roman CE" w:cs="Times New Roman CE"/>
        </w:rPr>
        <w:t>stažen z programu jednání s tím, že ministr životního prostředí, místopředseda vlády a ministr zemědělství a místopředseda vlády pověřený řízením Úřadu pro legislativu a veřejnou správu předloží návrh řešení vlastnických otázek k vodám ve smyslu usnesení vlády z 30. listopadu 1994 č. 672, k tezím vymezujícím právní povahu některých přírodních zdrojů.</w:t>
      </w:r>
      <w:r>
        <w:t xml:space="preserve"> </w:t>
      </w:r>
    </w:p>
    <w:p w14:paraId="3F25A9B3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č. 2/1969 Sb., o zřízení ministerstev a jiných ústředních orgánů státní správy České republiky, ve znění pozdějších předpisů</w:t>
      </w:r>
      <w:r>
        <w:t xml:space="preserve"> </w:t>
      </w:r>
    </w:p>
    <w:p w14:paraId="22EBFBB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183/95</w:t>
      </w:r>
      <w:r>
        <w:t xml:space="preserve"> </w:t>
      </w:r>
    </w:p>
    <w:p w14:paraId="5223699A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970A8B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Návrh předložený ministrem hospodářství byl stažen z programu jednání s tím, že bude projednán na jednání schůze vlády dne 5. dubna 1995.</w:t>
      </w:r>
      <w:r>
        <w:t xml:space="preserve"> </w:t>
      </w:r>
    </w:p>
    <w:p w14:paraId="447C48EB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5. Návrh zákona o vyhlášení Národního parku Labské pískovce</w:t>
      </w:r>
      <w:r>
        <w:t xml:space="preserve"> </w:t>
      </w:r>
    </w:p>
    <w:p w14:paraId="6F0631B7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1/95</w:t>
      </w:r>
      <w:r>
        <w:t xml:space="preserve"> </w:t>
      </w:r>
    </w:p>
    <w:p w14:paraId="5BAE2B38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43BCF95B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Projednání návrhu předloženého ministrem životního prostředí bylo odloženo o jeden měsíc.</w:t>
      </w:r>
      <w:r>
        <w:t xml:space="preserve"> </w:t>
      </w:r>
    </w:p>
    <w:p w14:paraId="43B6F51F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6. Návrh poslance V. Exnera a dalších na vydání zákona o automatickém zvyšování dávek sociálního zabezpečení a nemocenského pojištění, o změně a doplnění zákona č. 182/1993 Sb., o Ústavním soudu, a o doplnění zákona č. 99/1963 Sb., občanský soudní řád, ve znění pozdějších předpisů (tisk č. 1583)</w:t>
      </w:r>
      <w:r>
        <w:t xml:space="preserve"> </w:t>
      </w:r>
    </w:p>
    <w:p w14:paraId="5CE670AA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lastRenderedPageBreak/>
        <w:t>č.j. 196/95</w:t>
      </w:r>
      <w:r>
        <w:t xml:space="preserve"> </w:t>
      </w:r>
    </w:p>
    <w:p w14:paraId="0F7D11C3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1F1DD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0C78256" w14:textId="3DB8CCA8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186.</w:t>
        </w:r>
      </w:hyperlink>
    </w:p>
    <w:p w14:paraId="60E00BE9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zásad zákona, kterým se mění a doplňuje zákon č. 140/1961 Sb., trestní zákon, ve znění pozdějších předpisů (tisk č. 1572)</w:t>
      </w:r>
      <w:r>
        <w:rPr>
          <w:rFonts w:eastAsia="Times New Roman"/>
        </w:rPr>
        <w:t xml:space="preserve"> </w:t>
      </w:r>
    </w:p>
    <w:p w14:paraId="0E35CE5A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195/95</w:t>
      </w:r>
      <w:r>
        <w:t xml:space="preserve"> </w:t>
      </w:r>
    </w:p>
    <w:p w14:paraId="413A0AF7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C38F6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B605A6C" w14:textId="03927F70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187.</w:t>
        </w:r>
      </w:hyperlink>
    </w:p>
    <w:p w14:paraId="6A79C76F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poslanců P. Hirše a dalších na vydání zákona, kterým se mění zákon č. 111/1994 Sb., o silniční dopravě (tisk č. 1565)</w:t>
      </w:r>
      <w:r>
        <w:rPr>
          <w:rFonts w:eastAsia="Times New Roman"/>
        </w:rPr>
        <w:t xml:space="preserve"> </w:t>
      </w:r>
    </w:p>
    <w:p w14:paraId="5CE4E43C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188/95</w:t>
      </w:r>
      <w:r>
        <w:t xml:space="preserve"> </w:t>
      </w:r>
    </w:p>
    <w:p w14:paraId="5414B5C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8D6C6E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01857E19" w14:textId="730C2DC3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188.</w:t>
        </w:r>
      </w:hyperlink>
    </w:p>
    <w:p w14:paraId="79433927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zrušení vládního usnesení č. 449 ze dne 18. srpna 1993, o vyhlášení likvidace Společnosti pro všeobecnou československou výstavu 1991 a vypořádání jejích závazků formou privatizace Výstaviště Praha, a návrh stanovení nového postupu</w:t>
      </w:r>
      <w:r>
        <w:rPr>
          <w:rFonts w:eastAsia="Times New Roman"/>
        </w:rPr>
        <w:t xml:space="preserve"> </w:t>
      </w:r>
    </w:p>
    <w:p w14:paraId="22F49697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229/95</w:t>
      </w:r>
      <w:r>
        <w:t xml:space="preserve"> </w:t>
      </w:r>
    </w:p>
    <w:p w14:paraId="1C41E2D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A73C1A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ministrem pro </w:t>
      </w:r>
      <w:r>
        <w:rPr>
          <w:rFonts w:ascii="Times New Roman CE" w:hAnsi="Times New Roman CE" w:cs="Times New Roman CE"/>
        </w:rPr>
        <w:t>správu národního majetku a jeho privatizaci a přijala</w:t>
      </w:r>
    </w:p>
    <w:p w14:paraId="78B9728E" w14:textId="2311E62E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189.</w:t>
        </w:r>
      </w:hyperlink>
    </w:p>
    <w:p w14:paraId="7D6CABDE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usnesení vlády k prodeji nemovitostí svěřených do správy Fondu dětí a mládeže zákonem č. 113/1993 Sb.</w:t>
      </w:r>
      <w:r>
        <w:rPr>
          <w:rFonts w:eastAsia="Times New Roman"/>
        </w:rPr>
        <w:t xml:space="preserve"> </w:t>
      </w:r>
    </w:p>
    <w:p w14:paraId="4D0A4E45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237/95</w:t>
      </w:r>
      <w:r>
        <w:t xml:space="preserve"> </w:t>
      </w:r>
    </w:p>
    <w:p w14:paraId="1F69993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126A466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327DAE5A" w14:textId="433E8D3E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190.</w:t>
        </w:r>
      </w:hyperlink>
    </w:p>
    <w:p w14:paraId="1A968F9C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kompetence pro výkon státní správy v oblasti provozování jeslí a dětských domovů</w:t>
      </w:r>
      <w:r>
        <w:rPr>
          <w:rFonts w:eastAsia="Times New Roman"/>
        </w:rPr>
        <w:t xml:space="preserve"> </w:t>
      </w:r>
    </w:p>
    <w:p w14:paraId="1D101024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199/95</w:t>
      </w:r>
      <w:r>
        <w:t xml:space="preserve"> </w:t>
      </w:r>
    </w:p>
    <w:p w14:paraId="0C47FEF6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0CDA97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Návrh předložený ministrem zdravotnictví byl stažen z programu jednání.</w:t>
      </w:r>
      <w:r>
        <w:t xml:space="preserve"> </w:t>
      </w:r>
    </w:p>
    <w:p w14:paraId="252AA7AD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12. Návrh na sjednání Dohody mezi vládou České republiky a vládou Chilské republiky o vzájemné podpoře a ochraně investic</w:t>
      </w:r>
      <w:r>
        <w:t xml:space="preserve"> </w:t>
      </w:r>
    </w:p>
    <w:p w14:paraId="706F630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233/95</w:t>
      </w:r>
      <w:r>
        <w:t xml:space="preserve"> </w:t>
      </w:r>
    </w:p>
    <w:p w14:paraId="7C35D7F4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AAADA4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06D44C1E" w14:textId="75242DCB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191.</w:t>
        </w:r>
      </w:hyperlink>
    </w:p>
    <w:p w14:paraId="1978BEB8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stanoviska k úmluvě a doporučení přijatým na 81. zasedání Mezinárodní konference práce</w:t>
      </w:r>
      <w:r>
        <w:rPr>
          <w:rFonts w:eastAsia="Times New Roman"/>
        </w:rPr>
        <w:t xml:space="preserve"> </w:t>
      </w:r>
    </w:p>
    <w:p w14:paraId="48394593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221/95</w:t>
      </w:r>
      <w:r>
        <w:t xml:space="preserve"> </w:t>
      </w:r>
    </w:p>
    <w:p w14:paraId="582F0319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96C919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zahraničních věcí a přijala</w:t>
      </w:r>
    </w:p>
    <w:p w14:paraId="19AD96F5" w14:textId="1F5278E1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192.</w:t>
        </w:r>
      </w:hyperlink>
    </w:p>
    <w:p w14:paraId="3384E46F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podpis prohlášení, kterým se uznává příslušnost Mezinárodní vyšetřovací komise, ustavené článkem 90 Protokolu I k Ženevským úmluvám z roku 1949, šetřit tvrzení jiných vysokých smluvních stran</w:t>
      </w:r>
      <w:r>
        <w:rPr>
          <w:rFonts w:eastAsia="Times New Roman"/>
        </w:rPr>
        <w:t xml:space="preserve"> </w:t>
      </w:r>
    </w:p>
    <w:p w14:paraId="0C3C4F58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218/95</w:t>
      </w:r>
      <w:r>
        <w:t xml:space="preserve"> </w:t>
      </w:r>
    </w:p>
    <w:p w14:paraId="00BC8E5B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ADF30D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8522A32" w14:textId="723F59E2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193.</w:t>
        </w:r>
      </w:hyperlink>
    </w:p>
    <w:p w14:paraId="23297165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návštěvy předsedy vlády České republiky V. Klause v Nizozemském království dne 6. dubna 1995</w:t>
      </w:r>
      <w:r>
        <w:rPr>
          <w:rFonts w:eastAsia="Times New Roman"/>
        </w:rPr>
        <w:t xml:space="preserve"> </w:t>
      </w:r>
    </w:p>
    <w:p w14:paraId="07EFF022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227/95</w:t>
      </w:r>
      <w:r>
        <w:t xml:space="preserve"> </w:t>
      </w:r>
    </w:p>
    <w:p w14:paraId="1ADC03EC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8F37B9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2597684" w14:textId="175EF878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194.</w:t>
        </w:r>
      </w:hyperlink>
    </w:p>
    <w:p w14:paraId="1D249CA4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Rozhodnutí o privatizaci podle § 10, odst. 1 zákona č. 92/1991 Sb., o podmínkách převodu majetku státu na jiné osoby, ve znění pozdějších předpisů (materiál č. 84)</w:t>
      </w:r>
      <w:r>
        <w:rPr>
          <w:rFonts w:eastAsia="Times New Roman"/>
        </w:rPr>
        <w:t xml:space="preserve"> </w:t>
      </w:r>
    </w:p>
    <w:p w14:paraId="209A0EA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234/95</w:t>
      </w:r>
      <w:r>
        <w:t xml:space="preserve"> </w:t>
      </w:r>
    </w:p>
    <w:p w14:paraId="5130022A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CFF0A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794F357D" w14:textId="3A5E8BE3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195.</w:t>
        </w:r>
      </w:hyperlink>
    </w:p>
    <w:p w14:paraId="6EC3F6EA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Pověření k účasti na jednání dohodovacího řízení</w:t>
      </w:r>
      <w:r>
        <w:rPr>
          <w:rFonts w:eastAsia="Times New Roman"/>
        </w:rPr>
        <w:t xml:space="preserve"> </w:t>
      </w:r>
    </w:p>
    <w:p w14:paraId="6EE46E9C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232/95</w:t>
      </w:r>
      <w:r>
        <w:t xml:space="preserve"> </w:t>
      </w:r>
    </w:p>
    <w:p w14:paraId="4C743D66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22644D18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7CEE5FCA" w14:textId="6619A56A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196.</w:t>
        </w:r>
      </w:hyperlink>
    </w:p>
    <w:p w14:paraId="5FDDD2EC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o mezinárodních smluvních dokumentech uzavřených ministerstvem kultury v roce 1994</w:t>
      </w:r>
      <w:r>
        <w:rPr>
          <w:rFonts w:eastAsia="Times New Roman"/>
        </w:rPr>
        <w:t xml:space="preserve"> </w:t>
      </w:r>
    </w:p>
    <w:p w14:paraId="5BF1A264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223/95</w:t>
      </w:r>
      <w:r>
        <w:t xml:space="preserve"> </w:t>
      </w:r>
    </w:p>
    <w:p w14:paraId="5FEFBD6E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42FC68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kultury.</w:t>
      </w:r>
      <w:r>
        <w:t xml:space="preserve"> </w:t>
      </w:r>
    </w:p>
    <w:p w14:paraId="23D9D449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19. Návrh na doplnění usnesení vlády z 22. března 1995 č. 178, o změně usnesení vlády z 6. října 1993 č. 568, o dalším postupu při privatizaci podle zákona č. 92/1991 Sb. a zákona České národní rady č. 171/1991 Sb., ve znění usnesení vlády z 13. července 1994 č. 393, o změně a doplnění Zásad dalšího postupu při privatizaci podle zákona č. 92/1991 Sb. a zákona České národní rady č. 171/1991 Sb.</w:t>
      </w:r>
      <w:r>
        <w:t xml:space="preserve"> </w:t>
      </w:r>
    </w:p>
    <w:p w14:paraId="76B1B854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F9571E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z podnětu náměstka ministra pro správu národního majetku a jeho privatizaci M. Soukupa přijala</w:t>
      </w:r>
    </w:p>
    <w:p w14:paraId="6A8FE340" w14:textId="2271103F" w:rsidR="00516B34" w:rsidRDefault="00516B3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197.</w:t>
        </w:r>
      </w:hyperlink>
    </w:p>
    <w:p w14:paraId="2D0E07C9" w14:textId="77777777" w:rsidR="00516B34" w:rsidRDefault="00516B3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Posouzení platné právní úpravy míry přiměřenosti jednání v nutné obraně</w:t>
      </w:r>
      <w:r>
        <w:rPr>
          <w:rFonts w:eastAsia="Times New Roman"/>
        </w:rPr>
        <w:t xml:space="preserve"> </w:t>
      </w:r>
    </w:p>
    <w:p w14:paraId="0E4D7553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9AB9AF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se z podnětu předsedy vlády zabývala odpovědností za jednání v nutné obraně a mírou jeho přiměřenosti a d o p o r u č i l a ministru spravedlnosti zvážit, zda ustanovení trestního zákona o nutné obraně dostatečně zabezpečuje ochranu ohrožovaných občanů.</w:t>
      </w:r>
      <w:r>
        <w:t xml:space="preserve"> </w:t>
      </w:r>
    </w:p>
    <w:p w14:paraId="66D241D1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21. Účast S. Devátého na konferenci zpravodajských služeb evropských zemí</w:t>
      </w:r>
      <w:r>
        <w:t xml:space="preserve"> </w:t>
      </w:r>
    </w:p>
    <w:p w14:paraId="2B33E79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4743BA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V l á d a na návrh předsedy vlády s o u h l a s i l a s účastí S. Devátého na konferenci zpravodajských služeb evropských zemí.</w:t>
      </w:r>
      <w:r>
        <w:t xml:space="preserve"> </w:t>
      </w:r>
    </w:p>
    <w:p w14:paraId="25FDE3D4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81A0AC5" w14:textId="77777777" w:rsidR="00516B34" w:rsidRDefault="00516B3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A1BE2DF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1. Změny plánů kontrolní činnosti NKÚ na rok 1994 a 1995 (předložil ministr vlády a vedoucí Úřadu vlády I. Němec)</w:t>
      </w:r>
      <w:r>
        <w:t xml:space="preserve"> </w:t>
      </w:r>
    </w:p>
    <w:p w14:paraId="5ADB6927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224/95</w:t>
      </w:r>
      <w:r>
        <w:t xml:space="preserve"> </w:t>
      </w:r>
    </w:p>
    <w:p w14:paraId="2E5DE12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 xml:space="preserve">2. Informace o průběhu a výsledcích pracovní návštěvy předsedy </w:t>
      </w:r>
      <w:r>
        <w:rPr>
          <w:rFonts w:ascii="Times New Roman CE" w:hAnsi="Times New Roman CE" w:cs="Times New Roman CE"/>
        </w:rPr>
        <w:t>vlády Maďarské republiky G. Horna v České republice dne 27. února 1995 (předložil ministr zahraničních věcí)</w:t>
      </w:r>
      <w:r>
        <w:t xml:space="preserve"> </w:t>
      </w:r>
    </w:p>
    <w:p w14:paraId="629247F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č.j. 226/95</w:t>
      </w:r>
      <w:r>
        <w:t xml:space="preserve"> </w:t>
      </w:r>
    </w:p>
    <w:p w14:paraId="20DEAEB0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9E04A04" w14:textId="77777777" w:rsidR="00516B34" w:rsidRDefault="00516B3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C843825" w14:textId="77777777" w:rsidR="00516B34" w:rsidRDefault="00516B3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4"/>
    <w:rsid w:val="00516B3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5813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2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3-29" TargetMode="External"/><Relationship Id="rId13" Type="http://schemas.openxmlformats.org/officeDocument/2006/relationships/hyperlink" Target="file:///c:\redir.nsf%3fRedirect&amp;To=\66bbfabee8e70f37c125642e0052aae5\6d9e859622ebbad1c12564b50028427e%3fOpen&amp;Name=CN=Ghoul\O=ENV\C=CZ&amp;Id=C1256A62004E5036" TargetMode="External"/><Relationship Id="rId18" Type="http://schemas.openxmlformats.org/officeDocument/2006/relationships/hyperlink" Target="file:///c:\redir.nsf%3fRedirect&amp;To=\66bbfabee8e70f37c125642e0052aae5\eadfdea690f8eec2c12564b50028427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cf169e646543c10c12564b50028427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860569d3da0fac57c12564b50028427f%3fOpen&amp;Name=CN=Ghoul\O=ENV\C=CZ&amp;Id=C1256A62004E5036" TargetMode="External"/><Relationship Id="rId17" Type="http://schemas.openxmlformats.org/officeDocument/2006/relationships/hyperlink" Target="file:///c:\redir.nsf%3fRedirect&amp;To=\66bbfabee8e70f37c125642e0052aae5\c7e732d47b1bf807c12564b50028443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7140844efa206e2c12564b500284437%3fOpen&amp;Name=CN=Ghoul\O=ENV\C=CZ&amp;Id=C1256A62004E5036" TargetMode="External"/><Relationship Id="rId20" Type="http://schemas.openxmlformats.org/officeDocument/2006/relationships/hyperlink" Target="file:///c:\redir.nsf%3fRedirect&amp;To=\66bbfabee8e70f37c125642e0052aae5\37eec51edf017056c12564b50028427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b057118f768d9edc12564b500284280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b939610943efd84c12564b50028427d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dd2944d93b2fd695c12564b500284281%3fOpen&amp;Name=CN=Ghoul\O=ENV\C=CZ&amp;Id=C1256A62004E5036" TargetMode="External"/><Relationship Id="rId19" Type="http://schemas.openxmlformats.org/officeDocument/2006/relationships/hyperlink" Target="file:///c:\redir.nsf%3fRedirect&amp;To=\66bbfabee8e70f37c125642e0052aae5\edb009058d335015c12564b50028427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3a6c844b9922b3dc12564b500284438%3fOpen&amp;Name=CN=Ghoul\O=ENV\C=CZ&amp;Id=C1256A62004E5036" TargetMode="External"/><Relationship Id="rId22" Type="http://schemas.openxmlformats.org/officeDocument/2006/relationships/hyperlink" Target="file:///c:\redir.nsf%3fRedirect&amp;To=\66bbfabee8e70f37c125642e0052aae5\73e2835ab2846552c12564b50028427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1741</Words>
  <Characters>9928</Characters>
  <Application>Microsoft Office Word</Application>
  <DocSecurity>0</DocSecurity>
  <Lines>82</Lines>
  <Paragraphs>23</Paragraphs>
  <ScaleCrop>false</ScaleCrop>
  <Company>Profinit EU s.r.o.</Company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