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0248F35" w14:textId="77777777" w:rsidR="00993E1E" w:rsidRDefault="00993E1E">
      <w:pPr>
        <w:pStyle w:val="z-TopofForm"/>
      </w:pPr>
      <w:r>
        <w:t>Top of Form</w:t>
      </w:r>
    </w:p>
    <w:p w14:paraId="5596B853" w14:textId="2C1DF2A7" w:rsidR="00993E1E" w:rsidRDefault="00993E1E">
      <w:pPr>
        <w:pStyle w:val="Heading5"/>
        <w:divId w:val="20863708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1995-04-05</w:t>
        </w:r>
      </w:hyperlink>
    </w:p>
    <w:p w14:paraId="122A1A5A" w14:textId="77777777" w:rsidR="00993E1E" w:rsidRDefault="00993E1E">
      <w:pPr>
        <w:rPr>
          <w:rFonts w:eastAsia="Times New Roman"/>
        </w:rPr>
      </w:pPr>
    </w:p>
    <w:p w14:paraId="7441AC22" w14:textId="77777777" w:rsidR="00993E1E" w:rsidRDefault="00993E1E">
      <w:pPr>
        <w:divId w:val="10888881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6759275" w14:textId="77777777" w:rsidR="00993E1E" w:rsidRDefault="00993E1E">
      <w:pPr>
        <w:divId w:val="1260403779"/>
        <w:rPr>
          <w:rFonts w:eastAsia="Times New Roman"/>
        </w:rPr>
      </w:pPr>
      <w:r>
        <w:rPr>
          <w:rFonts w:eastAsia="Times New Roman"/>
        </w:rPr>
        <w:pict w14:anchorId="0E6CD10C"/>
      </w:r>
      <w:r>
        <w:rPr>
          <w:rFonts w:eastAsia="Times New Roman"/>
        </w:rPr>
        <w:pict w14:anchorId="7F9C63C4"/>
      </w:r>
      <w:r>
        <w:rPr>
          <w:rFonts w:eastAsia="Times New Roman"/>
          <w:noProof/>
        </w:rPr>
        <w:drawing>
          <wp:inline distT="0" distB="0" distL="0" distR="0" wp14:anchorId="2DAC4F10" wp14:editId="4661F23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60F4" w14:textId="77777777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8C7A80" w14:textId="77777777">
        <w:trPr>
          <w:tblCellSpacing w:w="0" w:type="dxa"/>
        </w:trPr>
        <w:tc>
          <w:tcPr>
            <w:tcW w:w="2500" w:type="pct"/>
            <w:hideMark/>
          </w:tcPr>
          <w:p w14:paraId="5314514C" w14:textId="77777777" w:rsidR="00993E1E" w:rsidRDefault="00993E1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2027/95</w:t>
            </w:r>
          </w:p>
        </w:tc>
        <w:tc>
          <w:tcPr>
            <w:tcW w:w="2500" w:type="pct"/>
            <w:hideMark/>
          </w:tcPr>
          <w:p w14:paraId="4D7FB696" w14:textId="77777777" w:rsidR="00993E1E" w:rsidRDefault="00993E1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dubna 1995</w:t>
            </w:r>
          </w:p>
        </w:tc>
      </w:tr>
    </w:tbl>
    <w:p w14:paraId="23444A75" w14:textId="77777777" w:rsidR="00993E1E" w:rsidRDefault="00993E1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dubna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0DE928B3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4CB055D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</w:t>
      </w:r>
      <w:r>
        <w:rPr>
          <w:rFonts w:ascii="Times New Roman CE" w:hAnsi="Times New Roman CE" w:cs="Times New Roman CE"/>
        </w:rPr>
        <w:t>č. 238/1991 Sb., o odpadech, a zákon České národní rady č. 311/1991 Sb., o státní správě v odpadovém hospodářství, ve znění zákona České národní rady č. 466/1992 Sb.</w:t>
      </w:r>
      <w:r>
        <w:t xml:space="preserve"> </w:t>
      </w:r>
    </w:p>
    <w:p w14:paraId="3B998C5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203/95</w:t>
      </w:r>
      <w:r>
        <w:t xml:space="preserve"> </w:t>
      </w:r>
    </w:p>
    <w:p w14:paraId="0CA8B68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F6E136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7CEA69FE" w14:textId="3EECD393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198</w:t>
        </w:r>
      </w:hyperlink>
    </w:p>
    <w:p w14:paraId="47F13BD8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 návrhu zákona doplněno, že pokuty ukládané podle navrhovaného zákona bude vybírat ten orgán, který je uložil.</w:t>
      </w:r>
      <w:r>
        <w:rPr>
          <w:rFonts w:eastAsia="Times New Roman"/>
        </w:rPr>
        <w:t xml:space="preserve"> </w:t>
      </w:r>
    </w:p>
    <w:p w14:paraId="0C91B001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doplňují některé zákony v souvislosti s přijetím zákona o důchodovém pojištění</w:t>
      </w:r>
      <w:r>
        <w:t xml:space="preserve"> </w:t>
      </w:r>
    </w:p>
    <w:p w14:paraId="4C19C45E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225/95</w:t>
      </w:r>
      <w:r>
        <w:t xml:space="preserve"> </w:t>
      </w:r>
    </w:p>
    <w:p w14:paraId="138F383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6C8FA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</w:t>
      </w:r>
      <w:r>
        <w:t xml:space="preserve"> </w:t>
      </w:r>
    </w:p>
    <w:p w14:paraId="77D045F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lastRenderedPageBreak/>
        <w:t>a) přijala</w:t>
      </w:r>
    </w:p>
    <w:p w14:paraId="0C1A2E5E" w14:textId="796D579C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199</w:t>
        </w:r>
      </w:hyperlink>
    </w:p>
    <w:p w14:paraId="637180D2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práce a sociálních věcí a místopředseda vlády a ministr financí posoudí nutnost ponechání části VII a VIII v návrhu a dále s tím, že ministři práce a sociálních věcí a zdravotnictví ve spolupráci s místopředsedou vlády pověřeným řízením Úřadu pro legislativu a veřejnou správu dořeší námitky obsažené v části II/1 a 2 stanoviska předsedy Legislativní rady vlády,</w:t>
      </w:r>
      <w:r>
        <w:rPr>
          <w:rFonts w:eastAsia="Times New Roman"/>
        </w:rPr>
        <w:t xml:space="preserve"> </w:t>
      </w:r>
    </w:p>
    <w:p w14:paraId="1467ECBB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financí ve spolupráci s ministrem práce a sociálních věcí předložit vládě materiál posuzující souvislost mezi oddělením důchodového a nemocenského pojištění od státního rozpočtu a mezi organizací a prováděním sociálního zabezpečení.</w:t>
      </w:r>
      <w:r>
        <w:t xml:space="preserve"> </w:t>
      </w:r>
    </w:p>
    <w:p w14:paraId="71F17FB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č. 2/1969 Sb., o zřízení ministerstev a jiných ústředních orgánů státní správy České republiky, ve znění pozdějších předpisů</w:t>
      </w:r>
      <w:r>
        <w:t xml:space="preserve"> </w:t>
      </w:r>
    </w:p>
    <w:p w14:paraId="58BEBCF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183/95</w:t>
      </w:r>
      <w:r>
        <w:t xml:space="preserve"> </w:t>
      </w:r>
    </w:p>
    <w:p w14:paraId="2864563A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4CCAA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Materiál předložený ministrem hospodářství byl stažen z programu jednání.</w:t>
      </w:r>
      <w:r>
        <w:t xml:space="preserve"> </w:t>
      </w:r>
    </w:p>
    <w:p w14:paraId="1906815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4. Návrh nařízení vlády, kterým se stanoví zvláštní jednorázová peněžní náležitost pro příslušníky Policie České republiky</w:t>
      </w:r>
      <w:r>
        <w:t xml:space="preserve"> </w:t>
      </w:r>
    </w:p>
    <w:p w14:paraId="299CD44D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245/95</w:t>
      </w:r>
      <w:r>
        <w:t xml:space="preserve"> </w:t>
      </w:r>
    </w:p>
    <w:p w14:paraId="008964D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ED6D6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</w:t>
      </w:r>
      <w:r>
        <w:t xml:space="preserve"> </w:t>
      </w:r>
    </w:p>
    <w:p w14:paraId="7C8B138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E7A460D" w14:textId="563F88D8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200,</w:t>
        </w:r>
      </w:hyperlink>
    </w:p>
    <w:p w14:paraId="33DE54F0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práce a sociálních věcí a místopředsedovi vlády a ministru financí předložit do 30. dubna 1995 na poradu vybraných členů vlády materiál srovnávající výši mezd pracovníků rozpočtových a případně dalších organizací v rámci jednotlivých resortů a mezi jednotlivými resorty navzájem.</w:t>
      </w:r>
      <w:r>
        <w:rPr>
          <w:rFonts w:eastAsia="Times New Roman"/>
        </w:rPr>
        <w:t xml:space="preserve"> </w:t>
      </w:r>
    </w:p>
    <w:p w14:paraId="736D4A8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5. Zpráva o výsledcích činnosti SÚJB při výkonu státního dozoru nad jadernou bezpečností jaderných zařízení v roce 1994</w:t>
      </w:r>
      <w:r>
        <w:t xml:space="preserve"> </w:t>
      </w:r>
    </w:p>
    <w:p w14:paraId="42D1515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lastRenderedPageBreak/>
        <w:t>č.j. 256/95</w:t>
      </w:r>
      <w:r>
        <w:t xml:space="preserve"> </w:t>
      </w:r>
    </w:p>
    <w:p w14:paraId="732991D3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CC401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předsedou Státního úřadu pro jadernou bezpečnost přijala</w:t>
      </w:r>
    </w:p>
    <w:p w14:paraId="62C396AF" w14:textId="70AB1569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201.</w:t>
        </w:r>
      </w:hyperlink>
    </w:p>
    <w:p w14:paraId="047899BC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koncepčních opatření státní politiky bezpečnosti práce</w:t>
      </w:r>
      <w:r>
        <w:rPr>
          <w:rFonts w:eastAsia="Times New Roman"/>
        </w:rPr>
        <w:t xml:space="preserve"> </w:t>
      </w:r>
    </w:p>
    <w:p w14:paraId="21AE72D4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249/95</w:t>
      </w:r>
      <w:r>
        <w:t xml:space="preserve"> </w:t>
      </w:r>
    </w:p>
    <w:p w14:paraId="3C77E4F7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5E97A92D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nástin koncepčních opatření obsažených v materiálu předloženém ministrem práce a sociálních věcí s tím, že ministr práce a sociálních věcí bude vládě předkládat k posouzení konkrétní navrhovaná opatření.</w:t>
      </w:r>
      <w:r>
        <w:t xml:space="preserve"> </w:t>
      </w:r>
    </w:p>
    <w:p w14:paraId="7B420E31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7. Návrh na sjednání Memoranda o porozumění o realizaci programu Modernizace hraničních přechodů - Phare 1993 Folmava</w:t>
      </w:r>
      <w:r>
        <w:t xml:space="preserve"> </w:t>
      </w:r>
    </w:p>
    <w:p w14:paraId="30276EC1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258/95</w:t>
      </w:r>
      <w:r>
        <w:t xml:space="preserve"> </w:t>
      </w:r>
    </w:p>
    <w:p w14:paraId="73D0ACD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82AB7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dopravy a zahraničních věcí a přijala</w:t>
      </w:r>
    </w:p>
    <w:p w14:paraId="5AF7B589" w14:textId="4E17178A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202</w:t>
        </w:r>
      </w:hyperlink>
    </w:p>
    <w:p w14:paraId="6BFC3E68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finanční prostředky přesahující náklady stavby nad 1,5 mil. ECU budou hrazeny z rozpočtu ministerstva dopravy.</w:t>
      </w:r>
      <w:r>
        <w:rPr>
          <w:rFonts w:eastAsia="Times New Roman"/>
        </w:rPr>
        <w:t xml:space="preserve"> </w:t>
      </w:r>
    </w:p>
    <w:p w14:paraId="46F2FC5D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8. Návrh Ujednání mezi vládou ČR a vládou SRN o ustavení mezivládní komise pro rozvoj spolupráce mezi ČR a SRN včetně jejích spolkových zemí zejména v příhraničních oblastech</w:t>
      </w:r>
      <w:r>
        <w:t xml:space="preserve"> </w:t>
      </w:r>
    </w:p>
    <w:p w14:paraId="72C85ADE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240/95</w:t>
      </w:r>
      <w:r>
        <w:t xml:space="preserve"> </w:t>
      </w:r>
    </w:p>
    <w:p w14:paraId="0B52E3B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F7DBD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10B9D5EC" w14:textId="648E4843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203.</w:t>
        </w:r>
      </w:hyperlink>
    </w:p>
    <w:p w14:paraId="44507A27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sjednání Smlouvy mezi Českou republikou a Albánskou republikou o zamezení dvojího zdanění a zabránění daňovému úniku v oboru daní z příjmu a z majetku</w:t>
      </w:r>
      <w:r>
        <w:rPr>
          <w:rFonts w:eastAsia="Times New Roman"/>
        </w:rPr>
        <w:t xml:space="preserve"> </w:t>
      </w:r>
    </w:p>
    <w:p w14:paraId="5E6B0594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251/95</w:t>
      </w:r>
      <w:r>
        <w:t xml:space="preserve"> </w:t>
      </w:r>
    </w:p>
    <w:p w14:paraId="4AC1EFA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14DC27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zahraničních věcí a přijala</w:t>
      </w:r>
    </w:p>
    <w:p w14:paraId="744E73E5" w14:textId="21128831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204.</w:t>
        </w:r>
      </w:hyperlink>
    </w:p>
    <w:p w14:paraId="00C10D15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Dohody mezi vládou České republiky a vládou Kyperské republiky o zrušení vízové povinnosti</w:t>
      </w:r>
      <w:r>
        <w:rPr>
          <w:rFonts w:eastAsia="Times New Roman"/>
        </w:rPr>
        <w:t xml:space="preserve"> </w:t>
      </w:r>
    </w:p>
    <w:p w14:paraId="091F9FE5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257/95</w:t>
      </w:r>
      <w:r>
        <w:t xml:space="preserve"> </w:t>
      </w:r>
    </w:p>
    <w:p w14:paraId="1D45CFB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3D5A76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EC40F96" w14:textId="30BD5929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205.</w:t>
        </w:r>
      </w:hyperlink>
    </w:p>
    <w:p w14:paraId="0296BDDB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vyslání delegace České republiky na čtvrté výroční zasedání Rady guvernérů Evropské banky pro obnovu a rozvoj (EBRD)</w:t>
      </w:r>
      <w:r>
        <w:rPr>
          <w:rFonts w:eastAsia="Times New Roman"/>
        </w:rPr>
        <w:t xml:space="preserve"> </w:t>
      </w:r>
    </w:p>
    <w:p w14:paraId="6BFE39F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242/95</w:t>
      </w:r>
      <w:r>
        <w:t xml:space="preserve"> </w:t>
      </w:r>
    </w:p>
    <w:p w14:paraId="1301EC6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D6328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735E724F" w14:textId="257B4D37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206.</w:t>
        </w:r>
      </w:hyperlink>
    </w:p>
    <w:p w14:paraId="09544327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Informace o odpovědi na dopis předsedy Komise pro bezpečnosti a spolupráci v Evropě Kongresu USA předsedovi vlády České republiky</w:t>
      </w:r>
      <w:r>
        <w:rPr>
          <w:rFonts w:eastAsia="Times New Roman"/>
        </w:rPr>
        <w:t xml:space="preserve"> </w:t>
      </w:r>
    </w:p>
    <w:p w14:paraId="00A0EBCA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248/95</w:t>
      </w:r>
      <w:r>
        <w:t xml:space="preserve"> </w:t>
      </w:r>
    </w:p>
    <w:p w14:paraId="388255D6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23C815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v z a l a informaci předloženou ministrem zahraničních věcí n a v ě d o m í .</w:t>
      </w:r>
      <w:r>
        <w:t xml:space="preserve"> </w:t>
      </w:r>
    </w:p>
    <w:p w14:paraId="26BFD507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13. Žádosti o udělení výjimky podle § 45 odst. 1 a 2 zákona č. 92/1991 Sb., o podmínkách převodu majetku státu na jiné osoby</w:t>
      </w:r>
      <w:r>
        <w:t xml:space="preserve"> </w:t>
      </w:r>
    </w:p>
    <w:p w14:paraId="285C29B6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250/95</w:t>
      </w:r>
      <w:r>
        <w:t xml:space="preserve"> </w:t>
      </w:r>
    </w:p>
    <w:p w14:paraId="72B8FF7C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2E261E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0B79204C" w14:textId="385FEFF2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207.</w:t>
        </w:r>
      </w:hyperlink>
    </w:p>
    <w:p w14:paraId="40D8BD74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Rozhodnutí o privatizaci podle § 10, odst. 1 zákona č. 92/1991 Sb., o podmínkách převodu majetku státu na jiné osoby, ve znění pozdějších předpisů (materiál č. 85)</w:t>
      </w:r>
      <w:r>
        <w:rPr>
          <w:rFonts w:eastAsia="Times New Roman"/>
        </w:rPr>
        <w:t xml:space="preserve"> </w:t>
      </w:r>
    </w:p>
    <w:p w14:paraId="55E8EDAC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247/95</w:t>
      </w:r>
      <w:r>
        <w:t xml:space="preserve"> </w:t>
      </w:r>
    </w:p>
    <w:p w14:paraId="63F2B3DA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EAA043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74132405" w14:textId="292A080E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208.</w:t>
        </w:r>
      </w:hyperlink>
    </w:p>
    <w:p w14:paraId="1D59D36C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o řešení problematiky základního jmění a.s. Československé aerolinie</w:t>
      </w:r>
      <w:r>
        <w:rPr>
          <w:rFonts w:eastAsia="Times New Roman"/>
        </w:rPr>
        <w:t xml:space="preserve"> </w:t>
      </w:r>
    </w:p>
    <w:p w14:paraId="1A10969A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244/95</w:t>
      </w:r>
      <w:r>
        <w:t xml:space="preserve"> </w:t>
      </w:r>
    </w:p>
    <w:p w14:paraId="096E468C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952FF7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v z a l a informaci ministra dopravy n a v ě d o m í .</w:t>
      </w:r>
      <w:r>
        <w:t xml:space="preserve"> </w:t>
      </w:r>
    </w:p>
    <w:p w14:paraId="045DFF0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16. Návrh řešení vypravování státních pohřbů</w:t>
      </w:r>
      <w:r>
        <w:t xml:space="preserve"> </w:t>
      </w:r>
    </w:p>
    <w:p w14:paraId="250DA9C1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</w:t>
      </w:r>
      <w:r>
        <w:t xml:space="preserve"> </w:t>
      </w:r>
    </w:p>
    <w:p w14:paraId="18360E6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6CD37595" w14:textId="6BADA23E" w:rsidR="00993E1E" w:rsidRDefault="00993E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209.</w:t>
        </w:r>
      </w:hyperlink>
    </w:p>
    <w:p w14:paraId="0752D21D" w14:textId="77777777" w:rsidR="00993E1E" w:rsidRDefault="00993E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17.a) Podklad pro jednání premiérů ČR a SR</w:t>
      </w:r>
      <w:r>
        <w:rPr>
          <w:rFonts w:eastAsia="Times New Roman"/>
        </w:rPr>
        <w:t xml:space="preserve"> </w:t>
      </w:r>
    </w:p>
    <w:p w14:paraId="0F53551D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b) Návrh dalšího postupu k Platební dohodě mezi Českou republikou a Slovenskou republikou</w:t>
      </w:r>
      <w:r>
        <w:t xml:space="preserve"> </w:t>
      </w:r>
    </w:p>
    <w:p w14:paraId="0AF50451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222/95</w:t>
      </w:r>
      <w:r>
        <w:t xml:space="preserve"> </w:t>
      </w:r>
    </w:p>
    <w:p w14:paraId="74B3558A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c) Informace o jednání ministrů vnitra České republiky a Slovenské republiky v Bratislavě ve dnech 16. - 17. března 1995</w:t>
      </w:r>
      <w:r>
        <w:t xml:space="preserve"> </w:t>
      </w:r>
    </w:p>
    <w:p w14:paraId="1EE57F3A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270/95</w:t>
      </w:r>
      <w:r>
        <w:t xml:space="preserve"> </w:t>
      </w:r>
    </w:p>
    <w:p w14:paraId="654EA3B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EBA6E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V l á d a se v diskusi zabývala problematikou obsaženou v materiálech předložených předsedou vlády (17a), místopředsedou vlády a ministrem financí (17b) a ministrem vnitra (17c) a s o u h l a s i l a s vysláním osobního zmocněnce předsedy vlády, náměstka ministra J. Weigla, který by projednal s představiteli vlády Slovenské republiky přípravu uvažovaného setkání předsedy vlády s předsedou vlády Slovenské republiky V. Mečiarem.</w:t>
      </w:r>
      <w:r>
        <w:t xml:space="preserve"> </w:t>
      </w:r>
    </w:p>
    <w:p w14:paraId="2F6EDCB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B150D93" w14:textId="77777777" w:rsidR="00993E1E" w:rsidRDefault="00993E1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1B69EBE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1. Výroční zpráva o činnosti Podpůrného a garančního rolnického a lesnického fondu za rok 1994 (předložil místopředseda vlády a ministr zemědělství)</w:t>
      </w:r>
      <w:r>
        <w:t xml:space="preserve"> </w:t>
      </w:r>
    </w:p>
    <w:p w14:paraId="55F4866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246/95</w:t>
      </w:r>
      <w:r>
        <w:t xml:space="preserve"> </w:t>
      </w:r>
    </w:p>
    <w:p w14:paraId="20D63EFF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2. Informace o kontinuální sociální práci s pachateli trestné činnosti (předložil ministr práce a sociálních věcí)</w:t>
      </w:r>
      <w:r>
        <w:t xml:space="preserve"> </w:t>
      </w:r>
    </w:p>
    <w:p w14:paraId="563B91FB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239/95</w:t>
      </w:r>
      <w:r>
        <w:t xml:space="preserve"> </w:t>
      </w:r>
    </w:p>
    <w:p w14:paraId="465C1FC0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 xml:space="preserve">3. Zpráva o průběhu digitalizace katastru nemovitostí a zápisu vlastnických práv k bytům a nebytovým prostorům podle zákona č. 72/1994 Sb., kterým se upravují některé spoluvlastnické </w:t>
      </w:r>
      <w:r>
        <w:rPr>
          <w:rFonts w:ascii="Times New Roman CE" w:hAnsi="Times New Roman CE" w:cs="Times New Roman CE"/>
        </w:rPr>
        <w:t>vztahy k budovám a některé vlastnické vztahy k bytům a nebytovým prostorům a doplňují některé zákony (zákon o vlastnictví bytů) se stavem k 31. prosinci 1994 (předložil místopředseda vlády a ministr zemědělství)</w:t>
      </w:r>
      <w:r>
        <w:t xml:space="preserve"> </w:t>
      </w:r>
    </w:p>
    <w:p w14:paraId="573AF339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č.j. 243/95</w:t>
      </w:r>
      <w:r>
        <w:t xml:space="preserve"> </w:t>
      </w:r>
    </w:p>
    <w:p w14:paraId="0B91AFD2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F12C428" w14:textId="77777777" w:rsidR="00993E1E" w:rsidRDefault="00993E1E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DFC2D90" w14:textId="77777777" w:rsidR="00993E1E" w:rsidRDefault="00993E1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1E"/>
    <w:rsid w:val="00993E1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78D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88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4-05" TargetMode="External"/><Relationship Id="rId13" Type="http://schemas.openxmlformats.org/officeDocument/2006/relationships/hyperlink" Target="file:///c:\redir.nsf%3fRedirect&amp;To=\66bbfabee8e70f37c125642e0052aae5\632d3b0d6bdded2ec12564b500284287%3fOpen&amp;Name=CN=Ghoul\O=ENV\C=CZ&amp;Id=C1256A62004E5036" TargetMode="External"/><Relationship Id="rId18" Type="http://schemas.openxmlformats.org/officeDocument/2006/relationships/hyperlink" Target="file:///c:\redir.nsf%3fRedirect&amp;To=\66bbfabee8e70f37c125642e0052aae5\2b706e5e6ede61f4c12564b50028445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d41c0c775735df6c12564b50028428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73b0b0428d7b9467c12564b500284288%3fOpen&amp;Name=CN=Ghoul\O=ENV\C=CZ&amp;Id=C1256A62004E5036" TargetMode="External"/><Relationship Id="rId17" Type="http://schemas.openxmlformats.org/officeDocument/2006/relationships/hyperlink" Target="file:///c:\redir.nsf%3fRedirect&amp;To=\66bbfabee8e70f37c125642e0052aae5\dd9e08e11e3ea5cdc12564b50028428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f955456dffeaec09c12564b500284454%3fOpen&amp;Name=CN=Ghoul\O=ENV\C=CZ&amp;Id=C1256A62004E5036" TargetMode="External"/><Relationship Id="rId20" Type="http://schemas.openxmlformats.org/officeDocument/2006/relationships/hyperlink" Target="file:///c:\redir.nsf%3fRedirect&amp;To=\66bbfabee8e70f37c125642e0052aae5\478e2f994324fce7c12564b50028428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8d9be2862f04ffec12564b50028445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b301572153fab3bc12564b500284455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0f29b9b3f550f3aac12564b500284457%3fOpen&amp;Name=CN=Ghoul\O=ENV\C=CZ&amp;Id=C1256A62004E5036" TargetMode="External"/><Relationship Id="rId19" Type="http://schemas.openxmlformats.org/officeDocument/2006/relationships/hyperlink" Target="file:///c:\redir.nsf%3fRedirect&amp;To=\66bbfabee8e70f37c125642e0052aae5\0ae8e6aa1d8a8967c12564b50028428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28e774dcf7579a20c12564b500284286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1583</Words>
  <Characters>9024</Characters>
  <Application>Microsoft Office Word</Application>
  <DocSecurity>0</DocSecurity>
  <Lines>75</Lines>
  <Paragraphs>21</Paragraphs>
  <ScaleCrop>false</ScaleCrop>
  <Company>Profinit EU s.r.o.</Company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