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89C213" w14:textId="77777777" w:rsidR="0099118A" w:rsidRDefault="0099118A">
      <w:pPr>
        <w:pStyle w:val="z-TopofForm"/>
      </w:pPr>
      <w:r>
        <w:t>Top of Form</w:t>
      </w:r>
    </w:p>
    <w:p w14:paraId="6CE702A1" w14:textId="336FB19C" w:rsidR="0099118A" w:rsidRDefault="0099118A">
      <w:pPr>
        <w:pStyle w:val="Heading5"/>
        <w:divId w:val="5295340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1995-04-28</w:t>
        </w:r>
      </w:hyperlink>
    </w:p>
    <w:p w14:paraId="755CCF60" w14:textId="77777777" w:rsidR="0099118A" w:rsidRDefault="0099118A">
      <w:pPr>
        <w:rPr>
          <w:rFonts w:eastAsia="Times New Roman"/>
        </w:rPr>
      </w:pPr>
    </w:p>
    <w:p w14:paraId="048C7D81" w14:textId="77777777" w:rsidR="0099118A" w:rsidRDefault="0099118A">
      <w:pPr>
        <w:divId w:val="16680486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B7796F" w14:textId="77777777" w:rsidR="0099118A" w:rsidRDefault="0099118A">
      <w:pPr>
        <w:divId w:val="1738478585"/>
        <w:rPr>
          <w:rFonts w:eastAsia="Times New Roman"/>
        </w:rPr>
      </w:pPr>
      <w:r>
        <w:rPr>
          <w:rFonts w:eastAsia="Times New Roman"/>
        </w:rPr>
        <w:pict w14:anchorId="380CE240"/>
      </w:r>
      <w:r>
        <w:rPr>
          <w:rFonts w:eastAsia="Times New Roman"/>
        </w:rPr>
        <w:pict w14:anchorId="61507A74"/>
      </w:r>
      <w:r>
        <w:rPr>
          <w:rFonts w:eastAsia="Times New Roman"/>
          <w:noProof/>
        </w:rPr>
        <w:drawing>
          <wp:inline distT="0" distB="0" distL="0" distR="0" wp14:anchorId="67769FBC" wp14:editId="4CDAE93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5A4F" w14:textId="77777777" w:rsidR="0099118A" w:rsidRDefault="009911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ECB394" w14:textId="77777777">
        <w:trPr>
          <w:tblCellSpacing w:w="0" w:type="dxa"/>
        </w:trPr>
        <w:tc>
          <w:tcPr>
            <w:tcW w:w="2500" w:type="pct"/>
            <w:hideMark/>
          </w:tcPr>
          <w:p w14:paraId="19277160" w14:textId="77777777" w:rsidR="0099118A" w:rsidRDefault="0099118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2035/95</w:t>
            </w:r>
          </w:p>
        </w:tc>
        <w:tc>
          <w:tcPr>
            <w:tcW w:w="2500" w:type="pct"/>
            <w:hideMark/>
          </w:tcPr>
          <w:p w14:paraId="19354033" w14:textId="77777777" w:rsidR="0099118A" w:rsidRDefault="0099118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dubna 1995</w:t>
            </w:r>
          </w:p>
        </w:tc>
      </w:tr>
    </w:tbl>
    <w:p w14:paraId="55B20071" w14:textId="77777777" w:rsidR="0099118A" w:rsidRDefault="0099118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dubna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28C7DA6D" w14:textId="77777777" w:rsidR="0099118A" w:rsidRDefault="009911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613463E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 xml:space="preserve">1.a) Návrh zákona, kterým se mění a doplňuje zákon ČNR </w:t>
      </w:r>
      <w:r>
        <w:rPr>
          <w:rFonts w:ascii="Times New Roman CE" w:hAnsi="Times New Roman CE" w:cs="Times New Roman CE"/>
        </w:rPr>
        <w:t>č. 586/1992 Sb., o daních z příjmů, ve znění pozdějších předpisů</w:t>
      </w:r>
      <w:r>
        <w:t xml:space="preserve"> </w:t>
      </w:r>
    </w:p>
    <w:p w14:paraId="7C7A664D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č.j. 252/95</w:t>
      </w:r>
      <w:r>
        <w:t xml:space="preserve"> </w:t>
      </w:r>
    </w:p>
    <w:p w14:paraId="7EB3977F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1.b) Doplňující materiál k návrhu novely zákona o dani z příjmů</w:t>
      </w:r>
      <w:r>
        <w:t xml:space="preserve"> </w:t>
      </w:r>
    </w:p>
    <w:p w14:paraId="4AC7E955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č.j. 349/95</w:t>
      </w:r>
      <w:r>
        <w:t xml:space="preserve"> </w:t>
      </w:r>
    </w:p>
    <w:p w14:paraId="724F4801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1.c) Návrh na snížení sazeb pojistného na sociální zabezpečení a příspěvku na státní politiku zaměstnanosti</w:t>
      </w:r>
      <w:r>
        <w:t xml:space="preserve"> </w:t>
      </w:r>
    </w:p>
    <w:p w14:paraId="668A3E4E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0851E8F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V l á d a projednala návrh (1a) a jeho doplněk (1b) předložené místopředsedou vlády a ministrem financí a návrh (1c) předložený ministrem práce a sociálních věcí a přijala</w:t>
      </w:r>
    </w:p>
    <w:p w14:paraId="6DF24730" w14:textId="19C302FC" w:rsidR="0099118A" w:rsidRDefault="009911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256.</w:t>
        </w:r>
      </w:hyperlink>
    </w:p>
    <w:p w14:paraId="02A1E438" w14:textId="77777777" w:rsidR="0099118A" w:rsidRDefault="009911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Změna usnesení vlády z 19. dubna 1995 č. 225, k návrhu zákona, kterým se mění a doplňuje zákon České národní rady č. 593/1992 Sb., o rezervách pro zjištění základu daně z příjmů, ve znění pozdějších předpisů</w:t>
      </w:r>
      <w:r>
        <w:rPr>
          <w:rFonts w:eastAsia="Times New Roman"/>
        </w:rPr>
        <w:t xml:space="preserve"> </w:t>
      </w:r>
    </w:p>
    <w:p w14:paraId="17BCDB7D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3D0528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z podnětu místopředsedy vlády a ministra financí přijala</w:t>
      </w:r>
    </w:p>
    <w:p w14:paraId="16FBA999" w14:textId="2D1B87F0" w:rsidR="0099118A" w:rsidRDefault="009911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257.</w:t>
        </w:r>
      </w:hyperlink>
    </w:p>
    <w:p w14:paraId="4FA612CC" w14:textId="77777777" w:rsidR="0099118A" w:rsidRDefault="009911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Změna usnesení vlády z 19. dubna 1995 č. 236, o návrhu na povýšení do vyšší generálské hodnosti, jmenování do hodnosti generálmajora a o propůjčení hodnosti generálmajora</w:t>
      </w:r>
      <w:r>
        <w:rPr>
          <w:rFonts w:eastAsia="Times New Roman"/>
        </w:rPr>
        <w:t xml:space="preserve"> </w:t>
      </w:r>
    </w:p>
    <w:p w14:paraId="312BE923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9BB30F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V l á d a z podnětu ministra obrany přijala</w:t>
      </w:r>
    </w:p>
    <w:p w14:paraId="7C31545C" w14:textId="3BDA0BBB" w:rsidR="0099118A" w:rsidRDefault="009911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258.</w:t>
        </w:r>
      </w:hyperlink>
    </w:p>
    <w:p w14:paraId="0B7E4ED4" w14:textId="77777777" w:rsidR="0099118A" w:rsidRDefault="009911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Doplňující ústní informace ministra vlády a vedoucího Úřadu vlády I. Němce o akcích pořádných v rámci oslav 50. výročí ukončení druhé světové války</w:t>
      </w:r>
      <w:r>
        <w:rPr>
          <w:rFonts w:eastAsia="Times New Roman"/>
        </w:rPr>
        <w:t xml:space="preserve"> </w:t>
      </w:r>
    </w:p>
    <w:p w14:paraId="07A2C2CE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181DA0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vlády a vedoucího Úřadu vlády I. Němce o akcích konaných dne 5. a 8. května 1995 v rámci oslav 50. výročí ukončení druhé světové války, při nichž dosud není zajištěna účast členů vlády a kde by tato účast byla vhodná.</w:t>
      </w:r>
      <w:r>
        <w:t xml:space="preserve"> </w:t>
      </w:r>
    </w:p>
    <w:p w14:paraId="5A352CDC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506D46E" w14:textId="77777777" w:rsidR="0099118A" w:rsidRDefault="0099118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2105801" w14:textId="77777777" w:rsidR="0099118A" w:rsidRDefault="0099118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A"/>
    <w:rsid w:val="0099118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7AB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3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4-2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5bfa0bf26af42693c12564b5002842a8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bd47cb89b7d2208c12564b5002842a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e92bbca067394530c12564b50028445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Company>Profinit EU s.r.o.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