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88915B" w14:textId="77777777" w:rsidR="0051108C" w:rsidRDefault="0051108C">
      <w:pPr>
        <w:pStyle w:val="z-TopofForm"/>
      </w:pPr>
      <w:r>
        <w:t>Top of Form</w:t>
      </w:r>
    </w:p>
    <w:p w14:paraId="633D136B" w14:textId="417230E7" w:rsidR="0051108C" w:rsidRDefault="0051108C">
      <w:pPr>
        <w:pStyle w:val="Heading5"/>
        <w:divId w:val="176340515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1995-05-24</w:t>
        </w:r>
      </w:hyperlink>
    </w:p>
    <w:p w14:paraId="391ED506" w14:textId="77777777" w:rsidR="0051108C" w:rsidRDefault="0051108C">
      <w:pPr>
        <w:rPr>
          <w:rFonts w:eastAsia="Times New Roman"/>
        </w:rPr>
      </w:pPr>
    </w:p>
    <w:p w14:paraId="6EDF2942" w14:textId="77777777" w:rsidR="0051108C" w:rsidRDefault="0051108C">
      <w:pPr>
        <w:divId w:val="38614512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23EC044" w14:textId="77777777" w:rsidR="0051108C" w:rsidRDefault="0051108C">
      <w:pPr>
        <w:divId w:val="1559393328"/>
        <w:rPr>
          <w:rFonts w:eastAsia="Times New Roman"/>
        </w:rPr>
      </w:pPr>
      <w:r>
        <w:rPr>
          <w:rFonts w:eastAsia="Times New Roman"/>
        </w:rPr>
        <w:pict w14:anchorId="0C2E309B"/>
      </w:r>
      <w:r>
        <w:rPr>
          <w:rFonts w:eastAsia="Times New Roman"/>
        </w:rPr>
        <w:pict w14:anchorId="630B6234"/>
      </w:r>
      <w:r>
        <w:rPr>
          <w:rFonts w:eastAsia="Times New Roman"/>
          <w:noProof/>
        </w:rPr>
        <w:drawing>
          <wp:inline distT="0" distB="0" distL="0" distR="0" wp14:anchorId="46C35210" wp14:editId="4E2FFC3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AAC6" w14:textId="77777777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3F66AA4" w14:textId="77777777">
        <w:trPr>
          <w:tblCellSpacing w:w="0" w:type="dxa"/>
        </w:trPr>
        <w:tc>
          <w:tcPr>
            <w:tcW w:w="2500" w:type="pct"/>
            <w:hideMark/>
          </w:tcPr>
          <w:p w14:paraId="303E3F01" w14:textId="77777777" w:rsidR="0051108C" w:rsidRDefault="0051108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2043/95</w:t>
            </w:r>
          </w:p>
        </w:tc>
        <w:tc>
          <w:tcPr>
            <w:tcW w:w="2500" w:type="pct"/>
            <w:hideMark/>
          </w:tcPr>
          <w:p w14:paraId="5F03E85F" w14:textId="77777777" w:rsidR="0051108C" w:rsidRDefault="0051108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24. května 1995</w:t>
            </w:r>
          </w:p>
        </w:tc>
      </w:tr>
    </w:tbl>
    <w:p w14:paraId="0F65DF29" w14:textId="77777777" w:rsidR="0051108C" w:rsidRDefault="0051108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24. května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(22. schůze)</w:t>
      </w:r>
    </w:p>
    <w:p w14:paraId="522EE99B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CC4C49C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 xml:space="preserve">1. Návrh zákona, kterým se mění a doplňuje zákon č. 87/1991 Sb. </w:t>
      </w:r>
      <w:r>
        <w:rPr>
          <w:rFonts w:ascii="Times New Roman CE" w:hAnsi="Times New Roman CE" w:cs="Times New Roman CE"/>
        </w:rPr>
        <w:t>o mimosoudních rehabilitacích, ve znění pozdějších předpisů (tisk č. 1678)</w:t>
      </w:r>
      <w:r>
        <w:t xml:space="preserve"> </w:t>
      </w:r>
    </w:p>
    <w:p w14:paraId="53B784B0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348/95</w:t>
      </w:r>
      <w:r>
        <w:t xml:space="preserve"> </w:t>
      </w:r>
    </w:p>
    <w:p w14:paraId="426A430E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9B583E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sprá- vu a přijala</w:t>
      </w:r>
    </w:p>
    <w:p w14:paraId="3F94E212" w14:textId="1317AAB8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295.</w:t>
        </w:r>
      </w:hyperlink>
    </w:p>
    <w:p w14:paraId="4DB19213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zásad zákona o antidumpingu</w:t>
      </w:r>
      <w:r>
        <w:rPr>
          <w:rFonts w:eastAsia="Times New Roman"/>
        </w:rPr>
        <w:t xml:space="preserve"> </w:t>
      </w:r>
    </w:p>
    <w:p w14:paraId="303DB76C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166/95</w:t>
      </w:r>
      <w:r>
        <w:t xml:space="preserve"> </w:t>
      </w:r>
    </w:p>
    <w:p w14:paraId="4AB27FE1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E0A5D1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průmyslu a obchodu přijala</w:t>
      </w:r>
    </w:p>
    <w:p w14:paraId="11461CEB" w14:textId="0DED1895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296</w:t>
        </w:r>
      </w:hyperlink>
    </w:p>
    <w:p w14:paraId="49D01C9E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s tím, že v konečném znění návrhu zákona bude vyřešena účast ministerstev financí a pro hospodářskou soutěž při zahajování a provádění antidumpingového řízení.</w:t>
      </w:r>
      <w:r>
        <w:rPr>
          <w:rFonts w:eastAsia="Times New Roman"/>
        </w:rPr>
        <w:t xml:space="preserve"> </w:t>
      </w:r>
    </w:p>
    <w:p w14:paraId="4FE6AA8C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 xml:space="preserve">3. Návrh zákona o neziskových právnických osobách, a kterým se </w:t>
      </w:r>
      <w:r>
        <w:rPr>
          <w:rFonts w:ascii="Times New Roman CE" w:hAnsi="Times New Roman CE" w:cs="Times New Roman CE"/>
        </w:rPr>
        <w:t>mění a doplňuje zákon č. 586/1992 Sb., o dani z příjmů, ve znění pozdějších předpisů, zákon č. 338/1992 Sb., o dani z nemovitostí, ve znění zákona č. 315/1993 Sb. a zákona č. 242/1994 Sb., a zákon č. 357/1992 Sb., o dani dědické, dani darovací a dani z převodu nemovitostí, ve znění pozdějších předpisů</w:t>
      </w:r>
      <w:r>
        <w:t xml:space="preserve"> </w:t>
      </w:r>
    </w:p>
    <w:p w14:paraId="5F298BD5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367/95</w:t>
      </w:r>
      <w:r>
        <w:t xml:space="preserve"> </w:t>
      </w:r>
    </w:p>
    <w:p w14:paraId="57E65573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690C45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přijala</w:t>
      </w:r>
    </w:p>
    <w:p w14:paraId="6B0897B1" w14:textId="0166C0D3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297</w:t>
        </w:r>
      </w:hyperlink>
    </w:p>
    <w:p w14:paraId="43B05F55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nebudou vzata v úvahu doporučení obsažená ve stanovisku předsedy Legislativní rady vlády v jeho části II a to k § 8 (odstavec 2. stanoviska), k § l3 (odstavec l. stanoviska), k § l6 (třetí a čtvrtá odrážka), k § l9 (odstavec 2. stanoviska k § l9 odstavci l návrhu), k § 2O (odstavec 2. stanoviska), k §§ 24 a 25, dále s tím, že § lO bude navržen ve variantě II, že bude zpřesněno znění § l6 odst. l písm. h.) návrhu a dále s tím, že bude navržena účinnost zákona dnem l. ledna l996.</w:t>
      </w:r>
      <w:r>
        <w:rPr>
          <w:rFonts w:eastAsia="Times New Roman"/>
        </w:rPr>
        <w:t xml:space="preserve"> </w:t>
      </w:r>
    </w:p>
    <w:p w14:paraId="6046076F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zákon České národní rady č. 381/1991 Sb., o Komoře veterinárních lékařů České republiky</w:t>
      </w:r>
      <w:r>
        <w:t xml:space="preserve"> </w:t>
      </w:r>
    </w:p>
    <w:p w14:paraId="79981911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263/95</w:t>
      </w:r>
      <w:r>
        <w:t xml:space="preserve"> </w:t>
      </w:r>
    </w:p>
    <w:p w14:paraId="5B06A905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98F0ACC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zemědělství přijala</w:t>
      </w:r>
    </w:p>
    <w:p w14:paraId="6F9DEFC0" w14:textId="0561C1C3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298.</w:t>
        </w:r>
      </w:hyperlink>
    </w:p>
    <w:p w14:paraId="19038912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nařízení vlády o prohlášení území ucelených částí vybraných měst a obcí s dochovanými soubory lidové architektury za památkové rezervace</w:t>
      </w:r>
      <w:r>
        <w:rPr>
          <w:rFonts w:eastAsia="Times New Roman"/>
        </w:rPr>
        <w:t xml:space="preserve"> </w:t>
      </w:r>
    </w:p>
    <w:p w14:paraId="37AE35CE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423/95</w:t>
      </w:r>
      <w:r>
        <w:t xml:space="preserve"> </w:t>
      </w:r>
    </w:p>
    <w:p w14:paraId="3152F781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EDD745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 přijala</w:t>
      </w:r>
    </w:p>
    <w:p w14:paraId="7D684FE0" w14:textId="6579F52E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299.</w:t>
        </w:r>
      </w:hyperlink>
    </w:p>
    <w:p w14:paraId="25CD2E1A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Situační zpráva o výstavbě ropovodu z Ingolstadtu do Kralup nad Vltavou a návrh na restrukturalizaci jeho financování</w:t>
      </w:r>
      <w:r>
        <w:rPr>
          <w:rFonts w:eastAsia="Times New Roman"/>
        </w:rPr>
        <w:t xml:space="preserve"> </w:t>
      </w:r>
    </w:p>
    <w:p w14:paraId="4B6E5A4F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421/95</w:t>
      </w:r>
      <w:r>
        <w:t xml:space="preserve"> </w:t>
      </w:r>
    </w:p>
    <w:p w14:paraId="638B71BF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979F8C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průmyslu a obchodu přijala</w:t>
      </w:r>
    </w:p>
    <w:p w14:paraId="0ED0C509" w14:textId="56317EB2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300.</w:t>
        </w:r>
      </w:hyperlink>
    </w:p>
    <w:p w14:paraId="7A239174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nového Statutu Rady pro zpravodajskou činnost</w:t>
      </w:r>
      <w:r>
        <w:rPr>
          <w:rFonts w:eastAsia="Times New Roman"/>
        </w:rPr>
        <w:t xml:space="preserve"> </w:t>
      </w:r>
    </w:p>
    <w:p w14:paraId="41900F45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368/95</w:t>
      </w:r>
      <w:r>
        <w:t xml:space="preserve"> </w:t>
      </w:r>
    </w:p>
    <w:p w14:paraId="4EA694EB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ABE6D1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návrh předložený předsedou vlády neprojednávala.</w:t>
      </w:r>
      <w:r>
        <w:t xml:space="preserve"> </w:t>
      </w:r>
    </w:p>
    <w:p w14:paraId="48C2CBE6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8. Zpráva o pracovní situaci v České správě sociálního zabezpečení</w:t>
      </w:r>
      <w:r>
        <w:t xml:space="preserve"> </w:t>
      </w:r>
    </w:p>
    <w:p w14:paraId="74150693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415/95</w:t>
      </w:r>
      <w:r>
        <w:t xml:space="preserve"> </w:t>
      </w:r>
    </w:p>
    <w:p w14:paraId="65AA354E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CBCD92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práce a sociálních věcí a přijala</w:t>
      </w:r>
    </w:p>
    <w:p w14:paraId="1E9A4AE2" w14:textId="1A902D8E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301.</w:t>
        </w:r>
      </w:hyperlink>
    </w:p>
    <w:p w14:paraId="203788B6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Informace o vývoji a stavu trestního soudnictví</w:t>
      </w:r>
      <w:r>
        <w:rPr>
          <w:rFonts w:eastAsia="Times New Roman"/>
        </w:rPr>
        <w:t xml:space="preserve"> </w:t>
      </w:r>
    </w:p>
    <w:p w14:paraId="0D8461F9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4O4/95</w:t>
      </w:r>
      <w:r>
        <w:t xml:space="preserve"> </w:t>
      </w:r>
    </w:p>
    <w:p w14:paraId="2AAF353F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9A76AC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26C77496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a) v z a l a n a v ě d o m í informaci předloženou ministrem spravedlnosti,</w:t>
      </w:r>
      <w:r>
        <w:t xml:space="preserve"> </w:t>
      </w:r>
    </w:p>
    <w:p w14:paraId="4CD058A3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b) u l o ž i l a ministru spravedlnosti informovat do 31. srpna l995 vládu o vývoji a stavu soudnictví v oblasti obchodního práva.</w:t>
      </w:r>
      <w:r>
        <w:t xml:space="preserve"> </w:t>
      </w:r>
    </w:p>
    <w:p w14:paraId="6FE53D41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1O. Návrh na podpis a ratifikaci Evropské dohody o osobách účastnících se řízení před Evropskou komisí a Soudem pro lidská práva</w:t>
      </w:r>
      <w:r>
        <w:t xml:space="preserve"> </w:t>
      </w:r>
    </w:p>
    <w:p w14:paraId="486BD0DD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4OO/95</w:t>
      </w:r>
      <w:r>
        <w:t xml:space="preserve"> </w:t>
      </w:r>
    </w:p>
    <w:p w14:paraId="6B3877A3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52A1BF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</w:t>
      </w:r>
      <w:r>
        <w:t xml:space="preserve"> </w:t>
      </w:r>
    </w:p>
    <w:p w14:paraId="2D140E34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zahraničních věcí přijala</w:t>
      </w:r>
    </w:p>
    <w:p w14:paraId="7571B76E" w14:textId="788CE715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302</w:t>
        </w:r>
      </w:hyperlink>
    </w:p>
    <w:p w14:paraId="2696EF4C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upřesněno znění textu článku 4, odstavce 2, písm. a) Dohody a bude zpracována předkládací zpráva k Dohodě podle zadání vlády.</w:t>
      </w:r>
      <w:r>
        <w:rPr>
          <w:rFonts w:eastAsia="Times New Roman"/>
        </w:rPr>
        <w:t xml:space="preserve"> </w:t>
      </w:r>
    </w:p>
    <w:p w14:paraId="076705AA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ll. Návrh na sjednání "Dohody o dluhové službě a splácení mezi Evropským hospodářským společenstvím, nyní Evropským společenstvím jako věřitelem a Českou republikou jako dlužníkem a Českou národní bankou jako agentem dlužníka" a "Memoranda o porozumění mezi Evropským společenstvím a Českou republikou"</w:t>
      </w:r>
      <w:r>
        <w:t xml:space="preserve"> </w:t>
      </w:r>
    </w:p>
    <w:p w14:paraId="1650F013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424/95</w:t>
      </w:r>
      <w:r>
        <w:t xml:space="preserve"> </w:t>
      </w:r>
    </w:p>
    <w:p w14:paraId="3A16CDE9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E648A7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financí, ministrem zahraničních věcí a guvernérem České národní banky a přijala</w:t>
      </w:r>
    </w:p>
    <w:p w14:paraId="787DDC72" w14:textId="7E464D68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303.</w:t>
        </w:r>
      </w:hyperlink>
    </w:p>
    <w:p w14:paraId="0F7F00F2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sjednání smluv mezi Českou republikou a Spolkovou republikou Německo o výstavbě hraničních mostů na dálnici D5/A6 a mezinárodní silnici E49</w:t>
      </w:r>
      <w:r>
        <w:rPr>
          <w:rFonts w:eastAsia="Times New Roman"/>
        </w:rPr>
        <w:t xml:space="preserve"> </w:t>
      </w:r>
    </w:p>
    <w:p w14:paraId="1653FD63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419/95</w:t>
      </w:r>
      <w:r>
        <w:t xml:space="preserve"> </w:t>
      </w:r>
    </w:p>
    <w:p w14:paraId="2F2C7EA8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03B5A4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dopravy a zahraničních věcí</w:t>
      </w:r>
      <w:r>
        <w:t xml:space="preserve"> </w:t>
      </w:r>
    </w:p>
    <w:p w14:paraId="7E5C40C5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42DD0DC" w14:textId="6D443EFB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304,</w:t>
        </w:r>
      </w:hyperlink>
    </w:p>
    <w:p w14:paraId="5CB2552C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dopravy ověřit zajištění dostatečné kontroly vynakládaných finančních prostředků českou smluvní stranou při výstavbě hraničního mostu propojujícího českou dálnici D5 a německou dálnici A6.</w:t>
      </w:r>
      <w:r>
        <w:rPr>
          <w:rFonts w:eastAsia="Times New Roman"/>
        </w:rPr>
        <w:t xml:space="preserve"> </w:t>
      </w:r>
    </w:p>
    <w:p w14:paraId="407A5D3D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13. Návrh na sjednání Smlouvy mezi Českou republikou a Slovenskou republikou o spolupráci a vzájemné pomoci v oboru celnictví</w:t>
      </w:r>
      <w:r>
        <w:t xml:space="preserve"> </w:t>
      </w:r>
    </w:p>
    <w:p w14:paraId="3157C859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405/95</w:t>
      </w:r>
      <w:r>
        <w:t xml:space="preserve"> </w:t>
      </w:r>
    </w:p>
    <w:p w14:paraId="0FADDA59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9E3DE9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20B9C241" w14:textId="0C0EA55B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305.</w:t>
        </w:r>
      </w:hyperlink>
    </w:p>
    <w:p w14:paraId="115DEA58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zřízení silničních hraničních celních přechodů nebo na rozšíření jejich provozu s Polskou republikou, jakož i zahájení výstavby hraničních objektů včetně souvisejících spojení a komunikací a na zřízení celních letišť s mezinárodním provozem</w:t>
      </w:r>
      <w:r>
        <w:rPr>
          <w:rFonts w:eastAsia="Times New Roman"/>
        </w:rPr>
        <w:t xml:space="preserve"> </w:t>
      </w:r>
    </w:p>
    <w:p w14:paraId="5AF3E452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427/95</w:t>
      </w:r>
      <w:r>
        <w:t xml:space="preserve"> </w:t>
      </w:r>
    </w:p>
    <w:p w14:paraId="598AFA06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A6A906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a ministrem zahraničních věcí přijala</w:t>
      </w:r>
    </w:p>
    <w:p w14:paraId="6BAF13C8" w14:textId="6B7A5570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306.</w:t>
        </w:r>
      </w:hyperlink>
    </w:p>
    <w:p w14:paraId="3696E03C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sjednání Memoranda mezi vládou České republiky a vládou Bulharské republiky o liberalizaci vzájemných obchodních vztahů</w:t>
      </w:r>
      <w:r>
        <w:rPr>
          <w:rFonts w:eastAsia="Times New Roman"/>
        </w:rPr>
        <w:t xml:space="preserve"> </w:t>
      </w:r>
    </w:p>
    <w:p w14:paraId="55252BF2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412/95</w:t>
      </w:r>
      <w:r>
        <w:t xml:space="preserve"> </w:t>
      </w:r>
    </w:p>
    <w:p w14:paraId="0E13CE11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D50BEA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1036CA28" w14:textId="6B1A3F9E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307.</w:t>
        </w:r>
      </w:hyperlink>
    </w:p>
    <w:p w14:paraId="20F61236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Kontrolní závěr NKÚ z kontroly daně z příjmů právnických osob</w:t>
      </w:r>
      <w:r>
        <w:rPr>
          <w:rFonts w:eastAsia="Times New Roman"/>
        </w:rPr>
        <w:t xml:space="preserve"> </w:t>
      </w:r>
    </w:p>
    <w:p w14:paraId="1B256581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413/95</w:t>
      </w:r>
      <w:r>
        <w:t xml:space="preserve"> </w:t>
      </w:r>
    </w:p>
    <w:p w14:paraId="04B3CF12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1BAAC7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vlády a vedoucím Úřadu vlády I. Němcem u l o ž i l a místopředsedovi vlády pověřenému řízením Úřadu pro legislativu a veřejnou správu zpracovat a vládě předložit na jednání její schůze dne 31. května l995 výklad zákona č. 166/1993 Sb., o Nejvyšším kontrolním úřadu, vyjasňující oprávnění tohoto úřadu k zařazení subjektů, které nejsou příjemci žádných státních financí ani s nimi nenakládají, mezi kontrolované osoby.</w:t>
      </w:r>
      <w:r>
        <w:t xml:space="preserve"> </w:t>
      </w:r>
    </w:p>
    <w:p w14:paraId="1D73417A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17. Návrh na jmenování přednostů okresních úřadů Cheb a Praha-západ</w:t>
      </w:r>
      <w:r>
        <w:t xml:space="preserve"> </w:t>
      </w:r>
    </w:p>
    <w:p w14:paraId="69A3AD1A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428/95</w:t>
      </w:r>
      <w:r>
        <w:t xml:space="preserve"> </w:t>
      </w:r>
    </w:p>
    <w:p w14:paraId="4734A43C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8D759A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52E56CAF" w14:textId="022D3B50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308.</w:t>
        </w:r>
      </w:hyperlink>
    </w:p>
    <w:p w14:paraId="46876A50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zrušení části usnesení okresního shromáždění okresu Brno-venkov ze dne 27. 3. 1995</w:t>
      </w:r>
      <w:r>
        <w:rPr>
          <w:rFonts w:eastAsia="Times New Roman"/>
        </w:rPr>
        <w:t xml:space="preserve"> </w:t>
      </w:r>
    </w:p>
    <w:p w14:paraId="540658C0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4O3/95</w:t>
      </w:r>
      <w:r>
        <w:t xml:space="preserve"> </w:t>
      </w:r>
    </w:p>
    <w:p w14:paraId="1287A7DA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3F1176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038DCFB6" w14:textId="2F521563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309.</w:t>
        </w:r>
      </w:hyperlink>
    </w:p>
    <w:p w14:paraId="726625B2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Žádost o udělení výjimky podle ustanovení § 45 zák. č. 92/1991 Sb. v platném znění</w:t>
      </w:r>
      <w:r>
        <w:rPr>
          <w:rFonts w:eastAsia="Times New Roman"/>
        </w:rPr>
        <w:t xml:space="preserve"> </w:t>
      </w:r>
    </w:p>
    <w:p w14:paraId="53C120CA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425/95</w:t>
      </w:r>
      <w:r>
        <w:t xml:space="preserve"> </w:t>
      </w:r>
    </w:p>
    <w:p w14:paraId="3313BA6D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E3C7A9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</w:t>
      </w:r>
      <w:r>
        <w:t xml:space="preserve"> </w:t>
      </w:r>
    </w:p>
    <w:p w14:paraId="3B6F4CA0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7DB72BD" w14:textId="55B339EC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310,</w:t>
        </w:r>
      </w:hyperlink>
    </w:p>
    <w:p w14:paraId="78CD839D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členům vlády informovat do 26. května l995 předsedu vlády o postupu bezúplatných převodů majetku státu ke kterému mají právo hospodaření jimi založené nebo zřízené organizace, na židovské náboženské obce ve smyslu usnesení vlády z 9.března l994 č. l38.</w:t>
      </w:r>
      <w:r>
        <w:rPr>
          <w:rFonts w:eastAsia="Times New Roman"/>
        </w:rPr>
        <w:t xml:space="preserve"> </w:t>
      </w:r>
    </w:p>
    <w:p w14:paraId="7F3F1EC2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2O. Žádost o udělení výjimek podle ustanovení § 45 odst. 1 a 2 zákona č. 92/1991 Sb., o podmínkách převodu majetku státu na jiné osoby, ve znění pozdějších předpisů</w:t>
      </w:r>
      <w:r>
        <w:t xml:space="preserve"> </w:t>
      </w:r>
    </w:p>
    <w:p w14:paraId="338BFB14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416/95</w:t>
      </w:r>
      <w:r>
        <w:t xml:space="preserve"> </w:t>
      </w:r>
    </w:p>
    <w:p w14:paraId="1C2BF8D2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DF55FDD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hospodářství přijala</w:t>
      </w:r>
    </w:p>
    <w:p w14:paraId="296B7761" w14:textId="6864579D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311.</w:t>
        </w:r>
      </w:hyperlink>
    </w:p>
    <w:p w14:paraId="1ACF92C4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Rozhodnutí o privatizaci podle § 1O, odst. l zákona č. 92/91 Sb., o podmínkách převodu majetku státu na jiné osoby, ve znění pozdějších předpisů (materiál č. 92)</w:t>
      </w:r>
      <w:r>
        <w:rPr>
          <w:rFonts w:eastAsia="Times New Roman"/>
        </w:rPr>
        <w:t xml:space="preserve"> </w:t>
      </w:r>
    </w:p>
    <w:p w14:paraId="283E2A78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426/95</w:t>
      </w:r>
      <w:r>
        <w:t xml:space="preserve"> </w:t>
      </w:r>
    </w:p>
    <w:p w14:paraId="73EFF915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33A35F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500F6062" w14:textId="1E571090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312.</w:t>
        </w:r>
      </w:hyperlink>
    </w:p>
    <w:p w14:paraId="78F16684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zákona, kterým se mění a doplňuje zákon č. l4O/l96l Sb., trestní zákon</w:t>
      </w:r>
      <w:r>
        <w:rPr>
          <w:rFonts w:eastAsia="Times New Roman"/>
        </w:rPr>
        <w:t xml:space="preserve"> </w:t>
      </w:r>
    </w:p>
    <w:p w14:paraId="5FF6CAC4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CDA1F0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přijala</w:t>
      </w:r>
    </w:p>
    <w:p w14:paraId="00CA3AC6" w14:textId="759024D2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313.</w:t>
        </w:r>
      </w:hyperlink>
    </w:p>
    <w:p w14:paraId="693D7573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Teze k referátu o stavu místní a regionální demokracie v České republice, který bude přednesen zástupcem vlády na 2. zasedání Kongresu místních a regionálních orgánů Evropy (CPLRE) ve Štrasburku</w:t>
      </w:r>
      <w:r>
        <w:rPr>
          <w:rFonts w:eastAsia="Times New Roman"/>
        </w:rPr>
        <w:t xml:space="preserve"> </w:t>
      </w:r>
    </w:p>
    <w:p w14:paraId="75CFAD78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440/1995</w:t>
      </w:r>
      <w:r>
        <w:t xml:space="preserve"> </w:t>
      </w:r>
    </w:p>
    <w:p w14:paraId="3B3EC117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8269CB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332173CD" w14:textId="5C23FADB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314.</w:t>
        </w:r>
      </w:hyperlink>
    </w:p>
    <w:p w14:paraId="25645E69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Změna usnesení vlády z l5. března l995 č. l54, o poskytnutí přímé materiální pomoci obětem válečného konfliktu na území republiky Bosna a Hercegovina</w:t>
      </w:r>
      <w:r>
        <w:rPr>
          <w:rFonts w:eastAsia="Times New Roman"/>
        </w:rPr>
        <w:t xml:space="preserve"> </w:t>
      </w:r>
    </w:p>
    <w:p w14:paraId="16869AF1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F2DD40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z podnětu ministra vnitra přijala</w:t>
      </w:r>
    </w:p>
    <w:p w14:paraId="341EC7F4" w14:textId="4D9E8391" w:rsidR="0051108C" w:rsidRDefault="005110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315.</w:t>
        </w:r>
      </w:hyperlink>
    </w:p>
    <w:p w14:paraId="1BE99E1B" w14:textId="77777777" w:rsidR="0051108C" w:rsidRDefault="005110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Žádost o změnu termínu pro předložení návrhů zákonů souvisejících s reformou veřejné správy Poslanecké sněmovně Parlamentu České republiky a změna úkolu místopředsedy vlády a ministra financí</w:t>
      </w:r>
      <w:r>
        <w:rPr>
          <w:rFonts w:eastAsia="Times New Roman"/>
        </w:rPr>
        <w:t xml:space="preserve"> </w:t>
      </w:r>
    </w:p>
    <w:p w14:paraId="6C6329B4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43CB90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z podnětu předsedy vlády</w:t>
      </w:r>
      <w:r>
        <w:t xml:space="preserve"> </w:t>
      </w:r>
    </w:p>
    <w:p w14:paraId="4AE51FD0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a) p o v ě ř i l a předsedu vlády požádat předsedu Poslanecké sněmovny Parlamentu České republiky o změnu termínů pro předložení návrhů zákonů souvisejících s reformou veřejné správy na základě usnesení Poslanecké sněmovny Parlamentu České republiky z l5. prosince l994 č. 553 tak, aby předložení návrhů těchto zákonů bylo vládou provedeno do 6 měsíců po schválení ústavních zákonů o vytvoření a působnosti vyšších územních samosprávných celků Poslaneckou sněmovnou Parlamentu České republiky,</w:t>
      </w:r>
      <w:r>
        <w:t xml:space="preserve"> </w:t>
      </w:r>
    </w:p>
    <w:p w14:paraId="530259DC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b) z m ě n i l a úkol místopředsedy vlády a ministra financí stanovený v bodě 2. přehledu legislativních úkolů na květen l995 v usnesení vlády z l. února l995 č. 60, o plánu práce vlády na l. pololetí l995 a výhledu na 2. pololetí l995, a to předložení návrhu zásad zákona o pravidlech hospodaření s rozpočtovými prostředky České republiky a obcí v České republice (rozpočtová pravidla), tak, že namísto zásad zákona budou předloženy základní orientační teze uvažované změny rozpočtových pravidel.</w:t>
      </w:r>
      <w:r>
        <w:t xml:space="preserve"> </w:t>
      </w:r>
    </w:p>
    <w:p w14:paraId="1C3E2AF6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26. Stanovisko vlády k dopisu prezidenta republiky v souvislosti s nepřijetím návrhu zákona o ocenění některých účastníků národního boje za osvobození Poslaneckou sněmovnou Parlamentu České republiky</w:t>
      </w:r>
      <w:r>
        <w:t xml:space="preserve"> </w:t>
      </w:r>
    </w:p>
    <w:p w14:paraId="1802D146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231CDB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V l á d a se z podnětu předsedy vlády s e z n á m i l a s dopisem prezidenta republiky v souvislosti s nepřijetím návrhu zákona o ocenění některých účastníků národního boje za osvobození Poslaneckou sněmovnou Parlamentu České republiky a p o v ě ř i l a předsedu vlády tlumočit prezidentu republiky stanovisko vlády v této záležitosti.</w:t>
      </w:r>
      <w:r>
        <w:t xml:space="preserve"> </w:t>
      </w:r>
    </w:p>
    <w:p w14:paraId="4116E0C4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 xml:space="preserve">* * * </w:t>
      </w:r>
    </w:p>
    <w:p w14:paraId="25B98590" w14:textId="77777777" w:rsidR="0051108C" w:rsidRDefault="0051108C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945AE4B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l. Informace o závěrech projednání žádosti České republiky o vstup do OECD výborem pro politiku životního prostředí (předložil ministr životního prostředí)</w:t>
      </w:r>
      <w:r>
        <w:t xml:space="preserve"> </w:t>
      </w:r>
    </w:p>
    <w:p w14:paraId="613C49F0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422/95</w:t>
      </w:r>
      <w:r>
        <w:t xml:space="preserve"> </w:t>
      </w:r>
    </w:p>
    <w:p w14:paraId="60ED5C18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2. Kontrolní závěr NKÚ z kontroly hospodaření s prostředky státního rozpočtu v zařízeních sociální péče pro tělesně a mentálně postiženou mládež (předložil ministr vlády a vedoucí Úřadu vlády I.Němec)</w:t>
      </w:r>
      <w:r>
        <w:t xml:space="preserve"> </w:t>
      </w:r>
    </w:p>
    <w:p w14:paraId="0CF2F1BE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414/95</w:t>
      </w:r>
      <w:r>
        <w:t xml:space="preserve"> </w:t>
      </w:r>
    </w:p>
    <w:p w14:paraId="5F30C483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3. Zpráva o kontrolní činnosti v působnosti Ministerstva financí za rok 1994 (předložil místopředseda vlády a ministr financí)</w:t>
      </w:r>
      <w:r>
        <w:t xml:space="preserve"> </w:t>
      </w:r>
    </w:p>
    <w:p w14:paraId="6CEFC229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408/95</w:t>
      </w:r>
      <w:r>
        <w:t xml:space="preserve"> </w:t>
      </w:r>
    </w:p>
    <w:p w14:paraId="44F8804D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4. Informace o pracovní návštěvě ministra kultury ČR Pavla Tigrida v Lucembursku ve dnech 2. - 4. dubna 1995 (předložil ministr kultury)</w:t>
      </w:r>
      <w:r>
        <w:t xml:space="preserve"> </w:t>
      </w:r>
    </w:p>
    <w:p w14:paraId="0C5EE8E9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č.j. 401/95</w:t>
      </w:r>
      <w:r>
        <w:t xml:space="preserve"> </w:t>
      </w:r>
    </w:p>
    <w:p w14:paraId="3019EB71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D6A1BC0" w14:textId="77777777" w:rsidR="0051108C" w:rsidRDefault="0051108C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1AB77C74" w14:textId="77777777" w:rsidR="0051108C" w:rsidRDefault="0051108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8C"/>
    <w:rsid w:val="0051108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7C9F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14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5-24" TargetMode="External"/><Relationship Id="rId13" Type="http://schemas.openxmlformats.org/officeDocument/2006/relationships/hyperlink" Target="file:///c:\redir.nsf%3fRedirect&amp;To=\66bbfabee8e70f37c125642e0052aae5\2e87d3f18da03474c12564b500284461%3fOpen&amp;Name=CN=Ghoul\O=ENV\C=CZ&amp;Id=C1256A62004E5036" TargetMode="External"/><Relationship Id="rId18" Type="http://schemas.openxmlformats.org/officeDocument/2006/relationships/hyperlink" Target="file:///c:\redir.nsf%3fRedirect&amp;To=\66bbfabee8e70f37c125642e0052aae5\4791007527d58c78c12564b50028445e%3fOpen&amp;Name=CN=Ghoul\O=ENV\C=CZ&amp;Id=C1256A62004E5036" TargetMode="External"/><Relationship Id="rId26" Type="http://schemas.openxmlformats.org/officeDocument/2006/relationships/hyperlink" Target="file:///c:\redir.nsf%3fRedirect&amp;To=\66bbfabee8e70f37c125642e0052aae5\63973c6782f9db00c12564b500284476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790dd47158576029c12564b50028445b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36cb90958fdb8243c12564b500284462%3fOpen&amp;Name=CN=Ghoul\O=ENV\C=CZ&amp;Id=C1256A62004E5036" TargetMode="External"/><Relationship Id="rId17" Type="http://schemas.openxmlformats.org/officeDocument/2006/relationships/hyperlink" Target="file:///c:\redir.nsf%3fRedirect&amp;To=\66bbfabee8e70f37c125642e0052aae5\2313f5bc24150a5dc12564b50028445f%3fOpen&amp;Name=CN=Ghoul\O=ENV\C=CZ&amp;Id=C1256A62004E5036" TargetMode="External"/><Relationship Id="rId25" Type="http://schemas.openxmlformats.org/officeDocument/2006/relationships/hyperlink" Target="file:///c:\redir.nsf%3fRedirect&amp;To=\66bbfabee8e70f37c125642e0052aae5\97158cf3443c3a26c12564b5002842cd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5ede30f9e7510cfc12564b500284460%3fOpen&amp;Name=CN=Ghoul\O=ENV\C=CZ&amp;Id=C1256A62004E5036" TargetMode="External"/><Relationship Id="rId20" Type="http://schemas.openxmlformats.org/officeDocument/2006/relationships/hyperlink" Target="file:///c:\redir.nsf%3fRedirect&amp;To=\66bbfabee8e70f37c125642e0052aae5\e3dfb7ac35b5f064c12564b50028445c%3fOpen&amp;Name=CN=Ghoul\O=ENV\C=CZ&amp;Id=C1256A62004E5036" TargetMode="External"/><Relationship Id="rId29" Type="http://schemas.openxmlformats.org/officeDocument/2006/relationships/hyperlink" Target="file:///c:\redir.nsf%3fRedirect&amp;To=\66bbfabee8e70f37c125642e0052aae5\b660baed7b9b4faec12564b5002842cb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06c6479bc1b3d49c12564b5002842c8%3fOpen&amp;Name=CN=Ghoul\O=ENV\C=CZ&amp;Id=C1256A62004E5036" TargetMode="External"/><Relationship Id="rId24" Type="http://schemas.openxmlformats.org/officeDocument/2006/relationships/hyperlink" Target="file:///c:\redir.nsf%3fRedirect&amp;To=\66bbfabee8e70f37c125642e0052aae5\b947945d49ce8a11c12564b50028445a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ee38623a347cb64c12564b5002842c6%3fOpen&amp;Name=CN=Ghoul\O=ENV\C=CZ&amp;Id=C1256A62004E5036" TargetMode="External"/><Relationship Id="rId23" Type="http://schemas.openxmlformats.org/officeDocument/2006/relationships/hyperlink" Target="file:///c:\redir.nsf%3fRedirect&amp;To=\66bbfabee8e70f37c125642e0052aae5\fd4fa3311d99ab75c12564b5002842c4%3fOpen&amp;Name=CN=Ghoul\O=ENV\C=CZ&amp;Id=C1256A62004E5036" TargetMode="External"/><Relationship Id="rId28" Type="http://schemas.openxmlformats.org/officeDocument/2006/relationships/hyperlink" Target="file:///c:\redir.nsf%3fRedirect&amp;To=\66bbfabee8e70f37c125642e0052aae5\c0d20da1fd67c69fc12564b5002842cc%3fOpen&amp;Name=CN=Ghoul\O=ENV\C=CZ&amp;Id=C1256A62004E5036" TargetMode="External"/><Relationship Id="rId10" Type="http://schemas.openxmlformats.org/officeDocument/2006/relationships/hyperlink" Target="file:///c:\redir.nsf%3fRedirect&amp;To=\66bbfabee8e70f37c125642e0052aae5\211443ac5655fcd3c12564b5002842c9%3fOpen&amp;Name=CN=Ghoul\O=ENV\C=CZ&amp;Id=C1256A62004E5036" TargetMode="External"/><Relationship Id="rId19" Type="http://schemas.openxmlformats.org/officeDocument/2006/relationships/hyperlink" Target="file:///c:\redir.nsf%3fRedirect&amp;To=\66bbfabee8e70f37c125642e0052aae5\b4c83770713a5247c12564b50028445d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972888690fa4053c12564b5002842c7%3fOpen&amp;Name=CN=Ghoul\O=ENV\C=CZ&amp;Id=C1256A62004E5036" TargetMode="External"/><Relationship Id="rId22" Type="http://schemas.openxmlformats.org/officeDocument/2006/relationships/hyperlink" Target="file:///c:\redir.nsf%3fRedirect&amp;To=\66bbfabee8e70f37c125642e0052aae5\74fecac71bf725b8c12564b5002842c5%3fOpen&amp;Name=CN=Ghoul\O=ENV\C=CZ&amp;Id=C1256A62004E5036" TargetMode="External"/><Relationship Id="rId27" Type="http://schemas.openxmlformats.org/officeDocument/2006/relationships/hyperlink" Target="file:///c:\redir.nsf%3fRedirect&amp;To=\66bbfabee8e70f37c125642e0052aae5\03eac992d97353ebc12564b500284475%3fOpen&amp;Name=CN=Ghoul\O=ENV\C=CZ&amp;Id=C1256A62004E5036" TargetMode="External"/><Relationship Id="rId30" Type="http://schemas.openxmlformats.org/officeDocument/2006/relationships/hyperlink" Target="file:///c:\redir.nsf%3fRedirect&amp;To=\66bbfabee8e70f37c125642e0052aae5\6895687ac059047dc12564b5002842c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2472</Words>
  <Characters>14095</Characters>
  <Application>Microsoft Office Word</Application>
  <DocSecurity>0</DocSecurity>
  <Lines>117</Lines>
  <Paragraphs>33</Paragraphs>
  <ScaleCrop>false</ScaleCrop>
  <Company>Profinit EU s.r.o.</Company>
  <LinksUpToDate>false</LinksUpToDate>
  <CharactersWithSpaces>16534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