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1C15D24" w14:textId="77777777" w:rsidR="007D7D51" w:rsidRDefault="007D7D51">
      <w:pPr>
        <w:pStyle w:val="z-TopofForm"/>
      </w:pPr>
      <w:r>
        <w:t>Top of Form</w:t>
      </w:r>
    </w:p>
    <w:p w14:paraId="221F2F2F" w14:textId="709B78E1" w:rsidR="007D7D51" w:rsidRDefault="007D7D51">
      <w:pPr>
        <w:pStyle w:val="Heading5"/>
        <w:divId w:val="60052768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1995-06-07</w:t>
        </w:r>
      </w:hyperlink>
    </w:p>
    <w:p w14:paraId="2161D05A" w14:textId="77777777" w:rsidR="007D7D51" w:rsidRDefault="007D7D51">
      <w:pPr>
        <w:rPr>
          <w:rFonts w:eastAsia="Times New Roman"/>
        </w:rPr>
      </w:pPr>
    </w:p>
    <w:p w14:paraId="4082E1F7" w14:textId="77777777" w:rsidR="007D7D51" w:rsidRDefault="007D7D51">
      <w:pPr>
        <w:divId w:val="152968556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8238F54" w14:textId="77777777" w:rsidR="007D7D51" w:rsidRDefault="007D7D51">
      <w:pPr>
        <w:divId w:val="368266296"/>
        <w:rPr>
          <w:rFonts w:eastAsia="Times New Roman"/>
        </w:rPr>
      </w:pPr>
      <w:r>
        <w:rPr>
          <w:rFonts w:eastAsia="Times New Roman"/>
        </w:rPr>
        <w:pict w14:anchorId="0712C8D0"/>
      </w:r>
      <w:r>
        <w:rPr>
          <w:rFonts w:eastAsia="Times New Roman"/>
        </w:rPr>
        <w:pict w14:anchorId="76AE835D"/>
      </w:r>
      <w:r>
        <w:rPr>
          <w:rFonts w:eastAsia="Times New Roman"/>
          <w:noProof/>
        </w:rPr>
        <w:drawing>
          <wp:inline distT="0" distB="0" distL="0" distR="0" wp14:anchorId="1FF282A5" wp14:editId="358AB12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781D" w14:textId="77777777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1980C8B" w14:textId="77777777">
        <w:trPr>
          <w:tblCellSpacing w:w="0" w:type="dxa"/>
        </w:trPr>
        <w:tc>
          <w:tcPr>
            <w:tcW w:w="2500" w:type="pct"/>
            <w:hideMark/>
          </w:tcPr>
          <w:p w14:paraId="0292A7E9" w14:textId="77777777" w:rsidR="007D7D51" w:rsidRDefault="007D7D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2047/95</w:t>
            </w:r>
          </w:p>
        </w:tc>
        <w:tc>
          <w:tcPr>
            <w:tcW w:w="2500" w:type="pct"/>
            <w:hideMark/>
          </w:tcPr>
          <w:p w14:paraId="4F405209" w14:textId="77777777" w:rsidR="007D7D51" w:rsidRDefault="007D7D5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června 1995</w:t>
            </w:r>
          </w:p>
        </w:tc>
      </w:tr>
    </w:tbl>
    <w:p w14:paraId="71262934" w14:textId="77777777" w:rsidR="007D7D51" w:rsidRDefault="007D7D5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7. června 1995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6007A1B4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FD3734C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1. Návrh na ratifikaci Úmluvy o zákazu vývoje, výroby, hromadění zásob a použití chemických zbraní a jejich zničení</w:t>
      </w:r>
      <w:r>
        <w:t xml:space="preserve"> </w:t>
      </w:r>
    </w:p>
    <w:p w14:paraId="0DFAFC96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285/95</w:t>
      </w:r>
      <w:r>
        <w:t xml:space="preserve"> </w:t>
      </w:r>
    </w:p>
    <w:p w14:paraId="70B8AF07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81F83A5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  <w:r>
        <w:t xml:space="preserve"> </w:t>
      </w:r>
    </w:p>
    <w:p w14:paraId="6C0A448E" w14:textId="45A0AE0E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332.</w:t>
        </w:r>
      </w:hyperlink>
    </w:p>
    <w:p w14:paraId="60F4DFEA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zásad zákona o některých opatřeních souvisejících se zákazem chemických zbraní a o doplnění zákona č. 50/1976 Sb., o územním plánování a stavebním řádu (stavební zákon), ve znění pozdějších předpisů, zákona č. 455/1991 Sb., o živnostenském podnikání (živnostenský zákon), ve znění pozdějších předpisů a zákona č. 140/1961 Sb., trestní zákon, ve znění pozdějších předpisů</w:t>
      </w:r>
      <w:r>
        <w:rPr>
          <w:rFonts w:eastAsia="Times New Roman"/>
        </w:rPr>
        <w:t xml:space="preserve"> </w:t>
      </w:r>
    </w:p>
    <w:p w14:paraId="2D3EF63E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286/95</w:t>
      </w:r>
      <w:r>
        <w:t xml:space="preserve"> </w:t>
      </w:r>
    </w:p>
    <w:p w14:paraId="63796104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28BD502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</w:t>
      </w:r>
      <w:r>
        <w:t xml:space="preserve"> </w:t>
      </w:r>
    </w:p>
    <w:p w14:paraId="09777F8D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865052F" w14:textId="6DDA0819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333</w:t>
        </w:r>
      </w:hyperlink>
    </w:p>
    <w:p w14:paraId="6684C86B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nebudou vzaty v úvahu připomínky uvedené ve stanovisku předsedy Legislativní rady vlády k bodu l a 3 části II/A (Obecně) a k zásadám č. 35 a 37 a dále budou vzaty </w:t>
      </w:r>
      <w:r>
        <w:rPr>
          <w:rFonts w:ascii="Times New Roman CE" w:eastAsia="Times New Roman" w:hAnsi="Times New Roman CE" w:cs="Times New Roman CE"/>
        </w:rPr>
        <w:t>v úvahu připomínky místopředsedy vlády a ministra zemědělství, ministra spravedlnosti a náměstka ministra životního prostředí a bude doplněn právní a ekonomický rozbor o vymezení vztahu navrhovaného zákona k připravovanému zákonu o registraci a oznamování chemických látek a přípravků,</w:t>
      </w:r>
      <w:r>
        <w:rPr>
          <w:rFonts w:eastAsia="Times New Roman"/>
        </w:rPr>
        <w:t xml:space="preserve"> </w:t>
      </w:r>
    </w:p>
    <w:p w14:paraId="0F09A3BD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b) u l o ž i l a ministru průmyslu a obchodu, aby souběžně s ratifikací Úmluvy o zákazu vývoje, výroby, hromadění zásob a použití chemických zbraní a jejich zničení, zabezpečil předložení navazujícího zákona včetně návrhů prováděcích předpisů.</w:t>
      </w:r>
      <w:r>
        <w:t xml:space="preserve"> </w:t>
      </w:r>
    </w:p>
    <w:p w14:paraId="7FDB4E97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3. Návrh ústavního zákona, kterým se doplňuje ústavní zákon České národní rady č. 1/1993 Sb., Ústava České republiky (tisk č. 1705)</w:t>
      </w:r>
      <w:r>
        <w:t xml:space="preserve"> </w:t>
      </w:r>
    </w:p>
    <w:p w14:paraId="1B62FB42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391/95</w:t>
      </w:r>
      <w:r>
        <w:t xml:space="preserve"> </w:t>
      </w:r>
    </w:p>
    <w:p w14:paraId="3F4DC4F4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589A467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2C74BC24" w14:textId="666BEF39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334.</w:t>
        </w:r>
      </w:hyperlink>
    </w:p>
    <w:p w14:paraId="156277D0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zákona, kterým se mění a doplňuje zákon ČNR č. 200/1990 Sb., o přestupcích, ve znění pozdějších předpisů (tisk č. 1742)</w:t>
      </w:r>
      <w:r>
        <w:rPr>
          <w:rFonts w:eastAsia="Times New Roman"/>
        </w:rPr>
        <w:t xml:space="preserve"> </w:t>
      </w:r>
    </w:p>
    <w:p w14:paraId="7D9B2C05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406/95</w:t>
      </w:r>
      <w:r>
        <w:t xml:space="preserve"> </w:t>
      </w:r>
    </w:p>
    <w:p w14:paraId="44F4A444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84EA6A2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7C5B7E33" w14:textId="22027472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335.</w:t>
        </w:r>
      </w:hyperlink>
    </w:p>
    <w:p w14:paraId="5D05535A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Doplňování zdrojů České inkasní s.r.o. k úhradě jejích závazků v rámci II. fáze transformace ČSOB a.s.</w:t>
      </w:r>
      <w:r>
        <w:rPr>
          <w:rFonts w:eastAsia="Times New Roman"/>
        </w:rPr>
        <w:t xml:space="preserve"> </w:t>
      </w:r>
    </w:p>
    <w:p w14:paraId="305B8208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008/95</w:t>
      </w:r>
      <w:r>
        <w:t xml:space="preserve"> </w:t>
      </w:r>
    </w:p>
    <w:p w14:paraId="41983AAF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81013E2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materiál předložený místopředsedou vlády a ministrem financí a přijala</w:t>
      </w:r>
      <w:r>
        <w:t xml:space="preserve"> </w:t>
      </w:r>
    </w:p>
    <w:p w14:paraId="6BD78371" w14:textId="52DDAC2A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336</w:t>
        </w:r>
      </w:hyperlink>
    </w:p>
    <w:p w14:paraId="45DA64AF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vzata v úvahu připomínka ministra vlády a vedoucího Úřadu vlády I. Němce.</w:t>
      </w:r>
      <w:r>
        <w:rPr>
          <w:rFonts w:eastAsia="Times New Roman"/>
        </w:rPr>
        <w:t xml:space="preserve"> </w:t>
      </w:r>
    </w:p>
    <w:p w14:paraId="6655774C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6. Informace o nové koncepci Rady pro sociální dialog České republiky</w:t>
      </w:r>
      <w:r>
        <w:t xml:space="preserve"> </w:t>
      </w:r>
    </w:p>
    <w:p w14:paraId="77CE83C2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462/95</w:t>
      </w:r>
      <w:r>
        <w:t xml:space="preserve"> </w:t>
      </w:r>
    </w:p>
    <w:p w14:paraId="48A1B1EC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E337BBA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práce a sociálních věcí a</w:t>
      </w:r>
      <w:r>
        <w:t xml:space="preserve"> </w:t>
      </w:r>
    </w:p>
    <w:p w14:paraId="181E9C56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9605C31" w14:textId="6ABC18D5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337,</w:t>
        </w:r>
      </w:hyperlink>
    </w:p>
    <w:p w14:paraId="30BDB28C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financí a ministru práce a sociálních věcí projednat s ostatními členy Rady pro sociální dialog (dále jen "Rada") změnu názvu Rady, vypuštění slova "tripartitním" z článku 1 předloženého Statutu Rady a doplnění bližší specifikace okruhu sociálních otázek (písmeno d/ článku 2 předloženého Statutu Rady).</w:t>
      </w:r>
      <w:r>
        <w:rPr>
          <w:rFonts w:eastAsia="Times New Roman"/>
        </w:rPr>
        <w:t xml:space="preserve"> </w:t>
      </w:r>
    </w:p>
    <w:p w14:paraId="78776A2A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7. Návrh nového Statutu Rady pro zpravodajskou činnost</w:t>
      </w:r>
      <w:r>
        <w:t xml:space="preserve"> </w:t>
      </w:r>
    </w:p>
    <w:p w14:paraId="1830CE23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368/95</w:t>
      </w:r>
      <w:r>
        <w:t xml:space="preserve"> </w:t>
      </w:r>
    </w:p>
    <w:p w14:paraId="2360D861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559B58A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návrh předložený předsedou vlády neprojednávala.</w:t>
      </w:r>
      <w:r>
        <w:t xml:space="preserve"> </w:t>
      </w:r>
    </w:p>
    <w:p w14:paraId="6D9640BA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8. Návrh na dlouhodobé koncepční posuny výkonu státní správy k občanům a krátkodobá řešení potřeb přiblížení výkonu státní</w:t>
      </w:r>
      <w:r>
        <w:t xml:space="preserve"> </w:t>
      </w:r>
    </w:p>
    <w:p w14:paraId="383E185B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správy občanům zejména v místech, která předložila žádost o vytvoření okresu</w:t>
      </w:r>
      <w:r>
        <w:t xml:space="preserve"> </w:t>
      </w:r>
    </w:p>
    <w:p w14:paraId="41392D68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459/95</w:t>
      </w:r>
      <w:r>
        <w:t xml:space="preserve"> </w:t>
      </w:r>
    </w:p>
    <w:p w14:paraId="498FBA29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9E58665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</w:t>
      </w:r>
      <w:r>
        <w:t xml:space="preserve"> </w:t>
      </w:r>
    </w:p>
    <w:p w14:paraId="65619FD0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 xml:space="preserve">a) přijala </w:t>
      </w:r>
    </w:p>
    <w:p w14:paraId="6D3CE792" w14:textId="066C0655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338,</w:t>
        </w:r>
      </w:hyperlink>
    </w:p>
    <w:p w14:paraId="548CB34A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b) u l o ž i l a </w:t>
      </w:r>
    </w:p>
    <w:p w14:paraId="34C70369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ba) předsedovi Českého statistického úřadu ve spolupráci s místopředsedou vlády pověřeným řízením Úřadu pro legislativu a veřejnou správu předložit vládě k diskusi dne 12. července l995 teze o možnostech zjednodušení a zlepšení výkonu státní správy zejména ve vztahu k občanům podle zadání vlády,</w:t>
      </w:r>
      <w:r>
        <w:t xml:space="preserve"> </w:t>
      </w:r>
    </w:p>
    <w:p w14:paraId="51DAB1B4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bb) ministru vnitra a ministru vlády a vedoucímu Úřadu vlády I. Němcovi předložit vládě obdobný materiál v termínu a podle zadání uvedených v části b/ba) tohoto bodu záznamu.</w:t>
      </w:r>
      <w:r>
        <w:t xml:space="preserve"> </w:t>
      </w:r>
    </w:p>
    <w:p w14:paraId="4DE02912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9. Informace o působnosti Nejvyššího kontrolního úřadu</w:t>
      </w:r>
      <w:r>
        <w:t xml:space="preserve"> </w:t>
      </w:r>
    </w:p>
    <w:p w14:paraId="2B9479D9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451/95</w:t>
      </w:r>
      <w:r>
        <w:t xml:space="preserve"> </w:t>
      </w:r>
    </w:p>
    <w:p w14:paraId="7A13394B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4E89ECAE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1C49A18F" w14:textId="4B179493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339.</w:t>
        </w:r>
      </w:hyperlink>
    </w:p>
    <w:p w14:paraId="4FC7B654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uspořádání výročních zasedání Rady guvernérů Mezinárodního měnového fondu a skupiny Světové banky (MMF/SB) v r. 2000 v Praze</w:t>
      </w:r>
      <w:r>
        <w:rPr>
          <w:rFonts w:eastAsia="Times New Roman"/>
        </w:rPr>
        <w:t xml:space="preserve"> </w:t>
      </w:r>
    </w:p>
    <w:p w14:paraId="3BAA8404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466/95</w:t>
      </w:r>
      <w:r>
        <w:t xml:space="preserve"> </w:t>
      </w:r>
    </w:p>
    <w:p w14:paraId="17975C95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C76C6A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za účasti primátora hlavního města Prahy projednala materiál předložený místopředsedou vlády a ministrem financí a guvernérem České národní banky a</w:t>
      </w:r>
      <w:r>
        <w:t xml:space="preserve"> </w:t>
      </w:r>
    </w:p>
    <w:p w14:paraId="1196DF66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a) u l o ž i l a místopředsedovi vlády a ministru financí ve spolupráci s primátorem hlavního města Prahy předložit vládě do 30. června l995 nový materiál, týkající se dané problematiky podle námětů vzešlých z diskuse vlády s tím, že bude oddělena rekonstrukce Kongresového centra Praha (bývalý Palác kultury) od návrhu na uspořádání výročních zasedání Rady guvernérů Mezinárodního měnového fondu a Světové banky v roce 2OOO v Praze,</w:t>
      </w:r>
      <w:r>
        <w:t xml:space="preserve"> </w:t>
      </w:r>
    </w:p>
    <w:p w14:paraId="64050B11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b) p o ž á d a l a guvernéra České národní banky o spolupráci na přípravě materiálu uvedeném v části a) tohoto bodu záznamu.</w:t>
      </w:r>
      <w:r>
        <w:t xml:space="preserve"> </w:t>
      </w:r>
    </w:p>
    <w:p w14:paraId="3086822A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11. Roční účetní závěrka a výroční zpráva Fondu národního majetku České republiky za rok l994</w:t>
      </w:r>
      <w:r>
        <w:t xml:space="preserve"> </w:t>
      </w:r>
    </w:p>
    <w:p w14:paraId="333C49D1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446/95</w:t>
      </w:r>
      <w:r>
        <w:t xml:space="preserve"> </w:t>
      </w:r>
    </w:p>
    <w:p w14:paraId="2AE8B87C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FA338E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6598A580" w14:textId="634AFC15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340.</w:t>
        </w:r>
      </w:hyperlink>
    </w:p>
    <w:p w14:paraId="2C121451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zákona o některých dražbách mimo soudní výkon rozhodnutí a o změně zákona č. 455/1991 Sb., o živnostenském podnikání (živnostenský zákon), ve znění pozdějších předpisů</w:t>
      </w:r>
      <w:r>
        <w:rPr>
          <w:rFonts w:eastAsia="Times New Roman"/>
        </w:rPr>
        <w:t xml:space="preserve"> </w:t>
      </w:r>
    </w:p>
    <w:p w14:paraId="4CA221B8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447/95</w:t>
      </w:r>
      <w:r>
        <w:t xml:space="preserve"> </w:t>
      </w:r>
    </w:p>
    <w:p w14:paraId="02F475D3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58DB4B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v z a l a n a v ě d o m í konečné znění vládního návrhu zákona o některých dražbách mimo soudní výkon rozhodnutí a o změně zákona č. 455/1991 Sb., o živnostenském podnikání (živnostenský zákon), ve znění pozdějších předpisů předložené ministrem hospodářství (bod II/2 usnesení vlády z 3. května l995 č. 259).</w:t>
      </w:r>
      <w:r>
        <w:t xml:space="preserve"> </w:t>
      </w:r>
    </w:p>
    <w:p w14:paraId="26E1BC91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13. Informace o činnosti mezirezortní komise pro řešení některých problémů v příhraničních oblastech na československých státních hranicích</w:t>
      </w:r>
      <w:r>
        <w:t xml:space="preserve"> </w:t>
      </w:r>
    </w:p>
    <w:p w14:paraId="3D0BDBDF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461/95</w:t>
      </w:r>
      <w:r>
        <w:t xml:space="preserve"> </w:t>
      </w:r>
    </w:p>
    <w:p w14:paraId="0AFEC1A6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57A34B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vnitra a</w:t>
      </w:r>
      <w:r>
        <w:t xml:space="preserve"> </w:t>
      </w:r>
    </w:p>
    <w:p w14:paraId="3F20519B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5E78D96" w14:textId="4F65E755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341,</w:t>
        </w:r>
      </w:hyperlink>
    </w:p>
    <w:p w14:paraId="2F2F8B03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členům vlády, kterých se uvedená problematika týká a d o p o r u č i l a guvernérovi České národní banky neprodleně řešit problémy uvedené v předložené informaci.</w:t>
      </w:r>
      <w:r>
        <w:rPr>
          <w:rFonts w:eastAsia="Times New Roman"/>
        </w:rPr>
        <w:t xml:space="preserve"> </w:t>
      </w:r>
    </w:p>
    <w:p w14:paraId="4DF4AB8F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14. Návrh na uskutečnění oficiální návštěvy předsedy vlády České republiky V. Klause v Portugalské republice ve dnech 2. - 4. července l995</w:t>
      </w:r>
      <w:r>
        <w:t xml:space="preserve"> </w:t>
      </w:r>
    </w:p>
    <w:p w14:paraId="3E667301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463/95</w:t>
      </w:r>
      <w:r>
        <w:t xml:space="preserve"> </w:t>
      </w:r>
    </w:p>
    <w:p w14:paraId="7B56AFF9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A9CFA7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58901E98" w14:textId="5BF55C0A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342.</w:t>
        </w:r>
      </w:hyperlink>
    </w:p>
    <w:p w14:paraId="2BF2A0C2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uskutečnění oficiální návštěvy španělského krále Juana Carlose I. v České republice ve dnech l2. - l4. července l995</w:t>
      </w:r>
      <w:r>
        <w:rPr>
          <w:rFonts w:eastAsia="Times New Roman"/>
        </w:rPr>
        <w:t xml:space="preserve"> </w:t>
      </w:r>
    </w:p>
    <w:p w14:paraId="160E0FC4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464/95</w:t>
      </w:r>
      <w:r>
        <w:t xml:space="preserve"> </w:t>
      </w:r>
    </w:p>
    <w:p w14:paraId="347F8B26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0A0C72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88C2A82" w14:textId="185C0A20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343.</w:t>
        </w:r>
      </w:hyperlink>
    </w:p>
    <w:p w14:paraId="4447A6CD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Změna rozhodnutí o privatizaci podle § lO, odst. l a 7 zákona č. 92/9l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0BD6DDB1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465/95</w:t>
      </w:r>
      <w:r>
        <w:t xml:space="preserve"> </w:t>
      </w:r>
    </w:p>
    <w:p w14:paraId="4D039343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354184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1F1F2611" w14:textId="5A5D150B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344.</w:t>
        </w:r>
      </w:hyperlink>
    </w:p>
    <w:p w14:paraId="09042E19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Rozhodnutí o privatizaci podle § lO,odst. l zák. č. 92/9l Sb., o podmínkách převodu majetku státu na jiné osoby, ve znění pozdějších předpisů (materiál č. 94)</w:t>
      </w:r>
      <w:r>
        <w:rPr>
          <w:rFonts w:eastAsia="Times New Roman"/>
        </w:rPr>
        <w:t xml:space="preserve"> </w:t>
      </w:r>
    </w:p>
    <w:p w14:paraId="00693959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458/95</w:t>
      </w:r>
      <w:r>
        <w:t xml:space="preserve"> </w:t>
      </w:r>
    </w:p>
    <w:p w14:paraId="5FC9AAA7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A49FA9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ministrem pro </w:t>
      </w:r>
      <w:r>
        <w:rPr>
          <w:rFonts w:ascii="Times New Roman CE" w:hAnsi="Times New Roman CE" w:cs="Times New Roman CE"/>
        </w:rPr>
        <w:t>správu národního majetku a jeho privatizaci a přijala</w:t>
      </w:r>
    </w:p>
    <w:p w14:paraId="048DFA34" w14:textId="13EF5645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345.</w:t>
        </w:r>
      </w:hyperlink>
    </w:p>
    <w:p w14:paraId="55C44E44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l8. Dodatek k Návrhu na výpověď Platební smlouvy mezi ČR a SR ze dne 4. února l993, doplněné Dodatkem č. l ze dne 2O. května l993 a Smlouvy mezi ČR a SR o používání peněžních prostředků v národních měnách v oblasti vzájemného cestovního ruchu ze dne 4. února l993 a Protokolu mezi ČR a SR o platebním vypořádání vzájemných pohledávek a závazků právnických osob a fyzických osob - podnikatelů, vzniklých před 8. únorem l993, ze dne 4. února l993</w:t>
      </w:r>
      <w:r>
        <w:rPr>
          <w:rFonts w:eastAsia="Times New Roman"/>
        </w:rPr>
        <w:t xml:space="preserve"> </w:t>
      </w:r>
    </w:p>
    <w:p w14:paraId="66FB7B70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468/95</w:t>
      </w:r>
      <w:r>
        <w:t xml:space="preserve"> </w:t>
      </w:r>
    </w:p>
    <w:p w14:paraId="58BB77BD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388/95</w:t>
      </w:r>
      <w:r>
        <w:t xml:space="preserve"> </w:t>
      </w:r>
    </w:p>
    <w:p w14:paraId="2AED77C3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182F1B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(č.j. 468/95), návrh předložený místopředsedou vlády a ministrem financí, guvernérem České národní banky a ministrem zahraničí (č.j. 388/95) a návrh dopisu předsedy vlády předsedovi vlády Slovenské republiky V. Mečiarovi předložený předsedou vlády a přijala</w:t>
      </w:r>
    </w:p>
    <w:p w14:paraId="01D412A7" w14:textId="70529FBD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346,</w:t>
        </w:r>
      </w:hyperlink>
    </w:p>
    <w:p w14:paraId="3FDC3D40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místopředseda vlády a ministr financí doplní předkládací zprávu pro Poslaneckou sněmovnu Parlamentu České republiky podle závěrů z jednání vlády.</w:t>
      </w:r>
      <w:r>
        <w:rPr>
          <w:rFonts w:eastAsia="Times New Roman"/>
        </w:rPr>
        <w:t xml:space="preserve"> </w:t>
      </w:r>
    </w:p>
    <w:p w14:paraId="7F269D03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19. Změna usnesení vlády ze l4. prosince 1994 č. 702, k návrhu zákona o státní sociální podpoře</w:t>
      </w:r>
      <w:r>
        <w:t xml:space="preserve"> </w:t>
      </w:r>
    </w:p>
    <w:p w14:paraId="076267FE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3C1DF7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V l á d a z podnětu náměstka ministra práce a sociálních věcí Ing. M. Vaňka přijala</w:t>
      </w:r>
    </w:p>
    <w:p w14:paraId="4E566A64" w14:textId="25D43C8E" w:rsidR="007D7D51" w:rsidRDefault="007D7D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347.</w:t>
        </w:r>
      </w:hyperlink>
    </w:p>
    <w:p w14:paraId="643C5A1D" w14:textId="77777777" w:rsidR="007D7D51" w:rsidRDefault="007D7D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  <w:r>
        <w:rPr>
          <w:rFonts w:eastAsia="Times New Roman"/>
        </w:rPr>
        <w:t xml:space="preserve"> </w:t>
      </w:r>
    </w:p>
    <w:p w14:paraId="7A59F7ED" w14:textId="77777777" w:rsidR="007D7D51" w:rsidRDefault="007D7D5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88946CA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l. Kontrolní závěr NKÚ z kontroly hospodaření Státního fondu kultury České republiky (předložil ministr vlády a vedoucí Úřadu vlády I. Němec)</w:t>
      </w:r>
      <w:r>
        <w:t xml:space="preserve"> </w:t>
      </w:r>
    </w:p>
    <w:p w14:paraId="756DB1C9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453/95</w:t>
      </w:r>
      <w:r>
        <w:t xml:space="preserve"> </w:t>
      </w:r>
    </w:p>
    <w:p w14:paraId="0C4A5645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2. Dodatek a změna plánu kontrolní činnosti NKÚ na rok 1995 (předložil ministr vlády a vedoucí Úřadu vlády I. Němec)</w:t>
      </w:r>
      <w:r>
        <w:t xml:space="preserve"> </w:t>
      </w:r>
    </w:p>
    <w:p w14:paraId="1ADC5E6C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454/95</w:t>
      </w:r>
      <w:r>
        <w:t xml:space="preserve"> </w:t>
      </w:r>
    </w:p>
    <w:p w14:paraId="131F2868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3. Informace o návštěvě předsedy vlády ČR Václava Klause ve Spojených státech amerických ve dnech 3O. dubna - 5. května l995 (předložil předseda vlády)</w:t>
      </w:r>
      <w:r>
        <w:t xml:space="preserve"> </w:t>
      </w:r>
    </w:p>
    <w:p w14:paraId="2D5DE916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456/95</w:t>
      </w:r>
      <w:r>
        <w:t xml:space="preserve"> </w:t>
      </w:r>
    </w:p>
    <w:p w14:paraId="06C3B987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4. Výsledky návštěvy místopředsedy vlády a ministra zemědělství Ing. Josefa Luxe v Rakousku dne l5. 5. l995 (předložil místopředseda vlády a ministr zemědělství)</w:t>
      </w:r>
      <w:r>
        <w:t xml:space="preserve"> </w:t>
      </w:r>
    </w:p>
    <w:p w14:paraId="1DB11CED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č.j. 457/95</w:t>
      </w:r>
      <w:r>
        <w:t xml:space="preserve"> </w:t>
      </w:r>
    </w:p>
    <w:p w14:paraId="2EAF825F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E293AEC" w14:textId="77777777" w:rsidR="007D7D51" w:rsidRDefault="007D7D51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2EC6435B" w14:textId="77777777" w:rsidR="007D7D51" w:rsidRDefault="007D7D5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51"/>
    <w:rsid w:val="007D7D5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0680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6-07" TargetMode="External"/><Relationship Id="rId13" Type="http://schemas.openxmlformats.org/officeDocument/2006/relationships/hyperlink" Target="file:///c:\redir.nsf%3fRedirect&amp;To=\66bbfabee8e70f37c125642e0052aae5\2f7a80a50044c405c12564b5002842dc%3fOpen&amp;Name=CN=Ghoul\O=ENV\C=CZ&amp;Id=C1256A62004E5036" TargetMode="External"/><Relationship Id="rId18" Type="http://schemas.openxmlformats.org/officeDocument/2006/relationships/hyperlink" Target="file:///c:\redir.nsf%3fRedirect&amp;To=\66bbfabee8e70f37c125642e0052aae5\c2c11eba9d1f8a0ec12564b500284485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62f05424daaeaadc12564b5002842d7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2c00faa397e84e16c12564b5002842dd%3fOpen&amp;Name=CN=Ghoul\O=ENV\C=CZ&amp;Id=C1256A62004E5036" TargetMode="External"/><Relationship Id="rId17" Type="http://schemas.openxmlformats.org/officeDocument/2006/relationships/hyperlink" Target="file:///c:\redir.nsf%3fRedirect&amp;To=\66bbfabee8e70f37c125642e0052aae5\a67230d5f71ee853c12564b5002842da%3fOpen&amp;Name=CN=Ghoul\O=ENV\C=CZ&amp;Id=C1256A62004E5036" TargetMode="External"/><Relationship Id="rId25" Type="http://schemas.openxmlformats.org/officeDocument/2006/relationships/hyperlink" Target="file:///c:\redir.nsf%3fRedirect&amp;To=\66bbfabee8e70f37c125642e0052aae5\de93dd95f1fa0cf3c12564b5002842de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ef43bbeba923b96c12564b500284486%3fOpen&amp;Name=CN=Ghoul\O=ENV\C=CZ&amp;Id=C1256A62004E5036" TargetMode="External"/><Relationship Id="rId20" Type="http://schemas.openxmlformats.org/officeDocument/2006/relationships/hyperlink" Target="file:///c:\redir.nsf%3fRedirect&amp;To=\66bbfabee8e70f37c125642e0052aae5\f82c908f0977393bc12564b5002842d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536d1b69fad5e3ac12564b500284488%3fOpen&amp;Name=CN=Ghoul\O=ENV\C=CZ&amp;Id=C1256A62004E5036" TargetMode="External"/><Relationship Id="rId24" Type="http://schemas.openxmlformats.org/officeDocument/2006/relationships/hyperlink" Target="file:///c:\redir.nsf%3fRedirect&amp;To=\66bbfabee8e70f37c125642e0052aae5\e49bb2899433cd39c12564b50028448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9c7410c0a682d0bc12564b5002842db%3fOpen&amp;Name=CN=Ghoul\O=ENV\C=CZ&amp;Id=C1256A62004E5036" TargetMode="External"/><Relationship Id="rId23" Type="http://schemas.openxmlformats.org/officeDocument/2006/relationships/hyperlink" Target="file:///c:\redir.nsf%3fRedirect&amp;To=\66bbfabee8e70f37c125642e0052aae5\8391dc2a094a36dcc12564b500284484%3fOpen&amp;Name=CN=Ghoul\O=ENV\C=CZ&amp;Id=C1256A62004E5036" TargetMode="External"/><Relationship Id="rId10" Type="http://schemas.openxmlformats.org/officeDocument/2006/relationships/hyperlink" Target="file:///c:\redir.nsf%3fRedirect&amp;To=\66bbfabee8e70f37c125642e0052aae5\646bbfb6fcc94328c12564b500284489%3fOpen&amp;Name=CN=Ghoul\O=ENV\C=CZ&amp;Id=C1256A62004E5036" TargetMode="External"/><Relationship Id="rId19" Type="http://schemas.openxmlformats.org/officeDocument/2006/relationships/hyperlink" Target="file:///c:\redir.nsf%3fRedirect&amp;To=\66bbfabee8e70f37c125642e0052aae5\5b6f90201779ae62c12564b5002842d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60d88ae8895de0ec12564b500284487%3fOpen&amp;Name=CN=Ghoul\O=ENV\C=CZ&amp;Id=C1256A62004E5036" TargetMode="External"/><Relationship Id="rId22" Type="http://schemas.openxmlformats.org/officeDocument/2006/relationships/hyperlink" Target="file:///c:\redir.nsf%3fRedirect&amp;To=\66bbfabee8e70f37c125642e0052aae5\2f1b951534f6a7d3c12564b5002842d6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2056</Words>
  <Characters>11724</Characters>
  <Application>Microsoft Office Word</Application>
  <DocSecurity>0</DocSecurity>
  <Lines>97</Lines>
  <Paragraphs>27</Paragraphs>
  <ScaleCrop>false</ScaleCrop>
  <Company>Profinit EU s.r.o.</Company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