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828D03" w14:textId="77777777" w:rsidR="00312F07" w:rsidRDefault="00312F07">
      <w:pPr>
        <w:pStyle w:val="z-TopofForm"/>
      </w:pPr>
      <w:r>
        <w:t>Top of Form</w:t>
      </w:r>
    </w:p>
    <w:p w14:paraId="7F689B81" w14:textId="5967E702" w:rsidR="00312F07" w:rsidRDefault="00312F07">
      <w:pPr>
        <w:pStyle w:val="Heading5"/>
        <w:divId w:val="114611949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1995-07-07</w:t>
        </w:r>
      </w:hyperlink>
    </w:p>
    <w:p w14:paraId="6B22A7E2" w14:textId="77777777" w:rsidR="00312F07" w:rsidRDefault="00312F07">
      <w:pPr>
        <w:rPr>
          <w:rFonts w:eastAsia="Times New Roman"/>
        </w:rPr>
      </w:pPr>
    </w:p>
    <w:p w14:paraId="2B8F8B67" w14:textId="77777777" w:rsidR="00312F07" w:rsidRDefault="00312F07">
      <w:pPr>
        <w:divId w:val="20102132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E3C376" w14:textId="77777777" w:rsidR="00312F07" w:rsidRDefault="00312F07">
      <w:pPr>
        <w:divId w:val="1759211955"/>
        <w:rPr>
          <w:rFonts w:eastAsia="Times New Roman"/>
        </w:rPr>
      </w:pPr>
      <w:r>
        <w:rPr>
          <w:rFonts w:eastAsia="Times New Roman"/>
        </w:rPr>
        <w:pict w14:anchorId="15CB7A5A"/>
      </w:r>
      <w:r>
        <w:rPr>
          <w:rFonts w:eastAsia="Times New Roman"/>
        </w:rPr>
        <w:pict w14:anchorId="3A2179EE"/>
      </w:r>
      <w:r>
        <w:rPr>
          <w:rFonts w:eastAsia="Times New Roman"/>
          <w:noProof/>
        </w:rPr>
        <w:drawing>
          <wp:inline distT="0" distB="0" distL="0" distR="0" wp14:anchorId="314F71E2" wp14:editId="4FD0BD7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65EE" w14:textId="77777777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E782F7" w14:textId="77777777">
        <w:trPr>
          <w:tblCellSpacing w:w="0" w:type="dxa"/>
        </w:trPr>
        <w:tc>
          <w:tcPr>
            <w:tcW w:w="2500" w:type="pct"/>
            <w:hideMark/>
          </w:tcPr>
          <w:p w14:paraId="712909B0" w14:textId="77777777" w:rsidR="00312F07" w:rsidRDefault="00312F0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2055/95</w:t>
            </w:r>
          </w:p>
        </w:tc>
        <w:tc>
          <w:tcPr>
            <w:tcW w:w="2500" w:type="pct"/>
            <w:hideMark/>
          </w:tcPr>
          <w:p w14:paraId="4E65A7E9" w14:textId="77777777" w:rsidR="00312F07" w:rsidRDefault="00312F0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července 1995</w:t>
            </w:r>
          </w:p>
        </w:tc>
      </w:tr>
    </w:tbl>
    <w:p w14:paraId="48981818" w14:textId="77777777" w:rsidR="00312F07" w:rsidRDefault="00312F0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července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0DE12CCF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280BDBF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 xml:space="preserve">1. Návrh na souhlas s uzavřením Hlavní Rámcové smlouvy mezi a.s. </w:t>
      </w:r>
      <w:r>
        <w:rPr>
          <w:rFonts w:ascii="Times New Roman CE" w:hAnsi="Times New Roman CE" w:cs="Times New Roman CE"/>
        </w:rPr>
        <w:t>Unipetrol a Mezinárodními ropnými společnostmi o jejich vstupu do České rafinérské a.s.</w:t>
      </w:r>
      <w:r>
        <w:t xml:space="preserve"> </w:t>
      </w:r>
    </w:p>
    <w:p w14:paraId="6FFBF2D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A12E7A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průmyslu a obchodu a přijala</w:t>
      </w:r>
    </w:p>
    <w:p w14:paraId="5580D3AA" w14:textId="44E6C531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394.</w:t>
        </w:r>
      </w:hyperlink>
    </w:p>
    <w:p w14:paraId="4A44F653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poskytnutí záruky na uspokojení finančních požadavků Daewoo Corporation/Daewoo Heavy Industries Ltd. v souvislosti s dodáním lodi Tatry České námořní plavbě a.s.</w:t>
      </w:r>
      <w:r>
        <w:rPr>
          <w:rFonts w:eastAsia="Times New Roman"/>
        </w:rPr>
        <w:t xml:space="preserve"> </w:t>
      </w:r>
    </w:p>
    <w:p w14:paraId="52AAB8A0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79B03B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posoudila návrh předložený ministrem průmyslu a obchodu a místopředsedou vlády a ministrem financí a u l o ž i l a ministru průmyslu a obchodu a místopředsedovi vlády a ministru financí ve spolupráci s ministrem zahraničních věcí předložit vládě na jednání její schůze dne 12. července 1995 materiál analyzující danou problematiku v širších souvislostech podle diskuse vlády.</w:t>
      </w:r>
      <w:r>
        <w:t xml:space="preserve"> </w:t>
      </w:r>
    </w:p>
    <w:p w14:paraId="296ACD08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3. Návrh zásad zákona o námořní plavbě</w:t>
      </w:r>
      <w:r>
        <w:t xml:space="preserve"> </w:t>
      </w:r>
    </w:p>
    <w:p w14:paraId="014880A8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390/95</w:t>
      </w:r>
      <w:r>
        <w:t xml:space="preserve"> </w:t>
      </w:r>
    </w:p>
    <w:p w14:paraId="557C4ADA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</w:t>
      </w:r>
      <w:r>
        <w:t xml:space="preserve"> </w:t>
      </w:r>
    </w:p>
    <w:p w14:paraId="1C507247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553CCE01" w14:textId="08105532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395</w:t>
        </w:r>
      </w:hyperlink>
    </w:p>
    <w:p w14:paraId="18B7EFC1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ministři dopravy a školství, mládeže a tělovýchovy a místopředseda vlády a ministr financí dořeší problematiku obsaženou v zásadě č. 55 a dále s tím, že budou vzaty v úvahu písemně předané připomínky ministra vnitra.</w:t>
      </w:r>
      <w:r>
        <w:rPr>
          <w:rFonts w:eastAsia="Times New Roman"/>
        </w:rPr>
        <w:t xml:space="preserve"> </w:t>
      </w:r>
    </w:p>
    <w:p w14:paraId="63758E76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4. Záchytná parkoviště na hranicích České republiky</w:t>
      </w:r>
      <w:r>
        <w:t xml:space="preserve"> </w:t>
      </w:r>
    </w:p>
    <w:p w14:paraId="2FE72C6B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547/95</w:t>
      </w:r>
      <w:r>
        <w:t xml:space="preserve"> </w:t>
      </w:r>
    </w:p>
    <w:p w14:paraId="529FDFC2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5A57FBFA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přijala</w:t>
      </w:r>
    </w:p>
    <w:p w14:paraId="7C6A923D" w14:textId="096EAF86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396.</w:t>
        </w:r>
      </w:hyperlink>
    </w:p>
    <w:p w14:paraId="1F7927FF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jmenování zástupců státu do Správní rady Ústřední pojišťovny</w:t>
      </w:r>
      <w:r>
        <w:rPr>
          <w:rFonts w:eastAsia="Times New Roman"/>
        </w:rPr>
        <w:t xml:space="preserve"> </w:t>
      </w:r>
    </w:p>
    <w:p w14:paraId="0600229A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558/95</w:t>
      </w:r>
      <w:r>
        <w:t xml:space="preserve"> </w:t>
      </w:r>
    </w:p>
    <w:p w14:paraId="4E3C33E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A0FDF6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193BB1AB" w14:textId="6D51BA88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397.</w:t>
        </w:r>
      </w:hyperlink>
    </w:p>
    <w:p w14:paraId="221BA4CC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Privatizace části subjektu Sdružení ambulantních zdravotnických zařízení v Praze 8 - zdravotní středisko Čumpelíkova 2</w:t>
      </w:r>
      <w:r>
        <w:rPr>
          <w:rFonts w:eastAsia="Times New Roman"/>
        </w:rPr>
        <w:t xml:space="preserve"> </w:t>
      </w:r>
    </w:p>
    <w:p w14:paraId="198DD804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551/95</w:t>
      </w:r>
      <w:r>
        <w:t xml:space="preserve"> </w:t>
      </w:r>
    </w:p>
    <w:p w14:paraId="71A4C3E1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FB71F1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414F1746" w14:textId="62144F23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398.</w:t>
        </w:r>
      </w:hyperlink>
    </w:p>
    <w:p w14:paraId="123CA16A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Rozhodnutí o privatizaci podle § 10, odst. 1 zákona č. 92/1991 Sb., o podmínkách převodu majetku státu na jiné osoby, ve znění pozdějších předpisů (materiál č. 97)</w:t>
      </w:r>
      <w:r>
        <w:rPr>
          <w:rFonts w:eastAsia="Times New Roman"/>
        </w:rPr>
        <w:t xml:space="preserve"> </w:t>
      </w:r>
    </w:p>
    <w:p w14:paraId="3B090FD6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561/95</w:t>
      </w:r>
      <w:r>
        <w:t xml:space="preserve"> </w:t>
      </w:r>
    </w:p>
    <w:p w14:paraId="65B164A6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6F215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7F5E5201" w14:textId="32E5F0E0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399.</w:t>
        </w:r>
      </w:hyperlink>
    </w:p>
    <w:p w14:paraId="607CDCEF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1349E4F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554/95</w:t>
      </w:r>
      <w:r>
        <w:t xml:space="preserve"> </w:t>
      </w:r>
    </w:p>
    <w:p w14:paraId="4AA9FC3D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3E8B32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586EF19A" w14:textId="62451803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400.</w:t>
        </w:r>
      </w:hyperlink>
    </w:p>
    <w:p w14:paraId="33378547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Žádost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400B095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556/95</w:t>
      </w:r>
      <w:r>
        <w:t xml:space="preserve"> </w:t>
      </w:r>
    </w:p>
    <w:p w14:paraId="59834262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9685F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se problematikou obsaženou v materiálu předloženém ministrem dopravy bude zabývat po dokončení dohodovacího řízení náměstků ministrů a případném dalším předběžném projednání věci ministry dopravy a pro správu národního majetku a jeho privatizaci a místopředsedou vlády a ministrem financí.</w:t>
      </w:r>
      <w:r>
        <w:t xml:space="preserve"> </w:t>
      </w:r>
    </w:p>
    <w:p w14:paraId="789F135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10. Žádosti o udělení výjimky podle odstavce 1 a 2 § 45 zákona č. 92/1991 Sb., o podmínkách převodu majetku státu na jiné osoby, ve znění pozdějších předpisů</w:t>
      </w:r>
      <w:r>
        <w:t xml:space="preserve"> </w:t>
      </w:r>
    </w:p>
    <w:p w14:paraId="09B53DE2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557/95</w:t>
      </w:r>
      <w:r>
        <w:t xml:space="preserve"> </w:t>
      </w:r>
    </w:p>
    <w:p w14:paraId="0913BBC8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178F5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03E3ED55" w14:textId="7EA7C85B" w:rsidR="00312F07" w:rsidRDefault="00312F0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401.</w:t>
        </w:r>
      </w:hyperlink>
    </w:p>
    <w:p w14:paraId="5A1483BC" w14:textId="77777777" w:rsidR="00312F07" w:rsidRDefault="00312F0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Ústní informace ministra kultury o nabídce ministra kultury Slovenské republiky I. Hudce k setkání ministrů kultury České republiky a Slovenské republiky</w:t>
      </w:r>
      <w:r>
        <w:rPr>
          <w:rFonts w:eastAsia="Times New Roman"/>
        </w:rPr>
        <w:t xml:space="preserve"> </w:t>
      </w:r>
    </w:p>
    <w:p w14:paraId="600EA36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2CA08E86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688832C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kultury o nabídce ministra kultury Slovenské republiky I. Hudce k setkání ministrů kultury České republiky a Slovenské republiky s cílem pokračovat v jednání obou resortů,</w:t>
      </w:r>
      <w:r>
        <w:t xml:space="preserve"> </w:t>
      </w:r>
    </w:p>
    <w:p w14:paraId="5E1CF651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b) k o n s t a t o v a l a svůj zájem na setkávání a jednání resortních ministrů České republiky a Slovenské republiky.</w:t>
      </w:r>
      <w:r>
        <w:t xml:space="preserve"> </w:t>
      </w:r>
    </w:p>
    <w:p w14:paraId="18225845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12. Změna termínu pro předložení návrhu zásad školského zákona vládě</w:t>
      </w:r>
      <w:r>
        <w:t xml:space="preserve"> </w:t>
      </w:r>
    </w:p>
    <w:p w14:paraId="78A1168B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6EADDA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na základě návrhu ministra školství, mládeže a tělovýchovy s o u h l a s i l a se změnou termínu předložení návrhu zásad školského zákona vládě ministrem školství, mládeže a tělovýchovy z 30. června 1995 na 31. prosince 1995.</w:t>
      </w:r>
      <w:r>
        <w:t xml:space="preserve"> </w:t>
      </w:r>
    </w:p>
    <w:p w14:paraId="0B459BE5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13. Příprava podkladů pro jednání vlády o analýze možnosti snížení počtu zaměstnanců v resortech řízených členy vlády a vedoucími ostatních ústředních orgánů státní správy</w:t>
      </w:r>
      <w:r>
        <w:t xml:space="preserve"> </w:t>
      </w:r>
    </w:p>
    <w:p w14:paraId="087A6654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AB45897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ministru vlády a vedoucímu Úřadu vlády I. Němcovi zpracovat na základě dílčích podkladů členů vlády a vedoucích ostatních ústředních orgánů státní správy souhrnný informační materiál o možnostech snížení počtu zaměstnanců v jimi řízených resortech až o 5 % (bod IV/3 usnesení vlády ze 14. června 1995 č. 356, o nařízeních vlády, kterými se mění a doplňují předpisy, upravující platové poměry zaměstnanců ve veřejných službách a správě a zaměstnanců ozbrojených si</w:t>
      </w:r>
      <w:r>
        <w:rPr>
          <w:rFonts w:ascii="Times New Roman CE" w:hAnsi="Times New Roman CE" w:cs="Times New Roman CE"/>
        </w:rPr>
        <w:t>l, bezpečnostních sborů a služeb).</w:t>
      </w:r>
      <w:r>
        <w:t xml:space="preserve"> </w:t>
      </w:r>
    </w:p>
    <w:p w14:paraId="53B77BE9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14. Příprava výjezdního zasedání vlády na Šumavě dne 22. a 23. srpna 1995</w:t>
      </w:r>
      <w:r>
        <w:t xml:space="preserve"> </w:t>
      </w:r>
    </w:p>
    <w:p w14:paraId="4119786E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092DE530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V l á d a s o u h l a s i l a s uskutečněním výjezdního zasedání vlády (s předchozí poradou vybraných členů vlády) dne 22. a 23. srpna 1995 na Šumavě s tím, že předmětem tohoto výjezdního zasedání bude zejména problematika chráněných území v České republice.</w:t>
      </w:r>
      <w:r>
        <w:t xml:space="preserve"> </w:t>
      </w:r>
    </w:p>
    <w:p w14:paraId="40BE1204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6C60A67" w14:textId="77777777" w:rsidR="00312F07" w:rsidRDefault="00312F0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68A014A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1. Informace o převzetí předsednictví České republiky ve Výboru ministrů zahraničních věcí členských zemí Rady Evropy a o závěrech 96. zasedání tohoto výboru (předložil ministr zahraničních věcí)</w:t>
      </w:r>
      <w:r>
        <w:t xml:space="preserve"> </w:t>
      </w:r>
    </w:p>
    <w:p w14:paraId="77602EA0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563/95</w:t>
      </w:r>
      <w:r>
        <w:t xml:space="preserve"> </w:t>
      </w:r>
    </w:p>
    <w:p w14:paraId="3FE9998D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se státními finančními aktivy a pasivy a se státními zárukami (předložil ministr vlády a vedoucí Úřadu vlády I. Němec)</w:t>
      </w:r>
      <w:r>
        <w:t xml:space="preserve"> </w:t>
      </w:r>
    </w:p>
    <w:p w14:paraId="7FB47F9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545/95</w:t>
      </w:r>
      <w:r>
        <w:t xml:space="preserve"> </w:t>
      </w:r>
    </w:p>
    <w:p w14:paraId="4A8F23F0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3. Informace o výsledcích 79. zasedání Rady ministrů Evropské konference ministrů dopravy (CEMT) (předložil ministr dopravy)</w:t>
      </w:r>
      <w:r>
        <w:t xml:space="preserve"> </w:t>
      </w:r>
    </w:p>
    <w:p w14:paraId="706279A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č.j. 541/95</w:t>
      </w:r>
      <w:r>
        <w:t xml:space="preserve"> </w:t>
      </w:r>
    </w:p>
    <w:p w14:paraId="0CE15F0D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D081A83" w14:textId="77777777" w:rsidR="00312F07" w:rsidRDefault="00312F0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AEDF48B" w14:textId="77777777" w:rsidR="00312F07" w:rsidRDefault="00312F0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7"/>
    <w:rsid w:val="00312F0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DED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11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7-07" TargetMode="External"/><Relationship Id="rId13" Type="http://schemas.openxmlformats.org/officeDocument/2006/relationships/hyperlink" Target="file:///c:\redir.nsf%3fRedirect&amp;To=\66bbfabee8e70f37c125642e0052aae5\278ba7c620dcc501c12564b5002842fb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78b603546e06828ac12564b500284497%3fOpen&amp;Name=CN=Ghoul\O=ENV\C=CZ&amp;Id=C1256A62004E5036" TargetMode="External"/><Relationship Id="rId17" Type="http://schemas.openxmlformats.org/officeDocument/2006/relationships/hyperlink" Target="file:///c:\redir.nsf%3fRedirect&amp;To=\66bbfabee8e70f37c125642e0052aae5\54ee8e162d51c86dc12564b5002842f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8bb2b6f158d0501c12564b50028449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0c9355fae1d8eb3c12564b5002842f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ec22ea23c1732bfc12564b500284496%3fOpen&amp;Name=CN=Ghoul\O=ENV\C=CZ&amp;Id=C1256A62004E5036" TargetMode="External"/><Relationship Id="rId10" Type="http://schemas.openxmlformats.org/officeDocument/2006/relationships/hyperlink" Target="file:///c:\redir.nsf%3fRedirect&amp;To=\66bbfabee8e70f37c125642e0052aae5\ad6aacb4a80feb2ac12564b5002842fd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d3cc169a3ce6d0ac12564b5002842f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1262</Words>
  <Characters>7197</Characters>
  <Application>Microsoft Office Word</Application>
  <DocSecurity>0</DocSecurity>
  <Lines>59</Lines>
  <Paragraphs>16</Paragraphs>
  <ScaleCrop>false</ScaleCrop>
  <Company>Profinit EU s.r.o.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