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FA9A6F3" w14:textId="77777777" w:rsidR="00D94ADB" w:rsidRDefault="00D94ADB">
      <w:pPr>
        <w:pStyle w:val="z-TopofForm"/>
      </w:pPr>
      <w:r>
        <w:t>Top of Form</w:t>
      </w:r>
    </w:p>
    <w:p w14:paraId="5A76B748" w14:textId="3B60B325" w:rsidR="00D94ADB" w:rsidRDefault="00D94ADB">
      <w:pPr>
        <w:pStyle w:val="Heading5"/>
        <w:divId w:val="68852658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1995-09-13</w:t>
        </w:r>
      </w:hyperlink>
    </w:p>
    <w:p w14:paraId="17621A81" w14:textId="77777777" w:rsidR="00D94ADB" w:rsidRDefault="00D94ADB">
      <w:pPr>
        <w:rPr>
          <w:rFonts w:eastAsia="Times New Roman"/>
        </w:rPr>
      </w:pPr>
    </w:p>
    <w:p w14:paraId="299F7612" w14:textId="77777777" w:rsidR="00D94ADB" w:rsidRDefault="00D94ADB">
      <w:pPr>
        <w:divId w:val="9648862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58154A6" w14:textId="77777777" w:rsidR="00D94ADB" w:rsidRDefault="00D94ADB">
      <w:pPr>
        <w:divId w:val="358432862"/>
        <w:rPr>
          <w:rFonts w:eastAsia="Times New Roman"/>
        </w:rPr>
      </w:pPr>
      <w:r>
        <w:rPr>
          <w:rFonts w:eastAsia="Times New Roman"/>
        </w:rPr>
        <w:pict w14:anchorId="78ED3BAE"/>
      </w:r>
      <w:r>
        <w:rPr>
          <w:rFonts w:eastAsia="Times New Roman"/>
        </w:rPr>
        <w:pict w14:anchorId="40178A35"/>
      </w:r>
      <w:r>
        <w:rPr>
          <w:rFonts w:eastAsia="Times New Roman"/>
          <w:noProof/>
        </w:rPr>
        <w:drawing>
          <wp:inline distT="0" distB="0" distL="0" distR="0" wp14:anchorId="621DE0CE" wp14:editId="2F46189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426B" w14:textId="77777777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3353608" w14:textId="77777777">
        <w:trPr>
          <w:tblCellSpacing w:w="0" w:type="dxa"/>
        </w:trPr>
        <w:tc>
          <w:tcPr>
            <w:tcW w:w="2500" w:type="pct"/>
            <w:hideMark/>
          </w:tcPr>
          <w:p w14:paraId="6B95BBBD" w14:textId="77777777" w:rsidR="00D94ADB" w:rsidRDefault="00D94AD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2069/95</w:t>
            </w:r>
          </w:p>
        </w:tc>
        <w:tc>
          <w:tcPr>
            <w:tcW w:w="2500" w:type="pct"/>
            <w:hideMark/>
          </w:tcPr>
          <w:p w14:paraId="6A503CB1" w14:textId="77777777" w:rsidR="00D94ADB" w:rsidRDefault="00D94AD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září 1995</w:t>
            </w:r>
          </w:p>
        </w:tc>
      </w:tr>
    </w:tbl>
    <w:p w14:paraId="4B66A1AE" w14:textId="77777777" w:rsidR="00D94ADB" w:rsidRDefault="00D94AD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13. září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(35. schůze)</w:t>
      </w:r>
    </w:p>
    <w:p w14:paraId="3B5562B5" w14:textId="77777777" w:rsidR="00D94ADB" w:rsidRDefault="00D94A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5B89311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1. Návrh výdajů státního rozpočtu České republiky na rok 1996</w:t>
      </w:r>
      <w:r>
        <w:t xml:space="preserve"> </w:t>
      </w:r>
    </w:p>
    <w:p w14:paraId="24EEE0CC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760/95</w:t>
      </w:r>
      <w:r>
        <w:t xml:space="preserve"> </w:t>
      </w:r>
    </w:p>
    <w:p w14:paraId="7B32C1FB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6548AC26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</w:t>
      </w:r>
      <w:r>
        <w:t xml:space="preserve"> </w:t>
      </w:r>
    </w:p>
    <w:p w14:paraId="30011249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a) u l o ž i l a místopředsedovi vlády a ministru financí jednat s místopředsedou vlády a ministrem zemědělství o jeho požadavku a upravit předložený návrh podle připomínek vlády,</w:t>
      </w:r>
      <w:r>
        <w:t xml:space="preserve"> </w:t>
      </w:r>
    </w:p>
    <w:p w14:paraId="34274440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b) v z a l a n a v ě d o m í , že projedná další variantu návrhu státního rozpočtu na rok 1996 na jednání své schůze dne 20. září 1995.</w:t>
      </w:r>
      <w:r>
        <w:t xml:space="preserve"> </w:t>
      </w:r>
    </w:p>
    <w:p w14:paraId="61721AE6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2. Návrh zásad zákona o hnojivech a hnojení</w:t>
      </w:r>
      <w:r>
        <w:t xml:space="preserve"> </w:t>
      </w:r>
    </w:p>
    <w:p w14:paraId="717EC69D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393/94</w:t>
      </w:r>
      <w:r>
        <w:t xml:space="preserve"> </w:t>
      </w:r>
    </w:p>
    <w:p w14:paraId="279665CE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4FCC518C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</w:t>
      </w:r>
      <w:r>
        <w:t xml:space="preserve"> </w:t>
      </w:r>
    </w:p>
    <w:p w14:paraId="6C614D29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BDA0DE9" w14:textId="3080F46E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513</w:t>
        </w:r>
      </w:hyperlink>
    </w:p>
    <w:p w14:paraId="275492C4" w14:textId="77777777" w:rsidR="00D94ADB" w:rsidRDefault="00D94ADB">
      <w:pPr>
        <w:rPr>
          <w:rFonts w:eastAsia="Times New Roman"/>
        </w:rPr>
      </w:pPr>
    </w:p>
    <w:p w14:paraId="728F2B10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s tím, že budou znovu zvážena následující hlediska</w:t>
      </w:r>
      <w:r>
        <w:t xml:space="preserve"> </w:t>
      </w:r>
    </w:p>
    <w:p w14:paraId="7973F80D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aa) maximum věcně navrhovaných řešení provést event. novelizací platných obecných úprav; jen v odůvodněných případech při minimalizaci problémů přikročit k samostatnému resortně orientovanému předpisu zákonu o hnojivech,</w:t>
      </w:r>
      <w:r>
        <w:t xml:space="preserve"> </w:t>
      </w:r>
    </w:p>
    <w:p w14:paraId="70FFF2A5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ab) stanovit míru veřejnoprávní regulace, která má být svěřena státu v dané oblasti, místo toho a co má být ponecháno procesům tržního hospodářtví,</w:t>
      </w:r>
      <w:r>
        <w:t xml:space="preserve"> </w:t>
      </w:r>
    </w:p>
    <w:p w14:paraId="260CA1BF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ac) dořešit ochranu zdravotní nezávadnosti v oblasti uvedených komodit a při hospodaření s nimi,</w:t>
      </w:r>
      <w:r>
        <w:t xml:space="preserve"> </w:t>
      </w:r>
    </w:p>
    <w:p w14:paraId="4DA5F553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ad) znovu posoudit míru integrace státu do vnitřních technických a technologických procesů výrobců hnojiv a jejich aplikátorů,</w:t>
      </w:r>
      <w:r>
        <w:t xml:space="preserve"> </w:t>
      </w:r>
    </w:p>
    <w:p w14:paraId="72C1624B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b) k o n s t a t o v a l a , že soulad právního řádu České republiky s právem Evropské unie nemusí být realizován vždy formou přijetí samostatného zákona; soulad je naplněn i zapracováním věcné problematiky do existující vnitřní právní úpravy.</w:t>
      </w:r>
      <w:r>
        <w:t xml:space="preserve"> </w:t>
      </w:r>
    </w:p>
    <w:p w14:paraId="7FE4BBB9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3. Návrh zákona o odrůdách, osivu a sadbě pěstovaných rostlin a o změnách některých souvisejících právních předpisů</w:t>
      </w:r>
      <w:r>
        <w:t xml:space="preserve"> </w:t>
      </w:r>
    </w:p>
    <w:p w14:paraId="05029861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553/95</w:t>
      </w:r>
      <w:r>
        <w:t xml:space="preserve"> </w:t>
      </w:r>
    </w:p>
    <w:p w14:paraId="4F9C7191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BDA796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69D2EC26" w14:textId="54E92929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514</w:t>
        </w:r>
      </w:hyperlink>
    </w:p>
    <w:p w14:paraId="5BBA52A8" w14:textId="77777777" w:rsidR="00D94ADB" w:rsidRDefault="00D94A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 výraz "hospodářská hodnota" použitý v předloženém návrhu.</w:t>
      </w:r>
      <w:r>
        <w:rPr>
          <w:rFonts w:eastAsia="Times New Roman"/>
        </w:rPr>
        <w:t xml:space="preserve"> </w:t>
      </w:r>
    </w:p>
    <w:p w14:paraId="1601E39B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zákon č. 202/1990 Sb., o loteriích a jiných podobných hrách, ve znění zákona č. 70/1994 Sb.</w:t>
      </w:r>
      <w:r>
        <w:t xml:space="preserve"> </w:t>
      </w:r>
    </w:p>
    <w:p w14:paraId="61856C5A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562/95</w:t>
      </w:r>
      <w:r>
        <w:t xml:space="preserve"> </w:t>
      </w:r>
    </w:p>
    <w:p w14:paraId="569A97A1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B7DAA7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Návrh předložený místopředsedou vlády a ministrem financí byl stažen z programu.</w:t>
      </w:r>
      <w:r>
        <w:t xml:space="preserve"> </w:t>
      </w:r>
    </w:p>
    <w:p w14:paraId="3F4BE001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lastRenderedPageBreak/>
        <w:t>5. Návrh nařízení vlády, kterým se stanoví pro účely důchodového pojištění výše všeobecných vyměřovacích základů za období před rokem 1995 a výše přepočítacího koeficientu pro úpravu všeobecného vyměřovacího základu za rok 1994</w:t>
      </w:r>
      <w:r>
        <w:t xml:space="preserve"> </w:t>
      </w:r>
    </w:p>
    <w:p w14:paraId="5CDD6E10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744/95</w:t>
      </w:r>
      <w:r>
        <w:t xml:space="preserve"> </w:t>
      </w:r>
    </w:p>
    <w:p w14:paraId="35D444A3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59FF7A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36AAB221" w14:textId="0CC4FC5F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515.</w:t>
        </w:r>
      </w:hyperlink>
    </w:p>
    <w:p w14:paraId="4D80686A" w14:textId="77777777" w:rsidR="00D94ADB" w:rsidRDefault="00D94A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2. doplňku územního plánu rajónu Pražské - středočeské aglomerace</w:t>
      </w:r>
      <w:r>
        <w:rPr>
          <w:rFonts w:eastAsia="Times New Roman"/>
        </w:rPr>
        <w:t xml:space="preserve"> </w:t>
      </w:r>
    </w:p>
    <w:p w14:paraId="52328ED6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742/95</w:t>
      </w:r>
      <w:r>
        <w:t xml:space="preserve"> </w:t>
      </w:r>
    </w:p>
    <w:p w14:paraId="789E89E5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1D1471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77A635CC" w14:textId="5703D3C1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516.</w:t>
        </w:r>
      </w:hyperlink>
    </w:p>
    <w:p w14:paraId="3E6AD1F7" w14:textId="77777777" w:rsidR="00D94ADB" w:rsidRDefault="00D94A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7. Návrh zákona, kterým se mění a doplňuje zákon </w:t>
      </w:r>
      <w:r>
        <w:rPr>
          <w:rFonts w:ascii="Times New Roman CE" w:eastAsia="Times New Roman" w:hAnsi="Times New Roman CE" w:cs="Times New Roman CE"/>
        </w:rPr>
        <w:t>č. 182/1993 Sb., o Ústavním soudu (tisk č. 1900)</w:t>
      </w:r>
      <w:r>
        <w:rPr>
          <w:rFonts w:eastAsia="Times New Roman"/>
        </w:rPr>
        <w:t xml:space="preserve"> </w:t>
      </w:r>
    </w:p>
    <w:p w14:paraId="2305B824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707/95</w:t>
      </w:r>
      <w:r>
        <w:t xml:space="preserve"> </w:t>
      </w:r>
    </w:p>
    <w:p w14:paraId="2D75F487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32A268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2E8D2E93" w14:textId="1A3916DC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517.</w:t>
        </w:r>
      </w:hyperlink>
    </w:p>
    <w:p w14:paraId="7940791E" w14:textId="77777777" w:rsidR="00D94ADB" w:rsidRDefault="00D94ADB">
      <w:pPr>
        <w:rPr>
          <w:rFonts w:eastAsia="Times New Roman"/>
        </w:rPr>
      </w:pPr>
    </w:p>
    <w:p w14:paraId="39736B2F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8. Návrh zákona, kterým se mění zákon č. 140/1961 Sb., trestní zákon, ve znění pozdějších předpisů (tisk č. 1894)</w:t>
      </w:r>
      <w:r>
        <w:t xml:space="preserve"> </w:t>
      </w:r>
    </w:p>
    <w:p w14:paraId="1BE3CA82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694/95</w:t>
      </w:r>
      <w:r>
        <w:t xml:space="preserve"> </w:t>
      </w:r>
    </w:p>
    <w:p w14:paraId="0CDCAE4D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1787FC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6C87103" w14:textId="2F7F396A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518.</w:t>
        </w:r>
      </w:hyperlink>
    </w:p>
    <w:p w14:paraId="32A46F36" w14:textId="77777777" w:rsidR="00D94ADB" w:rsidRDefault="00D94ADB">
      <w:pPr>
        <w:rPr>
          <w:rFonts w:eastAsia="Times New Roman"/>
        </w:rPr>
      </w:pPr>
    </w:p>
    <w:p w14:paraId="694B2C67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9. Návrh zákona, kterým se mění zákon č. 94/1963 Sb., o rodině, ve znění pozdějších předpisů (tisk č. 1895)</w:t>
      </w:r>
      <w:r>
        <w:t xml:space="preserve"> </w:t>
      </w:r>
    </w:p>
    <w:p w14:paraId="03F357B1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695/95</w:t>
      </w:r>
      <w:r>
        <w:t xml:space="preserve"> </w:t>
      </w:r>
    </w:p>
    <w:p w14:paraId="2977E6D6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7DF68CB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50C437C5" w14:textId="382E4B27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519.</w:t>
        </w:r>
      </w:hyperlink>
    </w:p>
    <w:p w14:paraId="129C5C82" w14:textId="77777777" w:rsidR="00D94ADB" w:rsidRDefault="00D94ADB">
      <w:pPr>
        <w:rPr>
          <w:rFonts w:eastAsia="Times New Roman"/>
        </w:rPr>
      </w:pPr>
    </w:p>
    <w:p w14:paraId="139595D6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10. Návrh zákona, kterým se mění a doplňuje zákon č. 20/1966 Sb., o péči o zdraví lidu, ve znění pozdějších předpisů, zákon č. 83/1990 Sb., o sdružování občanů, ve znění pozdějších předpisů, zákon České národní rady č. 220/1991 Sb., o České lékařské komoře, České stomatologické komoře a České lékárenské komoře, ve znění pozdějších předpisů, a zákon České národní rady č. 550/1991 Sb., o všeobecném zdravotním pojištění, ve znění pozdějších předpisů (tisk č. 1897)</w:t>
      </w:r>
      <w:r>
        <w:t xml:space="preserve"> </w:t>
      </w:r>
    </w:p>
    <w:p w14:paraId="6CA1E577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696/95</w:t>
      </w:r>
      <w:r>
        <w:t xml:space="preserve"> </w:t>
      </w:r>
    </w:p>
    <w:p w14:paraId="19ED0550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F183F0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305F58AB" w14:textId="19C17D55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520.</w:t>
        </w:r>
      </w:hyperlink>
    </w:p>
    <w:p w14:paraId="54D960BA" w14:textId="77777777" w:rsidR="00D94ADB" w:rsidRDefault="00D94ADB">
      <w:pPr>
        <w:rPr>
          <w:rFonts w:eastAsia="Times New Roman"/>
        </w:rPr>
      </w:pPr>
    </w:p>
    <w:p w14:paraId="326099C9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11. Návrh zákona, kterým se mění a doplňuje zákon České národní rady č. 37/1989 Sb., o ochraně před alkoholismem a jinými toxikomaniemi, ve znění zákona č. 425/1990 Sb., zákon České národní rady č. 587/1992 Sb., o spotřebních daních (tisk č. 1896)</w:t>
      </w:r>
      <w:r>
        <w:t xml:space="preserve"> </w:t>
      </w:r>
    </w:p>
    <w:p w14:paraId="3EF8822C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706/95</w:t>
      </w:r>
      <w:r>
        <w:t xml:space="preserve"> </w:t>
      </w:r>
    </w:p>
    <w:p w14:paraId="5EA696C4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F2D3AA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79AF0143" w14:textId="0BF5610F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521.</w:t>
        </w:r>
      </w:hyperlink>
    </w:p>
    <w:p w14:paraId="49D065BE" w14:textId="77777777" w:rsidR="00D94ADB" w:rsidRDefault="00D94ADB">
      <w:pPr>
        <w:rPr>
          <w:rFonts w:eastAsia="Times New Roman"/>
        </w:rPr>
      </w:pPr>
    </w:p>
    <w:p w14:paraId="5ADC1458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12. Definitivní řešení obchodního případu Iranshahr</w:t>
      </w:r>
      <w:r>
        <w:t xml:space="preserve"> </w:t>
      </w:r>
    </w:p>
    <w:p w14:paraId="48056A81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752/95</w:t>
      </w:r>
      <w:r>
        <w:t xml:space="preserve"> </w:t>
      </w:r>
    </w:p>
    <w:p w14:paraId="12D3BE58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6039E386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27DA764E" w14:textId="58DACC78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522.</w:t>
        </w:r>
      </w:hyperlink>
    </w:p>
    <w:p w14:paraId="02F95406" w14:textId="77777777" w:rsidR="00D94ADB" w:rsidRDefault="00D94ADB">
      <w:pPr>
        <w:rPr>
          <w:rFonts w:eastAsia="Times New Roman"/>
        </w:rPr>
      </w:pPr>
    </w:p>
    <w:p w14:paraId="32191ACF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13. Návrh na sjednání Dohody mezi členskými státy Severoatlantické smlouvy a ostatními státy zúčastněnými v Partnerství pro mír o statutu jejich ozbrojených sil a Dodatkového protokolu k ní</w:t>
      </w:r>
      <w:r>
        <w:t xml:space="preserve"> </w:t>
      </w:r>
    </w:p>
    <w:p w14:paraId="08264CA0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717/95</w:t>
      </w:r>
      <w:r>
        <w:t xml:space="preserve"> </w:t>
      </w:r>
    </w:p>
    <w:p w14:paraId="40563CF0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6CA079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obrany a zahraničních věcí a přijala</w:t>
      </w:r>
    </w:p>
    <w:p w14:paraId="2D552144" w14:textId="2A45CDF6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523.</w:t>
        </w:r>
      </w:hyperlink>
    </w:p>
    <w:p w14:paraId="35EA0957" w14:textId="77777777" w:rsidR="00D94ADB" w:rsidRDefault="00D94ADB">
      <w:pPr>
        <w:rPr>
          <w:rFonts w:eastAsia="Times New Roman"/>
        </w:rPr>
      </w:pPr>
    </w:p>
    <w:p w14:paraId="6E752E10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14. Návrh na změnu znění bodu III. z usnesení vlády České republiky ze dne 9. listopadu 1994 č. 633, k návrhu na přístup České republiky k Mezinárodní úmluvě o spolupráci při zajišťování bezpečnosti letového provozu - Evropská organizace pro bezpečnost leteckého provozu (EUROCONTROL) - a k Mnohostranné úmluvě o letových poplatcích</w:t>
      </w:r>
      <w:r>
        <w:t xml:space="preserve"> </w:t>
      </w:r>
    </w:p>
    <w:p w14:paraId="20750564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756/95</w:t>
      </w:r>
      <w:r>
        <w:t xml:space="preserve"> </w:t>
      </w:r>
    </w:p>
    <w:p w14:paraId="445C7E42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6474E8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dopravy a zahraničních věcí a přijala</w:t>
      </w:r>
    </w:p>
    <w:p w14:paraId="47E5B455" w14:textId="6FEE054C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524.</w:t>
        </w:r>
      </w:hyperlink>
    </w:p>
    <w:p w14:paraId="524408BB" w14:textId="77777777" w:rsidR="00D94ADB" w:rsidRDefault="00D94ADB">
      <w:pPr>
        <w:rPr>
          <w:rFonts w:eastAsia="Times New Roman"/>
        </w:rPr>
      </w:pPr>
    </w:p>
    <w:p w14:paraId="170FBE56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15. Návrh na sjednání Dohody o vědeckotechnické spolupráci mezi vládou České republiky a vládou Republiky Slovinsko</w:t>
      </w:r>
      <w:r>
        <w:t xml:space="preserve"> </w:t>
      </w:r>
    </w:p>
    <w:p w14:paraId="520598E5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754/95</w:t>
      </w:r>
      <w:r>
        <w:t xml:space="preserve"> </w:t>
      </w:r>
    </w:p>
    <w:p w14:paraId="3BC7771D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3158EB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školství, mládeže a tělovýchovy a zahraničních věcí a přijala</w:t>
      </w:r>
    </w:p>
    <w:p w14:paraId="762D10DA" w14:textId="5EDF63A1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525.</w:t>
        </w:r>
      </w:hyperlink>
    </w:p>
    <w:p w14:paraId="39EC612C" w14:textId="77777777" w:rsidR="00D94ADB" w:rsidRDefault="00D94ADB">
      <w:pPr>
        <w:rPr>
          <w:rFonts w:eastAsia="Times New Roman"/>
        </w:rPr>
      </w:pPr>
    </w:p>
    <w:p w14:paraId="3C58B711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16. Návrh na obeslání 5. Evropské regionální konference Mezinárodní organizace práce</w:t>
      </w:r>
      <w:r>
        <w:t xml:space="preserve"> </w:t>
      </w:r>
    </w:p>
    <w:p w14:paraId="3273D819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743/95</w:t>
      </w:r>
      <w:r>
        <w:t xml:space="preserve"> </w:t>
      </w:r>
    </w:p>
    <w:p w14:paraId="21361784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30F407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práce a sociálních věcí a zahraničních věcí a přijala</w:t>
      </w:r>
    </w:p>
    <w:p w14:paraId="780E788C" w14:textId="67159E4B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526.</w:t>
        </w:r>
      </w:hyperlink>
    </w:p>
    <w:p w14:paraId="5E33820D" w14:textId="77777777" w:rsidR="00D94ADB" w:rsidRDefault="00D94ADB">
      <w:pPr>
        <w:rPr>
          <w:rFonts w:eastAsia="Times New Roman"/>
        </w:rPr>
      </w:pPr>
    </w:p>
    <w:p w14:paraId="79111BD7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17. Pravidla a metodika rozdělování návratné finanční výpomoci</w:t>
      </w:r>
      <w:r>
        <w:t xml:space="preserve"> </w:t>
      </w:r>
    </w:p>
    <w:p w14:paraId="2065EF42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755/95</w:t>
      </w:r>
      <w:r>
        <w:t xml:space="preserve"> </w:t>
      </w:r>
    </w:p>
    <w:p w14:paraId="01987D0A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20195BD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v diskusi projednala materiál předložený ministrem zdravotnictví a u l o ž i l a ministru zdravotnictví a místopředsedovi vlády a ministru financí dopracovat předložený materiál a předložit jej vládě na jednání její schůze dne 20. září 1995.</w:t>
      </w:r>
      <w:r>
        <w:t xml:space="preserve"> </w:t>
      </w:r>
    </w:p>
    <w:p w14:paraId="21DA5AD7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18. Informace o vývoji a stavu obchodního soudnictví</w:t>
      </w:r>
      <w:r>
        <w:t xml:space="preserve"> </w:t>
      </w:r>
    </w:p>
    <w:p w14:paraId="50DBAD9D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745/95</w:t>
      </w:r>
      <w:r>
        <w:t xml:space="preserve"> </w:t>
      </w:r>
    </w:p>
    <w:p w14:paraId="16A05321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1FA1CC77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informaci předloženou ministrem spravedlnosti a u l o ž i l a</w:t>
      </w:r>
      <w:r>
        <w:t xml:space="preserve"> </w:t>
      </w:r>
    </w:p>
    <w:p w14:paraId="1D2DC2E8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a) členům vlády, kterých se uvedená problematika týká, předat do 20. září 1995 ministru spravedlnosti připomínky a náměty k předložené informaci,</w:t>
      </w:r>
      <w:r>
        <w:t xml:space="preserve"> </w:t>
      </w:r>
    </w:p>
    <w:p w14:paraId="7F9AF14E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b) ministru spravedlnosti předložit vládě do 27. září 1995 časový harmonogram konkrétních opatření včetně návrhů uvedených pod písm. a) tohoto bodu záznamu.</w:t>
      </w:r>
      <w:r>
        <w:t xml:space="preserve"> </w:t>
      </w:r>
    </w:p>
    <w:p w14:paraId="762831EC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19. Informace ministra hospodářství ČR Doc. Ing. Karla Dyby, CSc., k privatizaci učňovských zařízení</w:t>
      </w:r>
      <w:r>
        <w:t xml:space="preserve"> </w:t>
      </w:r>
    </w:p>
    <w:p w14:paraId="7F101CD9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748/95</w:t>
      </w:r>
      <w:r>
        <w:t xml:space="preserve"> </w:t>
      </w:r>
    </w:p>
    <w:p w14:paraId="282FA340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968FD0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informaci ministra hospodářství a u l o ž i l a ministru hospodářství svolat poradu k problematice privatizace učňovských zařízení za účasti členů vlády, do jejichž působnosti patří učňovská zařízení, a ministra pro správu národního majetku a jeho privatizaci.</w:t>
      </w:r>
      <w:r>
        <w:t xml:space="preserve"> </w:t>
      </w:r>
    </w:p>
    <w:p w14:paraId="1917F5EE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20. Rozhodnutí o privatizaci podle § 10, odst. 1 zákona č. 92/1991 Sb., o podmínkách převodu majetku státu na jiné osoby, ve znění pozdějších předpisů (materiál č. 103)</w:t>
      </w:r>
      <w:r>
        <w:t xml:space="preserve"> </w:t>
      </w:r>
    </w:p>
    <w:p w14:paraId="47427D5C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757/95</w:t>
      </w:r>
      <w:r>
        <w:t xml:space="preserve"> </w:t>
      </w:r>
    </w:p>
    <w:p w14:paraId="5CCFFA5A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C436EC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4F7BC89C" w14:textId="1AD54E2C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527.</w:t>
        </w:r>
      </w:hyperlink>
    </w:p>
    <w:p w14:paraId="5ACBF072" w14:textId="77777777" w:rsidR="00D94ADB" w:rsidRDefault="00D94ADB">
      <w:pPr>
        <w:rPr>
          <w:rFonts w:eastAsia="Times New Roman"/>
        </w:rPr>
      </w:pPr>
    </w:p>
    <w:p w14:paraId="5CD43535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21. Žádosti o udělení výjimky podle § 45 odstavců 1 a 2 zákona č. 92/1991 Sb., o podmínkách převodu majetku státu na jiné osoby</w:t>
      </w:r>
      <w:r>
        <w:t xml:space="preserve"> </w:t>
      </w:r>
    </w:p>
    <w:p w14:paraId="540A0C64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753/95</w:t>
      </w:r>
      <w:r>
        <w:t xml:space="preserve"> </w:t>
      </w:r>
    </w:p>
    <w:p w14:paraId="208A45E0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A76B47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78CB78E0" w14:textId="2570D8D2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528.</w:t>
        </w:r>
      </w:hyperlink>
    </w:p>
    <w:p w14:paraId="30E933C5" w14:textId="77777777" w:rsidR="00D94ADB" w:rsidRDefault="00D94ADB">
      <w:pPr>
        <w:rPr>
          <w:rFonts w:eastAsia="Times New Roman"/>
        </w:rPr>
      </w:pPr>
    </w:p>
    <w:p w14:paraId="7D73D2EC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22. Informace k využití rozpočtových prostředků ministerstva kultury ČR v navýšeném objemu 100 mil. Kč z přebytku státního rozpočtu v roce 1995 v Programu záchrany architektonického dědictví</w:t>
      </w:r>
      <w:r>
        <w:t xml:space="preserve"> </w:t>
      </w:r>
    </w:p>
    <w:p w14:paraId="5F6F9714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03B11B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Ministr kultury předložil vládě informaci o využití rozpočtových prostředků v navýšeném objemu 100 mil. Kč z přebytku státního rozpočtu v roce 1995 v Programu záchrany architektonického dědictví /bod 11c) záznamu z jednání vlády 6. září 1995/, s tím, že ti členové vlády, kteří budou mít dotazy nebo připomínky, je předají ministru kultury.</w:t>
      </w:r>
      <w:r>
        <w:t xml:space="preserve"> </w:t>
      </w:r>
    </w:p>
    <w:p w14:paraId="43AE46A7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23. Návrh na odvolání přednostky Okresního úřadu České Budějovice</w:t>
      </w:r>
      <w:r>
        <w:t xml:space="preserve"> </w:t>
      </w:r>
    </w:p>
    <w:p w14:paraId="0FD95973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495005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378F8EFB" w14:textId="2761A094" w:rsidR="00D94ADB" w:rsidRDefault="00D94A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529.</w:t>
        </w:r>
      </w:hyperlink>
    </w:p>
    <w:p w14:paraId="196D11BF" w14:textId="77777777" w:rsidR="00D94ADB" w:rsidRDefault="00D94ADB">
      <w:pPr>
        <w:rPr>
          <w:rFonts w:eastAsia="Times New Roman"/>
        </w:rPr>
      </w:pPr>
    </w:p>
    <w:p w14:paraId="084E88B5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47DF43B2" w14:textId="77777777" w:rsidR="00D94ADB" w:rsidRDefault="00D94AD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B34E97E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1. Kontrolní závěr NKÚ z kontroly hospodaření s majetkem státu a s prostředky státního rozpočtu kapitoly 327 - ministerstvo dopravy na rok 1994 (předložil ministr vlády a vedoucí Úřadu vlády I. Němec)</w:t>
      </w:r>
      <w:r>
        <w:t xml:space="preserve"> </w:t>
      </w:r>
    </w:p>
    <w:p w14:paraId="17EE5AD9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747/95</w:t>
      </w:r>
      <w:r>
        <w:t xml:space="preserve"> </w:t>
      </w:r>
    </w:p>
    <w:p w14:paraId="2E1FE2AB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2. Změny plánů kontrolní činnosti NKÚ na rok 1994 a 1995 (předložil ministr vlády a vedoucí Úřadu vlády I. Němec)</w:t>
      </w:r>
      <w:r>
        <w:t xml:space="preserve"> </w:t>
      </w:r>
    </w:p>
    <w:p w14:paraId="18477791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č.j. 750/95</w:t>
      </w:r>
      <w:r>
        <w:t xml:space="preserve"> </w:t>
      </w:r>
    </w:p>
    <w:p w14:paraId="08C2A70F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E8F9276" w14:textId="77777777" w:rsidR="00D94ADB" w:rsidRDefault="00D94ADB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54F2928E" w14:textId="77777777" w:rsidR="00D94ADB" w:rsidRDefault="00D94AD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B"/>
    <w:rsid w:val="00B3122F"/>
    <w:rsid w:val="00D9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B379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8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9-13" TargetMode="External"/><Relationship Id="rId13" Type="http://schemas.openxmlformats.org/officeDocument/2006/relationships/hyperlink" Target="file:///c:\redir.nsf%3fRedirect&amp;To=\66bbfabee8e70f37c125642e0052aae5\75643954b943460cc12564b5002844c1%3fOpen&amp;Name=CN=Ghoul\O=ENV\C=CZ&amp;Id=C1256A62004E5036" TargetMode="External"/><Relationship Id="rId18" Type="http://schemas.openxmlformats.org/officeDocument/2006/relationships/hyperlink" Target="file:///c:\redir.nsf%3fRedirect&amp;To=\66bbfabee8e70f37c125642e0052aae5\a6f95daa535779fbc12564b50028434c%3fOpen&amp;Name=CN=Ghoul\O=ENV\C=CZ&amp;Id=C1256A62004E5036" TargetMode="External"/><Relationship Id="rId26" Type="http://schemas.openxmlformats.org/officeDocument/2006/relationships/hyperlink" Target="file:///c:\redir.nsf%3fRedirect&amp;To=\66bbfabee8e70f37c125642e0052aae5\726056ed78ad46a0c12564b50028435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35769d3fd908a1d5c12564b5002844be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1d0696acf3192c13c12564b500284351%3fOpen&amp;Name=CN=Ghoul\O=ENV\C=CZ&amp;Id=C1256A62004E5036" TargetMode="External"/><Relationship Id="rId17" Type="http://schemas.openxmlformats.org/officeDocument/2006/relationships/hyperlink" Target="file:///c:\redir.nsf%3fRedirect&amp;To=\66bbfabee8e70f37c125642e0052aae5\e7cd86d8d32d4088c12564b50028434d%3fOpen&amp;Name=CN=Ghoul\O=ENV\C=CZ&amp;Id=C1256A62004E5036" TargetMode="External"/><Relationship Id="rId25" Type="http://schemas.openxmlformats.org/officeDocument/2006/relationships/hyperlink" Target="file:///c:\redir.nsf%3fRedirect&amp;To=\66bbfabee8e70f37c125642e0052aae5\fd062dab2fbcb5a2c12564b5002844bb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90c531d61eda4fdec12564b50028434e%3fOpen&amp;Name=CN=Ghoul\O=ENV\C=CZ&amp;Id=C1256A62004E5036" TargetMode="External"/><Relationship Id="rId20" Type="http://schemas.openxmlformats.org/officeDocument/2006/relationships/hyperlink" Target="file:///c:\redir.nsf%3fRedirect&amp;To=\66bbfabee8e70f37c125642e0052aae5\2906497144dd77f6c12564b5002844bf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68790a7ca8da893c12564b500284352%3fOpen&amp;Name=CN=Ghoul\O=ENV\C=CZ&amp;Id=C1256A62004E5036" TargetMode="External"/><Relationship Id="rId24" Type="http://schemas.openxmlformats.org/officeDocument/2006/relationships/hyperlink" Target="file:///c:\redir.nsf%3fRedirect&amp;To=\66bbfabee8e70f37c125642e0052aae5\cc0114cba720ffeec12564b5002844b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7fbe69cfba0eafac12564b50028434f%3fOpen&amp;Name=CN=Ghoul\O=ENV\C=CZ&amp;Id=C1256A62004E5036" TargetMode="External"/><Relationship Id="rId23" Type="http://schemas.openxmlformats.org/officeDocument/2006/relationships/hyperlink" Target="file:///c:\redir.nsf%3fRedirect&amp;To=\66bbfabee8e70f37c125642e0052aae5\5fb1d86d41a375cbc12564b5002844bd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dde3ba1a85253386c12564b500284353%3fOpen&amp;Name=CN=Ghoul\O=ENV\C=CZ&amp;Id=C1256A62004E5036" TargetMode="External"/><Relationship Id="rId19" Type="http://schemas.openxmlformats.org/officeDocument/2006/relationships/hyperlink" Target="file:///c:\redir.nsf%3fRedirect&amp;To=\66bbfabee8e70f37c125642e0052aae5\8ccd9cdfbf7fe817c12564b5002844c0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d9944771d093f48c12564b500284350%3fOpen&amp;Name=CN=Ghoul\O=ENV\C=CZ&amp;Id=C1256A62004E5036" TargetMode="External"/><Relationship Id="rId22" Type="http://schemas.openxmlformats.org/officeDocument/2006/relationships/hyperlink" Target="file:///c:\redir.nsf%3fRedirect&amp;To=\66bbfabee8e70f37c125642e0052aae5\ff0c81d09c20ac7cc12564b50028434b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2055</Words>
  <Characters>11715</Characters>
  <Application>Microsoft Office Word</Application>
  <DocSecurity>0</DocSecurity>
  <Lines>97</Lines>
  <Paragraphs>27</Paragraphs>
  <ScaleCrop>false</ScaleCrop>
  <Company>Profinit EU s.r.o.</Company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