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42A164A" w14:textId="77777777" w:rsidR="007A0F0F" w:rsidRDefault="007A0F0F">
      <w:pPr>
        <w:pStyle w:val="z-TopofForm"/>
      </w:pPr>
      <w:r>
        <w:t>Top of Form</w:t>
      </w:r>
    </w:p>
    <w:p w14:paraId="6DA60A25" w14:textId="6BEF2E2A" w:rsidR="007A0F0F" w:rsidRDefault="007A0F0F">
      <w:pPr>
        <w:pStyle w:val="Heading5"/>
        <w:divId w:val="193994426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1995-10-11</w:t>
        </w:r>
      </w:hyperlink>
    </w:p>
    <w:p w14:paraId="15E0118C" w14:textId="77777777" w:rsidR="007A0F0F" w:rsidRDefault="007A0F0F">
      <w:pPr>
        <w:rPr>
          <w:rFonts w:eastAsia="Times New Roman"/>
        </w:rPr>
      </w:pPr>
    </w:p>
    <w:p w14:paraId="500DF51C" w14:textId="77777777" w:rsidR="007A0F0F" w:rsidRDefault="007A0F0F">
      <w:pPr>
        <w:divId w:val="21123179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281176D" w14:textId="77777777" w:rsidR="007A0F0F" w:rsidRDefault="007A0F0F">
      <w:pPr>
        <w:divId w:val="1923563799"/>
        <w:rPr>
          <w:rFonts w:eastAsia="Times New Roman"/>
        </w:rPr>
      </w:pPr>
      <w:r>
        <w:rPr>
          <w:rFonts w:eastAsia="Times New Roman"/>
        </w:rPr>
        <w:pict w14:anchorId="5CFF837C"/>
      </w:r>
      <w:r>
        <w:rPr>
          <w:rFonts w:eastAsia="Times New Roman"/>
        </w:rPr>
        <w:pict w14:anchorId="516422A8"/>
      </w:r>
      <w:r>
        <w:rPr>
          <w:rFonts w:eastAsia="Times New Roman"/>
          <w:noProof/>
        </w:rPr>
        <w:drawing>
          <wp:inline distT="0" distB="0" distL="0" distR="0" wp14:anchorId="0992757B" wp14:editId="52B1991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8BC8" w14:textId="77777777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B211383" w14:textId="77777777">
        <w:trPr>
          <w:tblCellSpacing w:w="0" w:type="dxa"/>
        </w:trPr>
        <w:tc>
          <w:tcPr>
            <w:tcW w:w="2500" w:type="pct"/>
            <w:hideMark/>
          </w:tcPr>
          <w:p w14:paraId="783B7A07" w14:textId="77777777" w:rsidR="007A0F0F" w:rsidRDefault="007A0F0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2077/95</w:t>
            </w:r>
          </w:p>
        </w:tc>
        <w:tc>
          <w:tcPr>
            <w:tcW w:w="2500" w:type="pct"/>
            <w:hideMark/>
          </w:tcPr>
          <w:p w14:paraId="1CC560D9" w14:textId="77777777" w:rsidR="007A0F0F" w:rsidRDefault="007A0F0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října 1995</w:t>
            </w:r>
          </w:p>
        </w:tc>
      </w:tr>
    </w:tbl>
    <w:p w14:paraId="1EF668A6" w14:textId="77777777" w:rsidR="007A0F0F" w:rsidRDefault="007A0F0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11. října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(39. schůze)</w:t>
      </w:r>
    </w:p>
    <w:p w14:paraId="6E197CE5" w14:textId="77777777" w:rsidR="007A0F0F" w:rsidRDefault="007A0F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2D9602A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1. Návrh nařízení vlády, kterým se stanoví podmínky státní finanční podpory hypotečního úvěrování bytové výstavby</w:t>
      </w:r>
      <w:r>
        <w:t xml:space="preserve"> </w:t>
      </w:r>
    </w:p>
    <w:p w14:paraId="484B1894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828/95</w:t>
      </w:r>
      <w:r>
        <w:t xml:space="preserve"> </w:t>
      </w:r>
    </w:p>
    <w:p w14:paraId="03FAC022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A98E13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podrobně projednala návrh předložený ministrem hospodářství a</w:t>
      </w:r>
      <w:r>
        <w:t xml:space="preserve"> </w:t>
      </w:r>
    </w:p>
    <w:p w14:paraId="14BC51D0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79B430D" w14:textId="53A34002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568</w:t>
        </w:r>
      </w:hyperlink>
    </w:p>
    <w:p w14:paraId="3A67FCD3" w14:textId="77777777" w:rsidR="007A0F0F" w:rsidRDefault="007A0F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znění § 1, § 2, § 4, § 5, § 7 a budou též zpřesněna další ustanovení nařízení vlády věcně související s uvedenými a dále s tím, že bude změněn název části II a § 4 nařízení vlády,</w:t>
      </w:r>
      <w:r>
        <w:rPr>
          <w:rFonts w:eastAsia="Times New Roman"/>
        </w:rPr>
        <w:t xml:space="preserve"> </w:t>
      </w:r>
    </w:p>
    <w:p w14:paraId="425AFFD9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b) p o v ě ř i l a předsedu vlády ve spolupráci s místopředsedou vlády pověřeným řízením Úřadu pro legislativu a veřejnou správu a ministrem vlády a vedoucím Úřadu vlády I. Němcem provést do 13. října 1995 redakci konečného znění nařízení vlády.</w:t>
      </w:r>
      <w:r>
        <w:t xml:space="preserve"> </w:t>
      </w:r>
    </w:p>
    <w:p w14:paraId="3815EF77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2. Návrh ústavního zákona o vytvoření vyšších územních samosprávných celků (tisk č. 1912)</w:t>
      </w:r>
      <w:r>
        <w:t xml:space="preserve"> </w:t>
      </w:r>
    </w:p>
    <w:p w14:paraId="3C907495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768/95</w:t>
      </w:r>
      <w:r>
        <w:t xml:space="preserve"> </w:t>
      </w:r>
    </w:p>
    <w:p w14:paraId="0CD5557E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6F3D82AF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pověřeným řízením Úřadu pro legislativu a veřejnou správu přijala</w:t>
      </w:r>
    </w:p>
    <w:p w14:paraId="25CB7175" w14:textId="7F557C44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569.</w:t>
        </w:r>
      </w:hyperlink>
    </w:p>
    <w:p w14:paraId="08CC4EFA" w14:textId="77777777" w:rsidR="007A0F0F" w:rsidRDefault="007A0F0F">
      <w:pPr>
        <w:rPr>
          <w:rFonts w:eastAsia="Times New Roman"/>
        </w:rPr>
      </w:pPr>
    </w:p>
    <w:p w14:paraId="20FE8C83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3. Návrh ústavního zákona o vytvoření vyšších územních samosprávných celků v České republice (tisk č. 1915)</w:t>
      </w:r>
      <w:r>
        <w:t xml:space="preserve"> </w:t>
      </w:r>
    </w:p>
    <w:p w14:paraId="60614033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773/95</w:t>
      </w:r>
      <w:r>
        <w:t xml:space="preserve"> </w:t>
      </w:r>
    </w:p>
    <w:p w14:paraId="0DE8D0BA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9C2E23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7DA2C1E3" w14:textId="1F4094B3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570.</w:t>
        </w:r>
      </w:hyperlink>
    </w:p>
    <w:p w14:paraId="67F5251D" w14:textId="77777777" w:rsidR="007A0F0F" w:rsidRDefault="007A0F0F">
      <w:pPr>
        <w:rPr>
          <w:rFonts w:eastAsia="Times New Roman"/>
        </w:rPr>
      </w:pPr>
    </w:p>
    <w:p w14:paraId="429DA8EB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4. Návrh skupiny poslanců na vydání zákona o advokacii (tisk č. 1920)</w:t>
      </w:r>
      <w:r>
        <w:t xml:space="preserve"> </w:t>
      </w:r>
    </w:p>
    <w:p w14:paraId="356621FA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781/95</w:t>
      </w:r>
      <w:r>
        <w:t xml:space="preserve"> </w:t>
      </w:r>
    </w:p>
    <w:p w14:paraId="2A324F29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139B7A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76409160" w14:textId="2D9DD712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571.</w:t>
        </w:r>
      </w:hyperlink>
    </w:p>
    <w:p w14:paraId="26160BF5" w14:textId="77777777" w:rsidR="007A0F0F" w:rsidRDefault="007A0F0F">
      <w:pPr>
        <w:rPr>
          <w:rFonts w:eastAsia="Times New Roman"/>
        </w:rPr>
      </w:pPr>
    </w:p>
    <w:p w14:paraId="36D5880D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5. Návrh zákona proti legalizaci výnosů z trestné činnosti</w:t>
      </w:r>
      <w:r>
        <w:t xml:space="preserve"> </w:t>
      </w:r>
    </w:p>
    <w:p w14:paraId="38D13097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649/95</w:t>
      </w:r>
      <w:r>
        <w:t xml:space="preserve"> </w:t>
      </w:r>
    </w:p>
    <w:p w14:paraId="4C41F0D7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18C135BC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473727AA" w14:textId="2702397B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572</w:t>
        </w:r>
      </w:hyperlink>
    </w:p>
    <w:p w14:paraId="29F991B5" w14:textId="77777777" w:rsidR="007A0F0F" w:rsidRDefault="007A0F0F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s tím, že bude zpřesněno znění § 2 a doplněn § 12 návrhu a dále s tím, že nebudou vzata v úvahu doporučení obsažená ve stanovisku Legislativní rady vlády k § 7 odst. 2, k § 9 bod 1. a 3., k § 12 bod 1. a 2., k § 14 bod 1. a k § 20 návrhu a s tím, že doporučení k § 4 odst. 1 návrhu bude vzato v úvahu jen ohledně uvedení kompetence organizační složky ministerstva financí v návrhu zákona a dále s tím, že rozhodnutí ministerstva financí podle navrhovaného zákona bude procesně přezkoumatelné a s tím, že bude nav</w:t>
      </w:r>
      <w:r>
        <w:rPr>
          <w:rFonts w:ascii="Times New Roman CE" w:eastAsia="Times New Roman" w:hAnsi="Times New Roman CE" w:cs="Times New Roman CE"/>
        </w:rPr>
        <w:t>ržena účinnost zákona od 1. dubna 1996 a bude upřesněna jeho důvodová zpráva.</w:t>
      </w:r>
      <w:r>
        <w:rPr>
          <w:rFonts w:eastAsia="Times New Roman"/>
        </w:rPr>
        <w:t xml:space="preserve"> </w:t>
      </w:r>
    </w:p>
    <w:p w14:paraId="66578446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6. Harmonogram opatření k "Informaci o vývoji a stavu obchodního soudnictví"</w:t>
      </w:r>
      <w:r>
        <w:t xml:space="preserve"> </w:t>
      </w:r>
    </w:p>
    <w:p w14:paraId="467A621F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803/95</w:t>
      </w:r>
      <w:r>
        <w:t xml:space="preserve"> </w:t>
      </w:r>
    </w:p>
    <w:p w14:paraId="6013204B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CABFB3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</w:p>
    <w:p w14:paraId="752929CA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a) materiál předložený ministrem spravedlnosti,</w:t>
      </w:r>
      <w:r>
        <w:t xml:space="preserve"> </w:t>
      </w:r>
    </w:p>
    <w:p w14:paraId="47351C93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b) ústní informaci ministra spravedlnosti o možnostech a účelnosti dílčích novel občanského soudního řádu před provedením rekodifikace tohoto právního předpisu.</w:t>
      </w:r>
      <w:r>
        <w:t xml:space="preserve"> </w:t>
      </w:r>
    </w:p>
    <w:p w14:paraId="5B960659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7. Návrh na udělení výjimky z ustanovení § 45, odst. 2 zákona č. 92/1991 Sb., o podmínkách převodu majetku státu na jiné osoby, ve znění pozdějších předpisů, při prodeji kasáren Jiřího z Poděbrad na náměstí Republiky v Praze</w:t>
      </w:r>
      <w:r>
        <w:t xml:space="preserve"> </w:t>
      </w:r>
    </w:p>
    <w:p w14:paraId="257E6118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794/95</w:t>
      </w:r>
      <w:r>
        <w:t xml:space="preserve"> </w:t>
      </w:r>
    </w:p>
    <w:p w14:paraId="7C5FAA9C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211B27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 xml:space="preserve">V l á d a za účasti primátora hlavního města Prahy </w:t>
      </w:r>
      <w:r>
        <w:rPr>
          <w:rFonts w:ascii="Times New Roman CE" w:hAnsi="Times New Roman CE" w:cs="Times New Roman CE"/>
        </w:rPr>
        <w:t>projednala materiál předložený ministrem obrany a u l o ž i l a ministru obrany ve spolupráci s ministrem pro správu národního majetku a jeho privatizaci předložit nový materiál týkající se dané problematiky a řešící též připomínky vzešlé z diskuse vlády (právní režim převodu vlastnictví nemovitosti, splátkový kalendář nabyvatele a rámcové informování vlády o dalších záměrech nabyvatele s nemovitostmi).</w:t>
      </w:r>
      <w:r>
        <w:t xml:space="preserve"> </w:t>
      </w:r>
    </w:p>
    <w:p w14:paraId="7A1BAA5D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8. Žádost o udělení výjimky vlády ČR podle § 45 zákona č. 92/1991 Sb., ve znění zákona č. 90/1992 Sb., zákona č. 544/1992 Sb., zákona č. 210/1993 Sb., zákona č. 306/1993 Sb. a zákona č. 224/1994 Sb., k prodeji nemovitého majetku příspěvkové organizace Pražské centrum vzdělávání pedagogických pracovníků</w:t>
      </w:r>
      <w:r>
        <w:t xml:space="preserve"> </w:t>
      </w:r>
    </w:p>
    <w:p w14:paraId="1263B417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816/95</w:t>
      </w:r>
      <w:r>
        <w:t xml:space="preserve"> </w:t>
      </w:r>
    </w:p>
    <w:p w14:paraId="1600850A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FC8A54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školství, mládeže a tělovýchovy přijala</w:t>
      </w:r>
    </w:p>
    <w:p w14:paraId="6F538D1B" w14:textId="239D87CC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573.</w:t>
        </w:r>
      </w:hyperlink>
    </w:p>
    <w:p w14:paraId="735947C8" w14:textId="77777777" w:rsidR="007A0F0F" w:rsidRDefault="007A0F0F">
      <w:pPr>
        <w:rPr>
          <w:rFonts w:eastAsia="Times New Roman"/>
        </w:rPr>
      </w:pPr>
    </w:p>
    <w:p w14:paraId="4323B0FA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9. Stav smluvního zabezpečení a čerpání finančních prostředků FNM ČR k řešení ekologických závazků při privatizaci za období II. čtvrtletí 1995 a celkově od počátku velké privatizace</w:t>
      </w:r>
      <w:r>
        <w:t xml:space="preserve"> </w:t>
      </w:r>
    </w:p>
    <w:p w14:paraId="4B494142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821/95</w:t>
      </w:r>
      <w:r>
        <w:t xml:space="preserve"> </w:t>
      </w:r>
    </w:p>
    <w:p w14:paraId="54596408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5F65B2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ministrem pro správu národního majetku a jeho privatizaci n a v ě d o m í .</w:t>
      </w:r>
      <w:r>
        <w:t xml:space="preserve"> </w:t>
      </w:r>
    </w:p>
    <w:p w14:paraId="5ACD0886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10. Rozhodnutí o privatizaci podle § 10, odst. 1 zákona č. 92/1991 Sb., o podmínkách převodu majetku státu na jiné osoby, ve znění pozdějších předpisů (materiál č. 107)</w:t>
      </w:r>
      <w:r>
        <w:t xml:space="preserve"> </w:t>
      </w:r>
    </w:p>
    <w:p w14:paraId="06CCD2A0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823/95</w:t>
      </w:r>
      <w:r>
        <w:t xml:space="preserve"> </w:t>
      </w:r>
    </w:p>
    <w:p w14:paraId="7AB904B6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F6A9FD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5FE409BA" w14:textId="3ACE1CBC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574.</w:t>
        </w:r>
      </w:hyperlink>
    </w:p>
    <w:p w14:paraId="4A5614F6" w14:textId="77777777" w:rsidR="007A0F0F" w:rsidRDefault="007A0F0F">
      <w:pPr>
        <w:rPr>
          <w:rFonts w:eastAsia="Times New Roman"/>
        </w:rPr>
      </w:pPr>
    </w:p>
    <w:p w14:paraId="636F0CE3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11. Návrh na jmenování zástupců státu do Správní rady Ústřední pojišťovny</w:t>
      </w:r>
      <w:r>
        <w:t xml:space="preserve"> </w:t>
      </w:r>
    </w:p>
    <w:p w14:paraId="364E5368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809/95</w:t>
      </w:r>
      <w:r>
        <w:t xml:space="preserve"> </w:t>
      </w:r>
    </w:p>
    <w:p w14:paraId="75E288AE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A27B7E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zdravotnictví přijala</w:t>
      </w:r>
    </w:p>
    <w:p w14:paraId="0A68430E" w14:textId="6769C67B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575.</w:t>
        </w:r>
      </w:hyperlink>
    </w:p>
    <w:p w14:paraId="5CE11EFD" w14:textId="77777777" w:rsidR="007A0F0F" w:rsidRDefault="007A0F0F">
      <w:pPr>
        <w:rPr>
          <w:rFonts w:eastAsia="Times New Roman"/>
        </w:rPr>
      </w:pPr>
    </w:p>
    <w:p w14:paraId="436EC4E0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12. Návrh na sjednání Dohody mezi vládou České republiky a vládou Spolkové republiky Německo o ulehčení mezinárodní životně důležité civilní dopravy</w:t>
      </w:r>
      <w:r>
        <w:t xml:space="preserve"> </w:t>
      </w:r>
    </w:p>
    <w:p w14:paraId="0B838D9C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812/95</w:t>
      </w:r>
      <w:r>
        <w:t xml:space="preserve"> </w:t>
      </w:r>
    </w:p>
    <w:p w14:paraId="50DC510B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1DF5C1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Materiál předložený ministry dopravy a zahraničních věcí byl stažen z programu jednání.</w:t>
      </w:r>
      <w:r>
        <w:t xml:space="preserve"> </w:t>
      </w:r>
    </w:p>
    <w:p w14:paraId="2B69B007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13. Návrh na podpis Evropské úmluvy o televizi přesahující hranice státu, přijaté Radou Evropy dne 5. května 1989</w:t>
      </w:r>
      <w:r>
        <w:t xml:space="preserve"> </w:t>
      </w:r>
    </w:p>
    <w:p w14:paraId="1092B7E4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818/95</w:t>
      </w:r>
      <w:r>
        <w:t xml:space="preserve"> </w:t>
      </w:r>
    </w:p>
    <w:p w14:paraId="67A553E8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90E052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Materiál předložený ministry kultury a zahraničních věcí byl stažen z programu jednání.</w:t>
      </w:r>
      <w:r>
        <w:t xml:space="preserve"> </w:t>
      </w:r>
    </w:p>
    <w:p w14:paraId="6CFA78FC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14. Návrh na obeslání 19. shromáždění Mezinárodní námořní organizace (IMO)</w:t>
      </w:r>
      <w:r>
        <w:t xml:space="preserve"> </w:t>
      </w:r>
    </w:p>
    <w:p w14:paraId="60005B86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813/95</w:t>
      </w:r>
      <w:r>
        <w:t xml:space="preserve"> </w:t>
      </w:r>
    </w:p>
    <w:p w14:paraId="08C406D0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4618F3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dopravy a zahraničních věcí a přijala</w:t>
      </w:r>
    </w:p>
    <w:p w14:paraId="133815BF" w14:textId="3D28FD9A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576.</w:t>
        </w:r>
      </w:hyperlink>
    </w:p>
    <w:p w14:paraId="69A6F057" w14:textId="77777777" w:rsidR="007A0F0F" w:rsidRDefault="007A0F0F">
      <w:pPr>
        <w:rPr>
          <w:rFonts w:eastAsia="Times New Roman"/>
        </w:rPr>
      </w:pPr>
    </w:p>
    <w:p w14:paraId="445F1D09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15. Návrh na obeslání 28. zasedání Generální konference UNESCO, Paříž, 25. října - 16. listopadu 1995</w:t>
      </w:r>
      <w:r>
        <w:t xml:space="preserve"> </w:t>
      </w:r>
    </w:p>
    <w:p w14:paraId="0FE9BD89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822/95</w:t>
      </w:r>
      <w:r>
        <w:t xml:space="preserve"> </w:t>
      </w:r>
    </w:p>
    <w:p w14:paraId="1518ED64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57C6C7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5A71BC00" w14:textId="2CDDD4AD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577.</w:t>
        </w:r>
      </w:hyperlink>
    </w:p>
    <w:p w14:paraId="584621A4" w14:textId="77777777" w:rsidR="007A0F0F" w:rsidRDefault="007A0F0F">
      <w:pPr>
        <w:rPr>
          <w:rFonts w:eastAsia="Times New Roman"/>
        </w:rPr>
      </w:pPr>
    </w:p>
    <w:p w14:paraId="15858206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16. Poskytnutí humanitární pomoci obětem zemětřesení v Turecku</w:t>
      </w:r>
      <w:r>
        <w:t xml:space="preserve"> </w:t>
      </w:r>
    </w:p>
    <w:p w14:paraId="3DD9D3CE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689F6571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obrany a přijala</w:t>
      </w:r>
    </w:p>
    <w:p w14:paraId="46039790" w14:textId="5E74C65A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578.</w:t>
        </w:r>
      </w:hyperlink>
    </w:p>
    <w:p w14:paraId="12DA3E4A" w14:textId="77777777" w:rsidR="007A0F0F" w:rsidRDefault="007A0F0F">
      <w:pPr>
        <w:rPr>
          <w:rFonts w:eastAsia="Times New Roman"/>
        </w:rPr>
      </w:pPr>
    </w:p>
    <w:p w14:paraId="59946197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17. Změna usnesení vlády z 16. června 1993 č. 325, o souhlasu se sjednáním Smlouvy o zamezení dvojího zdanění a zabránění daňovému úniku v oboru daní z příjmu mezi vládou České republiky a vládou Malajsie</w:t>
      </w:r>
      <w:r>
        <w:t xml:space="preserve"> </w:t>
      </w:r>
    </w:p>
    <w:p w14:paraId="2C70CD5A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82B3F5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z podnětu náměstka ministra financí M. Havla přijala</w:t>
      </w:r>
    </w:p>
    <w:p w14:paraId="773EBC08" w14:textId="69D63F0B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579.</w:t>
        </w:r>
      </w:hyperlink>
    </w:p>
    <w:p w14:paraId="3CC06CD4" w14:textId="77777777" w:rsidR="007A0F0F" w:rsidRDefault="007A0F0F">
      <w:pPr>
        <w:rPr>
          <w:rFonts w:eastAsia="Times New Roman"/>
        </w:rPr>
      </w:pPr>
    </w:p>
    <w:p w14:paraId="3D1BC67A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18. Usnesení vlády k rasově motivovanému násilí, ke kterému došlo 7. října 1995 v Břeclavi</w:t>
      </w:r>
      <w:r>
        <w:t xml:space="preserve"> </w:t>
      </w:r>
    </w:p>
    <w:p w14:paraId="6D99F868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</w:t>
      </w: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46DB8F90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z podnětu ministra vnitra přijala</w:t>
      </w:r>
    </w:p>
    <w:p w14:paraId="701F62CC" w14:textId="1B6F70DB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580.</w:t>
        </w:r>
      </w:hyperlink>
    </w:p>
    <w:p w14:paraId="7F1E23FE" w14:textId="77777777" w:rsidR="007A0F0F" w:rsidRDefault="007A0F0F">
      <w:pPr>
        <w:rPr>
          <w:rFonts w:eastAsia="Times New Roman"/>
        </w:rPr>
      </w:pPr>
    </w:p>
    <w:p w14:paraId="4257B917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19. Zastupování vlády při soudním jednání v řízení před Ústavním soudem</w:t>
      </w:r>
      <w:r>
        <w:t xml:space="preserve"> </w:t>
      </w:r>
    </w:p>
    <w:p w14:paraId="3A647DE6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3EB287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z podnětu ministra vlády a vedoucího Úřadu vlády I. Němce přijala</w:t>
      </w:r>
    </w:p>
    <w:p w14:paraId="4C53B3F1" w14:textId="3D282B9A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581.</w:t>
        </w:r>
      </w:hyperlink>
    </w:p>
    <w:p w14:paraId="422B08A8" w14:textId="77777777" w:rsidR="007A0F0F" w:rsidRDefault="007A0F0F">
      <w:pPr>
        <w:rPr>
          <w:rFonts w:eastAsia="Times New Roman"/>
        </w:rPr>
      </w:pPr>
    </w:p>
    <w:p w14:paraId="07F7E249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20. Změna usnesení vlády ze 17. května 1995 č. 288</w:t>
      </w:r>
      <w:r>
        <w:t xml:space="preserve"> </w:t>
      </w:r>
    </w:p>
    <w:p w14:paraId="4BB0C869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58053F55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z podnětu předsedy vlády u l o ž i l a místopředsedovi vlády pověřenému řízením Úřadu pro legislativu a veřejnou správu a ministru vlády a vedoucímu Úřadu vlády I. Němcovi předložit na jednání schůze vlády dne 18. října 1995 návrh změny usnesení vlády ze 17. května 1995</w:t>
      </w:r>
      <w:r>
        <w:t xml:space="preserve"> </w:t>
      </w:r>
    </w:p>
    <w:p w14:paraId="5C5B7BE4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 288, o úpravě postupu při přípravě návrhů zákonů v souvislosti s přijetím zákona č. 90/1995 Sb., o Jednacím řádu Poslanecké sněmovny, a to takové změny, aby projednávání věcných záměrů zákonů nebylo vázáno na jejich předchozí projednání Legislativní radou vlády.</w:t>
      </w:r>
      <w:r>
        <w:t xml:space="preserve"> </w:t>
      </w:r>
    </w:p>
    <w:p w14:paraId="3CACB5C4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21. Informace o aktuální situaci v inspekci ministerstva vnitra a o důvodech postavení ředitele této inspekce mimo službu</w:t>
      </w:r>
      <w:r>
        <w:t xml:space="preserve"> </w:t>
      </w:r>
    </w:p>
    <w:p w14:paraId="48C5F52C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5B7212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zemědělství u l o ž i l a ministru vnitra předložit vládě na jednání její schůze dne 18. října 1995 informaci o aktuální situaci v inspekci ministerstva vnitra a o důvodech postavení ředitele této inspekce mimo službu.</w:t>
      </w:r>
      <w:r>
        <w:t xml:space="preserve"> </w:t>
      </w:r>
    </w:p>
    <w:p w14:paraId="68341B9E" w14:textId="77777777" w:rsidR="007A0F0F" w:rsidRDefault="007A0F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</w:rPr>
        <w:t>* * *</w:t>
      </w:r>
    </w:p>
    <w:p w14:paraId="321458A3" w14:textId="77777777" w:rsidR="007A0F0F" w:rsidRDefault="007A0F0F">
      <w:pPr>
        <w:rPr>
          <w:rFonts w:eastAsia="Times New Roman"/>
        </w:rPr>
      </w:pPr>
    </w:p>
    <w:p w14:paraId="51992FB1" w14:textId="77777777" w:rsidR="007A0F0F" w:rsidRDefault="007A0F0F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CC78844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 xml:space="preserve">1. Zpráva o měnovém vývoji v České republice za 1. pololetí 1995 </w:t>
      </w:r>
      <w:r>
        <w:rPr>
          <w:rFonts w:ascii="Times New Roman CE" w:hAnsi="Times New Roman CE" w:cs="Times New Roman CE"/>
        </w:rPr>
        <w:t>(předložil guvernér České národní banky)</w:t>
      </w:r>
      <w:r>
        <w:t xml:space="preserve"> </w:t>
      </w:r>
    </w:p>
    <w:p w14:paraId="0DC39949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805/95</w:t>
      </w:r>
      <w:r>
        <w:t xml:space="preserve"> </w:t>
      </w:r>
    </w:p>
    <w:p w14:paraId="23DC2D4F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2. Zpráva o vývoji platební bilance České republiky za 1. pololetí 1995 (předložil guvernér České národní banky)</w:t>
      </w:r>
      <w:r>
        <w:t xml:space="preserve"> </w:t>
      </w:r>
    </w:p>
    <w:p w14:paraId="50C2F47C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806/95</w:t>
      </w:r>
      <w:r>
        <w:t xml:space="preserve"> </w:t>
      </w:r>
    </w:p>
    <w:p w14:paraId="622A0925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3. Informace o vývoji peněžních příjmů domácností a životních nákladů za 1. pololetí 1995 (předložil ministr práce a sociálních věcí)</w:t>
      </w:r>
      <w:r>
        <w:t xml:space="preserve"> </w:t>
      </w:r>
    </w:p>
    <w:p w14:paraId="01ADB0F4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č.j. 817/95</w:t>
      </w:r>
      <w:r>
        <w:t xml:space="preserve"> </w:t>
      </w:r>
    </w:p>
    <w:p w14:paraId="7F6A3251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81937AE" w14:textId="77777777" w:rsidR="007A0F0F" w:rsidRDefault="007A0F0F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6A79C821" w14:textId="77777777" w:rsidR="007A0F0F" w:rsidRDefault="007A0F0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0F"/>
    <w:rsid w:val="007A0F0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F5DB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3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10-11" TargetMode="External"/><Relationship Id="rId13" Type="http://schemas.openxmlformats.org/officeDocument/2006/relationships/hyperlink" Target="file:///c:\redir.nsf%3fRedirect&amp;To=\66bbfabee8e70f37c125642e0052aae5\11d0c9fffc466035c12564b50028436f%3fOpen&amp;Name=CN=Ghoul\O=ENV\C=CZ&amp;Id=C1256A62004E5036" TargetMode="External"/><Relationship Id="rId18" Type="http://schemas.openxmlformats.org/officeDocument/2006/relationships/hyperlink" Target="file:///c:\redir.nsf%3fRedirect&amp;To=\66bbfabee8e70f37c125642e0052aae5\6f5c9b45be954176c12564b5002844c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163152e51f302d5c12564b50028436b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d032bb0ae8a82006c12564b500284370%3fOpen&amp;Name=CN=Ghoul\O=ENV\C=CZ&amp;Id=C1256A62004E5036" TargetMode="External"/><Relationship Id="rId17" Type="http://schemas.openxmlformats.org/officeDocument/2006/relationships/hyperlink" Target="file:///c:\redir.nsf%3fRedirect&amp;To=\66bbfabee8e70f37c125642e0052aae5\56a1e4c3ccf753bac12564b50028436d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a3a89a73639bfb5c12564b5002844ce%3fOpen&amp;Name=CN=Ghoul\O=ENV\C=CZ&amp;Id=C1256A62004E5036" TargetMode="External"/><Relationship Id="rId20" Type="http://schemas.openxmlformats.org/officeDocument/2006/relationships/hyperlink" Target="file:///c:\redir.nsf%3fRedirect&amp;To=\66bbfabee8e70f37c125642e0052aae5\3ab6bf2f252ef065c12564b50028436c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be35d590b7125bfc12564b500284371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2faddfb1b135b74c12564b5002844cf%3fOpen&amp;Name=CN=Ghoul\O=ENV\C=CZ&amp;Id=C1256A62004E5036" TargetMode="External"/><Relationship Id="rId23" Type="http://schemas.openxmlformats.org/officeDocument/2006/relationships/hyperlink" Target="file:///c:\redir.nsf%3fRedirect&amp;To=\66bbfabee8e70f37c125642e0052aae5\8238f0ee19097145c12564b500284369%3fOpen&amp;Name=CN=Ghoul\O=ENV\C=CZ&amp;Id=C1256A62004E5036" TargetMode="External"/><Relationship Id="rId10" Type="http://schemas.openxmlformats.org/officeDocument/2006/relationships/hyperlink" Target="file:///c:\redir.nsf%3fRedirect&amp;To=\66bbfabee8e70f37c125642e0052aae5\4232a54850ab4555c12564b500284372%3fOpen&amp;Name=CN=Ghoul\O=ENV\C=CZ&amp;Id=C1256A62004E5036" TargetMode="External"/><Relationship Id="rId19" Type="http://schemas.openxmlformats.org/officeDocument/2006/relationships/hyperlink" Target="file:///c:\redir.nsf%3fRedirect&amp;To=\66bbfabee8e70f37c125642e0052aae5\f412e59c301d8d4fc12564b5002844c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166063dfc7def98c12564b50028436e%3fOpen&amp;Name=CN=Ghoul\O=ENV\C=CZ&amp;Id=C1256A62004E5036" TargetMode="External"/><Relationship Id="rId22" Type="http://schemas.openxmlformats.org/officeDocument/2006/relationships/hyperlink" Target="file:///c:\redir.nsf%3fRedirect&amp;To=\66bbfabee8e70f37c125642e0052aae5\a62a945e9b66b06ac12564b50028436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1791</Words>
  <Characters>10214</Characters>
  <Application>Microsoft Office Word</Application>
  <DocSecurity>0</DocSecurity>
  <Lines>85</Lines>
  <Paragraphs>23</Paragraphs>
  <ScaleCrop>false</ScaleCrop>
  <Company>Profinit EU s.r.o.</Company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