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47495F" w14:textId="77777777" w:rsidR="00A07129" w:rsidRDefault="00A07129">
      <w:pPr>
        <w:pStyle w:val="z-TopofForm"/>
      </w:pPr>
      <w:r>
        <w:t>Top of Form</w:t>
      </w:r>
    </w:p>
    <w:p w14:paraId="53D66D7E" w14:textId="27DB167D" w:rsidR="00A07129" w:rsidRDefault="00A07129">
      <w:pPr>
        <w:pStyle w:val="Heading5"/>
        <w:divId w:val="8733502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1997-02-13</w:t>
        </w:r>
      </w:hyperlink>
    </w:p>
    <w:p w14:paraId="64336C83" w14:textId="77777777" w:rsidR="00A07129" w:rsidRDefault="00A07129">
      <w:pPr>
        <w:rPr>
          <w:rFonts w:eastAsia="Times New Roman"/>
        </w:rPr>
      </w:pPr>
    </w:p>
    <w:p w14:paraId="23D6D374" w14:textId="77777777" w:rsidR="00A07129" w:rsidRDefault="00A07129">
      <w:pPr>
        <w:divId w:val="6889910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7AD845" w14:textId="77777777" w:rsidR="00A07129" w:rsidRDefault="00A07129">
      <w:pPr>
        <w:divId w:val="1037197749"/>
        <w:rPr>
          <w:rFonts w:eastAsia="Times New Roman"/>
        </w:rPr>
      </w:pPr>
      <w:r>
        <w:rPr>
          <w:rFonts w:eastAsia="Times New Roman"/>
        </w:rPr>
        <w:pict w14:anchorId="06D6C6B7"/>
      </w:r>
      <w:r>
        <w:rPr>
          <w:rFonts w:eastAsia="Times New Roman"/>
        </w:rPr>
        <w:pict w14:anchorId="7891FBE5"/>
      </w:r>
      <w:r>
        <w:rPr>
          <w:rFonts w:eastAsia="Times New Roman"/>
          <w:noProof/>
        </w:rPr>
        <w:drawing>
          <wp:inline distT="0" distB="0" distL="0" distR="0" wp14:anchorId="137980D9" wp14:editId="3750B3A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7B5A" w14:textId="77777777" w:rsidR="00A07129" w:rsidRDefault="00A071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024CED" w14:textId="77777777">
        <w:trPr>
          <w:tblCellSpacing w:w="0" w:type="dxa"/>
        </w:trPr>
        <w:tc>
          <w:tcPr>
            <w:tcW w:w="2500" w:type="pct"/>
            <w:hideMark/>
          </w:tcPr>
          <w:p w14:paraId="71D3EC95" w14:textId="77777777" w:rsidR="00A07129" w:rsidRDefault="00A0712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</w:t>
            </w:r>
          </w:p>
        </w:tc>
        <w:tc>
          <w:tcPr>
            <w:tcW w:w="2500" w:type="pct"/>
            <w:hideMark/>
          </w:tcPr>
          <w:p w14:paraId="6A27F581" w14:textId="77777777" w:rsidR="00A07129" w:rsidRDefault="00A0712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února 1997</w:t>
            </w:r>
          </w:p>
        </w:tc>
      </w:tr>
    </w:tbl>
    <w:p w14:paraId="654DEBA0" w14:textId="77777777" w:rsidR="00A07129" w:rsidRDefault="00A0712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února 1997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955368F" w14:textId="77777777" w:rsidR="00A07129" w:rsidRDefault="00A0712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Stanovisko vlády v souvislosti s projednáváním Česko-německé deklarace ovzájemných vztazích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jejich budoucím rozvoji v Poslanecké sněmovně Parlamentu České republiky na její 8. schůzi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v diskusi posoudila průběh projednávání Česko-německé deklarace o vzájemných vztazích a jejich budoucím rozvoji v Poslanecké sněmovně Parlamentu České republiky na její 8. schůzi, konstatovala své hluboké znep</w:t>
      </w:r>
      <w:r>
        <w:rPr>
          <w:rFonts w:ascii="Times New Roman CE" w:eastAsia="Times New Roman" w:hAnsi="Times New Roman CE" w:cs="Times New Roman CE"/>
          <w:sz w:val="27"/>
          <w:szCs w:val="27"/>
        </w:rPr>
        <w:t>okojení z vývoje tohoto projednávání, zásadním způsobem odsoudila některé výroky pronesené při tomto projednávání a pověřila předsedu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1.oznámit Poslanecké sněmovně Parlamentu České republiky, že vzhledem k výrokům, které zazněly na adresu občanů České republiky, na adresu vlády České republiky a vlád jiných států, se vláda nezúčastní dne 13. února 1997 interpelací,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2.vyzvat vedení Poslanecké sněmovny Parlamentu České republiky k setkání s představiteli vlády, a to na úrovni předsedů a místopředsedů</w:t>
      </w:r>
      <w:r>
        <w:rPr>
          <w:rFonts w:ascii="Times New Roman CE" w:eastAsia="Times New Roman" w:hAnsi="Times New Roman CE" w:cs="Times New Roman CE"/>
          <w:sz w:val="27"/>
          <w:szCs w:val="27"/>
        </w:rPr>
        <w:t>, a to dne 14.února 1997 v 8.30 hod., s cílem snahy domluvit se na dalším společném postupu,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3.vyzvat mandátní a imunitní výbor Poslanecké sněmovny ParlamentuČeské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republiky, aby se se vší vážností zabýval výroky, které byly v souvislosti s projednáváním Česko-německé deklarace o vzájemných vztazích a jejich budoucím rozvoji vyřčeny v Poslanecké sněmovně Parlamentu České republiky,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4.sdělit Poslanecké sněmovně Parlamentu České republiky názor vlády o nutnosti pokračování jednání o rozjednaném bodu č. 56 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chváleného pořadu 8.schůze Poslanecké sněmovny Parlamentu České republiky, Česko-německá deklarace o vzájemných vztazích a jejich budoucím rozvoji, i v týdnu od 17.února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  <w:r>
        <w:rPr>
          <w:rFonts w:eastAsia="Times New Roman"/>
        </w:rPr>
        <w:t xml:space="preserve"> </w:t>
      </w:r>
    </w:p>
    <w:p w14:paraId="551AF932" w14:textId="77777777" w:rsidR="00A07129" w:rsidRDefault="00A0712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29"/>
    <w:rsid w:val="00A0712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E675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2-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Company>Profinit EU s.r.o.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