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1D90AE" w14:textId="77777777" w:rsidR="00E22A22" w:rsidRDefault="00E22A22">
      <w:pPr>
        <w:pStyle w:val="z-TopofForm"/>
      </w:pPr>
      <w:r>
        <w:t>Top of Form</w:t>
      </w:r>
    </w:p>
    <w:p w14:paraId="6F443076" w14:textId="41D5668B" w:rsidR="00E22A22" w:rsidRDefault="00E22A22">
      <w:pPr>
        <w:pStyle w:val="Heading5"/>
        <w:divId w:val="8389285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1998-01-29</w:t>
        </w:r>
      </w:hyperlink>
    </w:p>
    <w:p w14:paraId="26040320" w14:textId="77777777" w:rsidR="00E22A22" w:rsidRDefault="00E22A22">
      <w:pPr>
        <w:rPr>
          <w:rFonts w:eastAsia="Times New Roman"/>
        </w:rPr>
      </w:pPr>
    </w:p>
    <w:p w14:paraId="02F8979A" w14:textId="77777777" w:rsidR="00E22A22" w:rsidRDefault="00E22A22">
      <w:pPr>
        <w:divId w:val="15285936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DCB289" w14:textId="77777777" w:rsidR="00E22A22" w:rsidRDefault="00E22A22">
      <w:pPr>
        <w:divId w:val="656300278"/>
        <w:rPr>
          <w:rFonts w:eastAsia="Times New Roman"/>
        </w:rPr>
      </w:pPr>
      <w:r>
        <w:rPr>
          <w:rFonts w:eastAsia="Times New Roman"/>
        </w:rPr>
        <w:pict w14:anchorId="3B2B2055"/>
      </w:r>
      <w:r>
        <w:rPr>
          <w:rFonts w:eastAsia="Times New Roman"/>
        </w:rPr>
        <w:pict w14:anchorId="00842424"/>
      </w:r>
      <w:r>
        <w:rPr>
          <w:rFonts w:eastAsia="Times New Roman"/>
          <w:noProof/>
        </w:rPr>
        <w:drawing>
          <wp:inline distT="0" distB="0" distL="0" distR="0" wp14:anchorId="686B2296" wp14:editId="711AC67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DF1A" w14:textId="77777777" w:rsidR="00E22A22" w:rsidRDefault="00E22A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D439A3" w14:textId="77777777">
        <w:trPr>
          <w:tblCellSpacing w:w="0" w:type="dxa"/>
        </w:trPr>
        <w:tc>
          <w:tcPr>
            <w:tcW w:w="2500" w:type="pct"/>
            <w:hideMark/>
          </w:tcPr>
          <w:p w14:paraId="4BB0D52A" w14:textId="77777777" w:rsidR="00E22A22" w:rsidRDefault="00E22A2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2011/98</w:t>
            </w:r>
          </w:p>
        </w:tc>
        <w:tc>
          <w:tcPr>
            <w:tcW w:w="2500" w:type="pct"/>
            <w:hideMark/>
          </w:tcPr>
          <w:p w14:paraId="59EE9B9A" w14:textId="77777777" w:rsidR="00E22A22" w:rsidRDefault="00E22A2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ledna 1998</w:t>
            </w:r>
          </w:p>
        </w:tc>
      </w:tr>
    </w:tbl>
    <w:p w14:paraId="35B40220" w14:textId="77777777" w:rsidR="00E22A22" w:rsidRDefault="00E22A2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55C24C48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nařízení vlády, kterým se mění a doplňuje </w:t>
      </w:r>
      <w:r>
        <w:rPr>
          <w:rFonts w:ascii="Times New Roman CE" w:eastAsia="Times New Roman" w:hAnsi="Times New Roman CE" w:cs="Times New Roman CE"/>
          <w:sz w:val="27"/>
          <w:szCs w:val="27"/>
        </w:rPr>
        <w:t>nařízení vlády č. 244/1995 Sb., kterým se stanoví podmínky státní finanční podpory hypotečního úvěrování bytové výstavby, ve znění nařízení vlády č. 276/1996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návrhu nařízení vlády, kterým se mění a doplňuje nařízení vlády č. 244/1995 Sb., kterým se stanoví podmínky státní finanční podpory hypotečního úvěrování bytové výstavby, ve znění nařízení vlády č. 276/1996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 č.j. 1087/97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F54B03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a dodatek k němu předložený ministrem pro místní rozvoj byl stažen z jednání s tím, že vláda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 o u h l a s i l a se záměrem další podpory hypotečního úvěrování bytové výstavby,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pro místní rozvoj předložit vládě do 11. února 1998 nový materiál zpracovaný podle závěrů z jednání schůze vlády (definovat základ pro stanovení procentních bodů státní podpory k úrokové sazbě, zvážit i jinou formu degrese státní podpory a navrhnout způsob poskytování podpory na bytovou výstavbu také pro obce).</w:t>
      </w:r>
    </w:p>
    <w:p w14:paraId="724B784B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nařízení vlády, kterým se stanoví sazba cla a celní kvóta pro dovoz jablek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52DD04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09F5C164" w14:textId="03AA3181" w:rsidR="00E22A22" w:rsidRDefault="00E22A2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43,</w:t>
        </w:r>
      </w:hyperlink>
    </w:p>
    <w:p w14:paraId="3408D220" w14:textId="77777777" w:rsidR="00E22A22" w:rsidRDefault="00E22A22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, že místopředseda vlády a ministr zemědělství ve spolupráci s ministrem průmyslu a obchodu a financí předloží vládě materiál v případě, že bude nutno převést nevyčerpané množství celní kvóty na dovoz jablek z Evropské unie z jednoho čtvrtletí do čtvrtletí následujícího (bod II usnesení vlády ze 14. ledna 1998 č. 23). </w:t>
      </w:r>
    </w:p>
    <w:p w14:paraId="5171E353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rozpočtu Fondu národního majetku České republiky pro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2ACEDB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financí a předsedou prezidia Fondu národního majetku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A4E6A06" w14:textId="045DA2D5" w:rsidR="00E22A22" w:rsidRDefault="00E22A2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44,</w:t>
        </w:r>
      </w:hyperlink>
    </w:p>
    <w:p w14:paraId="4D462013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, že ministr financí předloží vládě do 15. března 1998 koncepční materiál o další činnosti Fondu národního majetku České republiky, příp. ostatních finančních transformačních institucí,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c) d o p o r u č i l a členům vlády a předsedovi výkonného výboru Fondu národního majetku České republiky urychlit privatizaci státního majetku tak, aby bilance Fondu národního majetku České republiky v roce 1998 byla vyrovnaná. </w:t>
      </w:r>
    </w:p>
    <w:p w14:paraId="16496613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Předběžná zpráva vlády České republiky ke zprávě Evropského výboru pro zabránění mučení a nelidskému či ponižujícímu zacházení nebo trestání z návštěvy České republiky ve dnech 16. až 26. února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DDB355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ministryní spravedlnosti a přijala</w:t>
      </w:r>
    </w:p>
    <w:p w14:paraId="0C3581D9" w14:textId="03AC4B6D" w:rsidR="00E22A22" w:rsidRDefault="00E22A2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45.</w:t>
        </w:r>
      </w:hyperlink>
    </w:p>
    <w:p w14:paraId="7BC31D9F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5. Návrh na vyslovení souhlasu s navrženou Rezolucí Rady guvernérů Mezinárodního měnového fondu o zvýšení členských kvót v rámci jejich 11. všeobecné revize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545B05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viceguvernérem České národní banky ing. P. Kysilkou a přijala</w:t>
      </w:r>
    </w:p>
    <w:p w14:paraId="4A3484D7" w14:textId="6497CD95" w:rsidR="00E22A22" w:rsidRDefault="00E22A2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46.</w:t>
        </w:r>
      </w:hyperlink>
    </w:p>
    <w:p w14:paraId="5BD90485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Dohoda mezi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programem Dobrovolníci Organizace spojených národů a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8F490B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jednání.</w:t>
      </w:r>
    </w:p>
    <w:p w14:paraId="26F205F6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Předseda, místopředseda a členové Výboru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DB757A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V. Mlynářem byl stažen z jednání a vláda u l o ž i l a místopředsedovi vlády a ministru zahraničních věcí ve spolupráci s ministrem V. Mlynářem předložit nový materiál podle jejího zadání.</w:t>
      </w:r>
    </w:p>
    <w:p w14:paraId="57368B42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Změna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8936D2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508F9F2" w14:textId="53B4E83E" w:rsidR="00E22A22" w:rsidRDefault="00E22A2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47.</w:t>
        </w:r>
      </w:hyperlink>
    </w:p>
    <w:p w14:paraId="046982B9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Postup při poskytování informací o dotacích a návratných finančních výpomocích z prostředků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C8A376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zemědělství byl stažen z jednání s tím, že vláda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pouze ústní informaci místopředsedy vlády a ministra zemědělství o poskytování informací o dotacích a návratných finančních výpomocích z prostředků státního rozpočtu,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kultury předložit vládě do 24. února 1998 návrh věcného záměru zákona o poskytování informací o činnosti státních orgánů a orgánů územní samosprávy. </w:t>
      </w:r>
    </w:p>
    <w:p w14:paraId="5233BECE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2BD5FB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jednání.</w:t>
      </w:r>
    </w:p>
    <w:p w14:paraId="7ABCBC4C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909FB4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84B8C0B" w14:textId="77777777" w:rsidR="00E22A22" w:rsidRDefault="00E22A2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48.</w:t>
      </w:r>
    </w:p>
    <w:p w14:paraId="554838B1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Metodický pokyn pro zpracování předkládací zprávy k pozičním dokumentům k jednání o dohodě o přístupu ČR k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B3CF11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vedoucího delegace České republiky pro jednání o dohodě o přístupu České republiky k Evropské unii materiál předložený místopředsedou vlády a ministrem zahraničních věcí a přijala</w:t>
      </w:r>
    </w:p>
    <w:p w14:paraId="631BA72D" w14:textId="14AF74F5" w:rsidR="00E22A22" w:rsidRDefault="00E22A2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49.</w:t>
        </w:r>
      </w:hyperlink>
    </w:p>
    <w:p w14:paraId="36E947AF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navýšení programu stabilizace bankovního sektoru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6FD25A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a člena bankovní rady ing. O. Kaftana návrh předložený ministrem financí a viceguvernérem České národní banky ing. P. Kysilkou a přijala</w:t>
      </w:r>
    </w:p>
    <w:p w14:paraId="12E58F01" w14:textId="296B843F" w:rsidR="00E22A22" w:rsidRDefault="00E22A2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50.</w:t>
        </w:r>
      </w:hyperlink>
    </w:p>
    <w:p w14:paraId="0BABD7B5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asymetrii agrárního trhu České republiky a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7EF306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místopředsedou vlády a ministrem zemědělství byla stažena z programu jednání s tím, že její obsah bude součástí projednávání návrhu pozičního dokumentu k jednání o dohodě o přístupu České republiky k Evropské unii pro oblast zemědělství.</w:t>
      </w:r>
    </w:p>
    <w:p w14:paraId="533E16D4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Změna předkladatele návrhů</w:t>
      </w:r>
      <w:r>
        <w:rPr>
          <w:rFonts w:eastAsia="Times New Roman"/>
        </w:rPr>
        <w:t xml:space="preserve"> </w:t>
      </w:r>
    </w:p>
    <w:p w14:paraId="0FFEA134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</w:t>
      </w:r>
      <w:r>
        <w:rPr>
          <w:rFonts w:ascii="Times New Roman CE" w:eastAsia="Times New Roman" w:hAnsi="Times New Roman CE" w:cs="Times New Roman CE"/>
          <w:sz w:val="27"/>
          <w:szCs w:val="27"/>
        </w:rPr>
        <w:t>zákona, kterým se mění a doplňuje zákon č. 153/1994 Sb., o zpravodajských službách České republiky, ve znění zákona č. 118/1995 Sb. (usnesení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vlády ze dne 16. července 1997 č. 419)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zákona o parlamentní kontrole zpravodajských služeb České republiky</w:t>
      </w:r>
    </w:p>
    <w:p w14:paraId="367B07BB" w14:textId="77777777" w:rsidR="00E22A22" w:rsidRDefault="00E22A2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E4617C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5C7C8FA3" w14:textId="4FC3B0DD" w:rsidR="00E22A22" w:rsidRDefault="00E22A2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51.</w:t>
        </w:r>
      </w:hyperlink>
    </w:p>
    <w:p w14:paraId="319F45E5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Ústní informace o jmenování správní rady Česko-německého fondu budoucnosti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492853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zahraničních věcí o jmenování správní rady Česko-německého fondu budoucnosti. </w:t>
      </w:r>
    </w:p>
    <w:p w14:paraId="7F9CD296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Jednání následující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47CDE9" w14:textId="77777777" w:rsidR="00E22A22" w:rsidRDefault="00E22A2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o u h l a s i l a , že následující jednání její schůze se bude konat v pondělí dne 2. února 1998 v 15.00 hodin.</w:t>
      </w:r>
    </w:p>
    <w:p w14:paraId="63B34294" w14:textId="77777777" w:rsidR="00E22A22" w:rsidRDefault="00E22A2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F0E06EC" w14:textId="77777777" w:rsidR="00E22A22" w:rsidRDefault="00E22A2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82C7FCD" w14:textId="77777777" w:rsidR="00E22A22" w:rsidRDefault="00E22A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Kontrolní závěr NKÚ z kontroly privatizace podniku ČSAD Praha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2. zasedání Konference smluvních států Organizace pro zákaz chemických zbraní v Haagu (předložili místopředseda vlády a ministr zahraničních věcí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46/98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E2F9CE3" w14:textId="77777777" w:rsidR="00E22A22" w:rsidRDefault="00E22A2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3A279E4" w14:textId="77777777" w:rsidR="00E22A22" w:rsidRDefault="00E22A2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22"/>
    <w:rsid w:val="00B3122F"/>
    <w:rsid w:val="00E2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212D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0cafc547deed6659c12565a2003f3d7e%3fOpen&amp;Name=CN=Ghoul\O=ENV\C=CZ&amp;Id=C1256A62004E5036" TargetMode="External"/><Relationship Id="rId18" Type="http://schemas.openxmlformats.org/officeDocument/2006/relationships/hyperlink" Target="file:///c:\redir.nsf%3fRedirect&amp;To=\66bbfabee8e70f37c125642e0052aae5\454327782c4c4491c12565a2003fdeb8%3fOpen&amp;Name=CN=Ghoul\O=ENV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01eaacf67a22ae66c12565a2003ee032%3fOpen&amp;Name=CN=Ghoul\O=ENV\C=CZ&amp;Id=C1256A62004E5036" TargetMode="External"/><Relationship Id="rId17" Type="http://schemas.openxmlformats.org/officeDocument/2006/relationships/hyperlink" Target="file:///c:\redir.nsf%3fRedirect&amp;To=\66bbfabee8e70f37c125642e0052aae5\413b40545ecbe7c0c12565a2003fbba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be87fc1e8993d8bc12565a10042c1e7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f8edc466693cb44c12565a2003eb27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3d77eea88c12a22c12565a2003f8f88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29" TargetMode="External"/><Relationship Id="rId14" Type="http://schemas.openxmlformats.org/officeDocument/2006/relationships/hyperlink" Target="file:///c:\redir.nsf%3fRedirect&amp;To=\66bbfabee8e70f37c125642e0052aae5\54135993a1139545c12565a2003f6c1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1585</Words>
  <Characters>9038</Characters>
  <Application>Microsoft Office Word</Application>
  <DocSecurity>0</DocSecurity>
  <Lines>75</Lines>
  <Paragraphs>21</Paragraphs>
  <ScaleCrop>false</ScaleCrop>
  <Company>Profinit EU s.r.o.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